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8"/>
              <w:left w:val="single" w:color="1F4E79" w:sz="18"/>
              <w:bottom w:val="single" w:color="1F4E79" w:sz="18"/>
              <w:right w:val="single" w:color="1F4E79"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1F4E79"/>
                <w:sz w:val="28"/>
                <w:szCs w:val="28"/>
              </w:rPr>
              <w:t xml:space="preserve">NOTE DE RÉFÉRENCE — AVOCAT TOURISME</w:t>
            </w:r>
          </w:p>
          <w:p>
            <w:pPr>
              <w:spacing w:after="0"/>
              <w:jc w:val="center"/>
            </w:pPr>
            <w:r>
              <w:rPr>
                <w:rFonts w:ascii="Calibri" w:cs="Calibri" w:eastAsia="Calibri" w:hAnsi="Calibri"/>
                <w:i/>
                <w:iCs/>
                <w:color w:val="1F4E79"/>
                <w:sz w:val="18"/>
                <w:szCs w:val="18"/>
              </w:rPr>
              <w:t xml:space="preserve">Synthèse des points juridiques à valider avant dépôt officiel</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note a été rédigée à l'attention de l'avocat tourisme partenaire d'Eventy Life. Elle synthétise les points juridiques structurants du dossier de garantie financière et de l'écosystème contractuel, en vue de la relecture finale avant dépôt officiel à l'APST et à Atout France.</w:t>
      </w:r>
    </w:p>
    <w:p>
      <w:pPr>
        <w:spacing w:after="100" w:line="280"/>
        <w:jc w:val="both"/>
      </w:pPr>
      <w:r>
        <w:rPr>
          <w:rFonts w:ascii="Calibri" w:cs="Calibri" w:eastAsia="Calibri" w:hAnsi="Calibri"/>
          <w:i/>
          <w:iCs/>
          <w:color w:val="1A1A1A"/>
          <w:sz w:val="20"/>
          <w:szCs w:val="20"/>
        </w:rPr>
        <w:t xml:space="preserve">L'objectif de cette note est de faciliter le travail de l'avocat en identifiant, point par point, les éléments à valider, les questions ouvertes, et les pièces à joindre. Elle doit permettre une relecture efficace en 4 à 6 heures de travail concentré.</w:t>
      </w:r>
    </w:p>
    <w:p>
      <w:pPr>
        <w:spacing w:after="160" w:before="240"/>
      </w:pPr>
      <w:r>
        <w:rPr>
          <w:rFonts w:ascii="Calibri" w:cs="Calibri" w:eastAsia="Calibri" w:hAnsi="Calibri"/>
          <w:b/>
          <w:bCs/>
          <w:color w:val="1F4E79"/>
          <w:sz w:val="32"/>
          <w:szCs w:val="32"/>
        </w:rPr>
        <w:t xml:space="preserve">1. Documents à relire (par ordre de priorité)</w:t>
      </w:r>
    </w:p>
    <w:p>
      <w:pPr>
        <w:spacing w:after="100" w:before="220"/>
      </w:pPr>
      <w:r>
        <w:rPr>
          <w:rFonts w:ascii="Calibri" w:cs="Calibri" w:eastAsia="Calibri" w:hAnsi="Calibri"/>
          <w:b/>
          <w:bCs/>
          <w:color w:val="E87722"/>
          <w:sz w:val="22"/>
          <w:szCs w:val="22"/>
        </w:rPr>
        <w:t xml:space="preserve">1.1. Documents critiques (relecture intégrale)</w:t>
      </w:r>
    </w:p>
    <w:p>
      <w:pPr>
        <w:pStyle w:val="ListParagraph"/>
        <w:numPr>
          <w:ilvl w:val="0"/>
          <w:numId w:val="2"/>
        </w:numPr>
        <w:spacing w:after="60" w:line="260"/>
      </w:pPr>
      <w:r>
        <w:rPr>
          <w:rFonts w:ascii="Calibri" w:cs="Calibri" w:eastAsia="Calibri" w:hAnsi="Calibri"/>
          <w:sz w:val="20"/>
          <w:szCs w:val="20"/>
        </w:rPr>
        <w:t xml:space="preserve">Statuts SAS Eventy Life (Eventy-Life-Statuts-SAS.docx) — version standalone à finaliser avant signature au greffe.</w:t>
      </w:r>
    </w:p>
    <w:p>
      <w:pPr>
        <w:pStyle w:val="ListParagraph"/>
        <w:numPr>
          <w:ilvl w:val="0"/>
          <w:numId w:val="2"/>
        </w:numPr>
        <w:spacing w:after="60" w:line="260"/>
      </w:pPr>
      <w:r>
        <w:rPr>
          <w:rFonts w:ascii="Calibri" w:cs="Calibri" w:eastAsia="Calibri" w:hAnsi="Calibri"/>
          <w:sz w:val="20"/>
          <w:szCs w:val="20"/>
        </w:rPr>
        <w:t xml:space="preserve">Conditions Générales de Vente (Eventy-Life-CGV.docx) — opposables au voyageur · risque litige direct.</w:t>
      </w:r>
    </w:p>
    <w:p>
      <w:pPr>
        <w:pStyle w:val="ListParagraph"/>
        <w:numPr>
          <w:ilvl w:val="0"/>
          <w:numId w:val="2"/>
        </w:numPr>
        <w:spacing w:after="60" w:line="260"/>
      </w:pPr>
      <w:r>
        <w:rPr>
          <w:rFonts w:ascii="Calibri" w:cs="Calibri" w:eastAsia="Calibri" w:hAnsi="Calibri"/>
          <w:sz w:val="20"/>
          <w:szCs w:val="20"/>
        </w:rPr>
        <w:t xml:space="preserve">Information précontractuelle voyageur (Eventy-Life-Information-Precontractuelle.docx) — formulaire conforme arrêté 1er mars 2018.</w:t>
      </w:r>
    </w:p>
    <w:p>
      <w:pPr>
        <w:pStyle w:val="ListParagraph"/>
        <w:numPr>
          <w:ilvl w:val="0"/>
          <w:numId w:val="2"/>
        </w:numPr>
        <w:spacing w:after="60" w:line="260"/>
      </w:pPr>
      <w:r>
        <w:rPr>
          <w:rFonts w:ascii="Calibri" w:cs="Calibri" w:eastAsia="Calibri" w:hAnsi="Calibri"/>
          <w:sz w:val="20"/>
          <w:szCs w:val="20"/>
        </w:rPr>
        <w:t xml:space="preserve">Pacte d'associés Seed (Eventy-Life-Pacte-Associes-Seed.docx) — modèle finalisable avant levée.</w:t>
      </w:r>
    </w:p>
    <w:p>
      <w:pPr>
        <w:pStyle w:val="ListParagraph"/>
        <w:numPr>
          <w:ilvl w:val="0"/>
          <w:numId w:val="2"/>
        </w:numPr>
        <w:spacing w:after="60" w:line="260"/>
      </w:pPr>
      <w:r>
        <w:rPr>
          <w:rFonts w:ascii="Calibri" w:cs="Calibri" w:eastAsia="Calibri" w:hAnsi="Calibri"/>
          <w:sz w:val="20"/>
          <w:szCs w:val="20"/>
        </w:rPr>
        <w:t xml:space="preserve">Politique RGPD (Eventy-Life-Politique-Confidentialite-RGPD.docx) — responsabilité de traitement Eventy.</w:t>
      </w:r>
    </w:p>
    <w:p>
      <w:pPr>
        <w:spacing w:after="100" w:before="220"/>
      </w:pPr>
      <w:r>
        <w:rPr>
          <w:rFonts w:ascii="Calibri" w:cs="Calibri" w:eastAsia="Calibri" w:hAnsi="Calibri"/>
          <w:b/>
          <w:bCs/>
          <w:color w:val="E87722"/>
          <w:sz w:val="22"/>
          <w:szCs w:val="22"/>
        </w:rPr>
        <w:t xml:space="preserve">1.2. Contrats partenaires (relecture clauses-clés)</w:t>
      </w:r>
    </w:p>
    <w:p>
      <w:pPr>
        <w:pStyle w:val="ListParagraph"/>
        <w:numPr>
          <w:ilvl w:val="0"/>
          <w:numId w:val="3"/>
        </w:numPr>
        <w:spacing w:after="60" w:line="260"/>
      </w:pPr>
      <w:r>
        <w:rPr>
          <w:rFonts w:ascii="Calibri" w:cs="Calibri" w:eastAsia="Calibri" w:hAnsi="Calibri"/>
          <w:sz w:val="20"/>
          <w:szCs w:val="20"/>
        </w:rPr>
        <w:t xml:space="preserve">Contrat Vendeur (5 % HT) — Eventy-Life-Contrat-Vendeur.docx</w:t>
      </w:r>
    </w:p>
    <w:p>
      <w:pPr>
        <w:pStyle w:val="ListParagraph"/>
        <w:numPr>
          <w:ilvl w:val="0"/>
          <w:numId w:val="3"/>
        </w:numPr>
        <w:spacing w:after="60" w:line="260"/>
      </w:pPr>
      <w:r>
        <w:rPr>
          <w:rFonts w:ascii="Calibri" w:cs="Calibri" w:eastAsia="Calibri" w:hAnsi="Calibri"/>
          <w:sz w:val="20"/>
          <w:szCs w:val="20"/>
        </w:rPr>
        <w:t xml:space="preserve">Contrat Créateur (3 % HRA) — Eventy-Life-Contrat-Createur.docx</w:t>
      </w:r>
    </w:p>
    <w:p>
      <w:pPr>
        <w:pStyle w:val="ListParagraph"/>
        <w:numPr>
          <w:ilvl w:val="0"/>
          <w:numId w:val="3"/>
        </w:numPr>
        <w:spacing w:after="60" w:line="260"/>
      </w:pPr>
      <w:r>
        <w:rPr>
          <w:rFonts w:ascii="Calibri" w:cs="Calibri" w:eastAsia="Calibri" w:hAnsi="Calibri"/>
          <w:sz w:val="20"/>
          <w:szCs w:val="20"/>
        </w:rPr>
        <w:t xml:space="preserve">Contrat HRA Partenaire — Eventy-Life-Contrat-HRA-Partenaire.docx</w:t>
      </w:r>
    </w:p>
    <w:p>
      <w:pPr>
        <w:pStyle w:val="ListParagraph"/>
        <w:numPr>
          <w:ilvl w:val="0"/>
          <w:numId w:val="3"/>
        </w:numPr>
        <w:spacing w:after="60" w:line="260"/>
      </w:pPr>
      <w:r>
        <w:rPr>
          <w:rFonts w:ascii="Calibri" w:cs="Calibri" w:eastAsia="Calibri" w:hAnsi="Calibri"/>
          <w:sz w:val="20"/>
          <w:szCs w:val="20"/>
        </w:rPr>
        <w:t xml:space="preserve">Bon de commande HRA — Eventy-Life-Bon-De-Commande-HRA.docx</w:t>
      </w:r>
    </w:p>
    <w:p>
      <w:pPr>
        <w:spacing w:after="100" w:before="220"/>
      </w:pPr>
      <w:r>
        <w:rPr>
          <w:rFonts w:ascii="Calibri" w:cs="Calibri" w:eastAsia="Calibri" w:hAnsi="Calibri"/>
          <w:b/>
          <w:bCs/>
          <w:color w:val="E87722"/>
          <w:sz w:val="22"/>
          <w:szCs w:val="22"/>
        </w:rPr>
        <w:t xml:space="preserve">1.3. Documents secondaires (validation ciblée)</w:t>
      </w:r>
    </w:p>
    <w:p>
      <w:pPr>
        <w:pStyle w:val="ListParagraph"/>
        <w:numPr>
          <w:ilvl w:val="0"/>
          <w:numId w:val="3"/>
        </w:numPr>
        <w:spacing w:after="60" w:line="260"/>
      </w:pPr>
      <w:r>
        <w:rPr>
          <w:rFonts w:ascii="Calibri" w:cs="Calibri" w:eastAsia="Calibri" w:hAnsi="Calibri"/>
          <w:sz w:val="20"/>
          <w:szCs w:val="20"/>
        </w:rPr>
        <w:t xml:space="preserve">Mentions légales eventylife.fr — Eventy-Life-Mentions-Legales.docx</w:t>
      </w:r>
    </w:p>
    <w:p>
      <w:pPr>
        <w:pStyle w:val="ListParagraph"/>
        <w:numPr>
          <w:ilvl w:val="0"/>
          <w:numId w:val="3"/>
        </w:numPr>
        <w:spacing w:after="60" w:line="260"/>
      </w:pPr>
      <w:r>
        <w:rPr>
          <w:rFonts w:ascii="Calibri" w:cs="Calibri" w:eastAsia="Calibri" w:hAnsi="Calibri"/>
          <w:sz w:val="20"/>
          <w:szCs w:val="20"/>
        </w:rPr>
        <w:t xml:space="preserve">Politique cookies — Eventy-Life-Politique-Cookies.docx</w:t>
      </w:r>
    </w:p>
    <w:p>
      <w:pPr>
        <w:pStyle w:val="ListParagraph"/>
        <w:numPr>
          <w:ilvl w:val="0"/>
          <w:numId w:val="3"/>
        </w:numPr>
        <w:spacing w:after="60" w:line="260"/>
      </w:pPr>
      <w:r>
        <w:rPr>
          <w:rFonts w:ascii="Calibri" w:cs="Calibri" w:eastAsia="Calibri" w:hAnsi="Calibri"/>
          <w:sz w:val="20"/>
          <w:szCs w:val="20"/>
        </w:rPr>
        <w:t xml:space="preserve">Courriers Atout France + APST — Eventy-Life-Courriers-APST-AtoutFrance.docx</w:t>
      </w:r>
    </w:p>
    <w:p>
      <w:pPr>
        <w:spacing w:after="160" w:before="240"/>
      </w:pPr>
      <w:r>
        <w:rPr>
          <w:rFonts w:ascii="Calibri" w:cs="Calibri" w:eastAsia="Calibri" w:hAnsi="Calibri"/>
          <w:b/>
          <w:bCs/>
          <w:color w:val="1F4E79"/>
          <w:sz w:val="32"/>
          <w:szCs w:val="32"/>
        </w:rPr>
        <w:t xml:space="preserve">2. Points juridiques à valider</w:t>
      </w:r>
    </w:p>
    <w:p>
      <w:pPr>
        <w:spacing w:after="100" w:before="220"/>
      </w:pPr>
      <w:r>
        <w:rPr>
          <w:rFonts w:ascii="Calibri" w:cs="Calibri" w:eastAsia="Calibri" w:hAnsi="Calibri"/>
          <w:b/>
          <w:bCs/>
          <w:color w:val="E87722"/>
          <w:sz w:val="22"/>
          <w:szCs w:val="22"/>
        </w:rPr>
        <w:t xml:space="preserve">2.1. Conformité Code du Tourisme</w:t>
      </w:r>
    </w:p>
    <w:p>
      <w:pPr>
        <w:pStyle w:val="ListParagraph"/>
        <w:numPr>
          <w:ilvl w:val="0"/>
          <w:numId w:val="2"/>
        </w:numPr>
        <w:spacing w:after="60" w:line="260"/>
      </w:pPr>
      <w:r>
        <w:rPr>
          <w:rFonts w:ascii="Calibri" w:cs="Calibri" w:eastAsia="Calibri" w:hAnsi="Calibri"/>
          <w:sz w:val="20"/>
          <w:szCs w:val="20"/>
        </w:rPr>
        <w:t xml:space="preserve">Affirmation de la qualité d'opérateur de voyages au sens article L211-1 (Statuts art. 3 + CGV art. 1).</w:t>
      </w:r>
    </w:p>
    <w:p>
      <w:pPr>
        <w:pStyle w:val="ListParagraph"/>
        <w:numPr>
          <w:ilvl w:val="0"/>
          <w:numId w:val="2"/>
        </w:numPr>
        <w:spacing w:after="60" w:line="260"/>
      </w:pPr>
      <w:r>
        <w:rPr>
          <w:rFonts w:ascii="Calibri" w:cs="Calibri" w:eastAsia="Calibri" w:hAnsi="Calibri"/>
          <w:sz w:val="20"/>
          <w:szCs w:val="20"/>
        </w:rPr>
        <w:t xml:space="preserve">Respect intégral de l'obligation d'information précontractuelle (article L211-9 + arrêté 1er mars 2018).</w:t>
      </w:r>
    </w:p>
    <w:p>
      <w:pPr>
        <w:pStyle w:val="ListParagraph"/>
        <w:numPr>
          <w:ilvl w:val="0"/>
          <w:numId w:val="2"/>
        </w:numPr>
        <w:spacing w:after="60" w:line="260"/>
      </w:pPr>
      <w:r>
        <w:rPr>
          <w:rFonts w:ascii="Calibri" w:cs="Calibri" w:eastAsia="Calibri" w:hAnsi="Calibri"/>
          <w:sz w:val="20"/>
          <w:szCs w:val="20"/>
        </w:rPr>
        <w:t xml:space="preserve">Limitation de modification du prix à 8 % conformément à l'article L211-12.</w:t>
      </w:r>
    </w:p>
    <w:p>
      <w:pPr>
        <w:pStyle w:val="ListParagraph"/>
        <w:numPr>
          <w:ilvl w:val="0"/>
          <w:numId w:val="2"/>
        </w:numPr>
        <w:spacing w:after="60" w:line="260"/>
      </w:pPr>
      <w:r>
        <w:rPr>
          <w:rFonts w:ascii="Calibri" w:cs="Calibri" w:eastAsia="Calibri" w:hAnsi="Calibri"/>
          <w:sz w:val="20"/>
          <w:szCs w:val="20"/>
        </w:rPr>
        <w:t xml:space="preserve">Délai de 20 jours minimum avant départ pour toute modification de prix.</w:t>
      </w:r>
    </w:p>
    <w:p>
      <w:pPr>
        <w:pStyle w:val="ListParagraph"/>
        <w:numPr>
          <w:ilvl w:val="0"/>
          <w:numId w:val="2"/>
        </w:numPr>
        <w:spacing w:after="60" w:line="260"/>
      </w:pPr>
      <w:r>
        <w:rPr>
          <w:rFonts w:ascii="Calibri" w:cs="Calibri" w:eastAsia="Calibri" w:hAnsi="Calibri"/>
          <w:sz w:val="20"/>
          <w:szCs w:val="20"/>
        </w:rPr>
        <w:t xml:space="preserve">Cession du contrat à un tiers possible jusqu'à 7 jours avant départ (article L211-11).</w:t>
      </w:r>
    </w:p>
    <w:p>
      <w:pPr>
        <w:pStyle w:val="ListParagraph"/>
        <w:numPr>
          <w:ilvl w:val="0"/>
          <w:numId w:val="2"/>
        </w:numPr>
        <w:spacing w:after="60" w:line="260"/>
      </w:pPr>
      <w:r>
        <w:rPr>
          <w:rFonts w:ascii="Calibri" w:cs="Calibri" w:eastAsia="Calibri" w:hAnsi="Calibri"/>
          <w:sz w:val="20"/>
          <w:szCs w:val="20"/>
        </w:rPr>
        <w:t xml:space="preserve">Barème de résolution avant départ raisonnable et justifiable (CGV art. 9).</w:t>
      </w:r>
    </w:p>
    <w:p>
      <w:pPr>
        <w:pStyle w:val="ListParagraph"/>
        <w:numPr>
          <w:ilvl w:val="0"/>
          <w:numId w:val="2"/>
        </w:numPr>
        <w:spacing w:after="60" w:line="260"/>
      </w:pPr>
      <w:r>
        <w:rPr>
          <w:rFonts w:ascii="Calibri" w:cs="Calibri" w:eastAsia="Calibri" w:hAnsi="Calibri"/>
          <w:sz w:val="20"/>
          <w:szCs w:val="20"/>
        </w:rPr>
        <w:t xml:space="preserve">Responsabilité de plein droit assumée par Eventy (article L211-16) — vérifier rédaction CGV art. 11.</w:t>
      </w:r>
    </w:p>
    <w:p>
      <w:pPr>
        <w:pStyle w:val="ListParagraph"/>
        <w:numPr>
          <w:ilvl w:val="0"/>
          <w:numId w:val="2"/>
        </w:numPr>
        <w:spacing w:after="60" w:line="260"/>
      </w:pPr>
      <w:r>
        <w:rPr>
          <w:rFonts w:ascii="Calibri" w:cs="Calibri" w:eastAsia="Calibri" w:hAnsi="Calibri"/>
          <w:sz w:val="20"/>
          <w:szCs w:val="20"/>
        </w:rPr>
        <w:t xml:space="preserve">Médiation MTV gratuite mentionnée dans CGV, mentions légales, information précontractuelle.</w:t>
      </w:r>
    </w:p>
    <w:p>
      <w:pPr>
        <w:pStyle w:val="ListParagraph"/>
        <w:numPr>
          <w:ilvl w:val="0"/>
          <w:numId w:val="2"/>
        </w:numPr>
        <w:spacing w:after="60" w:line="260"/>
      </w:pPr>
      <w:r>
        <w:rPr>
          <w:rFonts w:ascii="Calibri" w:cs="Calibri" w:eastAsia="Calibri" w:hAnsi="Calibri"/>
          <w:sz w:val="20"/>
          <w:szCs w:val="20"/>
        </w:rPr>
        <w:t xml:space="preserve">Garantie financière APST citée explicitement comme couvrant la défaillance et le rapatriement.</w:t>
      </w:r>
    </w:p>
    <w:p>
      <w:pPr>
        <w:spacing w:after="100" w:before="220"/>
      </w:pPr>
      <w:r>
        <w:rPr>
          <w:rFonts w:ascii="Calibri" w:cs="Calibri" w:eastAsia="Calibri" w:hAnsi="Calibri"/>
          <w:b/>
          <w:bCs/>
          <w:color w:val="E87722"/>
          <w:sz w:val="22"/>
          <w:szCs w:val="22"/>
        </w:rPr>
        <w:t xml:space="preserve">2.2. Conformité directive (UE) 2015/2302</w:t>
      </w:r>
    </w:p>
    <w:p>
      <w:pPr>
        <w:pStyle w:val="ListParagraph"/>
        <w:numPr>
          <w:ilvl w:val="0"/>
          <w:numId w:val="2"/>
        </w:numPr>
        <w:spacing w:after="60" w:line="260"/>
      </w:pPr>
      <w:r>
        <w:rPr>
          <w:rFonts w:ascii="Calibri" w:cs="Calibri" w:eastAsia="Calibri" w:hAnsi="Calibri"/>
          <w:sz w:val="20"/>
          <w:szCs w:val="20"/>
        </w:rPr>
        <w:t xml:space="preserve">Toutes les obligations directive sont reprises dans les CGV (vérifier mise en correspondance).</w:t>
      </w:r>
    </w:p>
    <w:p>
      <w:pPr>
        <w:pStyle w:val="ListParagraph"/>
        <w:numPr>
          <w:ilvl w:val="0"/>
          <w:numId w:val="2"/>
        </w:numPr>
        <w:spacing w:after="60" w:line="260"/>
      </w:pPr>
      <w:r>
        <w:rPr>
          <w:rFonts w:ascii="Calibri" w:cs="Calibri" w:eastAsia="Calibri" w:hAnsi="Calibri"/>
          <w:sz w:val="20"/>
          <w:szCs w:val="20"/>
        </w:rPr>
        <w:t xml:space="preserve">Aucune clause des CGV ne renonce ni ne réduit les droits du voyageur (article 23 directive).</w:t>
      </w:r>
    </w:p>
    <w:p>
      <w:pPr>
        <w:pStyle w:val="ListParagraph"/>
        <w:numPr>
          <w:ilvl w:val="0"/>
          <w:numId w:val="2"/>
        </w:numPr>
        <w:spacing w:after="60" w:line="260"/>
      </w:pPr>
      <w:r>
        <w:rPr>
          <w:rFonts w:ascii="Calibri" w:cs="Calibri" w:eastAsia="Calibri" w:hAnsi="Calibri"/>
          <w:sz w:val="20"/>
          <w:szCs w:val="20"/>
        </w:rPr>
        <w:t xml:space="preserve">Délai de prescription de 2 ans minimum respecté.</w:t>
      </w:r>
    </w:p>
    <w:p>
      <w:pPr>
        <w:pStyle w:val="ListParagraph"/>
        <w:numPr>
          <w:ilvl w:val="0"/>
          <w:numId w:val="2"/>
        </w:numPr>
        <w:spacing w:after="60" w:line="260"/>
      </w:pPr>
      <w:r>
        <w:rPr>
          <w:rFonts w:ascii="Calibri" w:cs="Calibri" w:eastAsia="Calibri" w:hAnsi="Calibri"/>
          <w:sz w:val="20"/>
          <w:szCs w:val="20"/>
        </w:rPr>
        <w:t xml:space="preserve">Droits du voyageur en cas de défaillance opérateur (insolvabilité) bien encadrés.</w:t>
      </w:r>
    </w:p>
    <w:p>
      <w:pPr>
        <w:pStyle w:val="ListParagraph"/>
        <w:numPr>
          <w:ilvl w:val="0"/>
          <w:numId w:val="2"/>
        </w:numPr>
        <w:spacing w:after="60" w:line="260"/>
      </w:pPr>
      <w:r>
        <w:rPr>
          <w:rFonts w:ascii="Calibri" w:cs="Calibri" w:eastAsia="Calibri" w:hAnsi="Calibri"/>
          <w:sz w:val="20"/>
          <w:szCs w:val="20"/>
        </w:rPr>
        <w:t xml:space="preserve">Définition « voyage à forfait » conforme à l'article 3 (1) directive — pas de prestation de voyage liée.</w:t>
      </w:r>
    </w:p>
    <w:p>
      <w:pPr>
        <w:spacing w:after="100" w:before="220"/>
      </w:pPr>
      <w:r>
        <w:rPr>
          <w:rFonts w:ascii="Calibri" w:cs="Calibri" w:eastAsia="Calibri" w:hAnsi="Calibri"/>
          <w:b/>
          <w:bCs/>
          <w:color w:val="E87722"/>
          <w:sz w:val="22"/>
          <w:szCs w:val="22"/>
        </w:rPr>
        <w:t xml:space="preserve">2.3. Conformité RGPD</w:t>
      </w:r>
    </w:p>
    <w:p>
      <w:pPr>
        <w:pStyle w:val="ListParagraph"/>
        <w:numPr>
          <w:ilvl w:val="0"/>
          <w:numId w:val="2"/>
        </w:numPr>
        <w:spacing w:after="60" w:line="260"/>
      </w:pPr>
      <w:r>
        <w:rPr>
          <w:rFonts w:ascii="Calibri" w:cs="Calibri" w:eastAsia="Calibri" w:hAnsi="Calibri"/>
          <w:sz w:val="20"/>
          <w:szCs w:val="20"/>
        </w:rPr>
        <w:t xml:space="preserve">Politique de confidentialité conforme aux articles 12 à 22 du RGPD.</w:t>
      </w:r>
    </w:p>
    <w:p>
      <w:pPr>
        <w:pStyle w:val="ListParagraph"/>
        <w:numPr>
          <w:ilvl w:val="0"/>
          <w:numId w:val="2"/>
        </w:numPr>
        <w:spacing w:after="60" w:line="260"/>
      </w:pPr>
      <w:r>
        <w:rPr>
          <w:rFonts w:ascii="Calibri" w:cs="Calibri" w:eastAsia="Calibri" w:hAnsi="Calibri"/>
          <w:sz w:val="20"/>
          <w:szCs w:val="20"/>
        </w:rPr>
        <w:t xml:space="preserve">DPO externe désigné dans les 6 mois — modalités de désignation à valider.</w:t>
      </w:r>
    </w:p>
    <w:p>
      <w:pPr>
        <w:pStyle w:val="ListParagraph"/>
        <w:numPr>
          <w:ilvl w:val="0"/>
          <w:numId w:val="2"/>
        </w:numPr>
        <w:spacing w:after="60" w:line="260"/>
      </w:pPr>
      <w:r>
        <w:rPr>
          <w:rFonts w:ascii="Calibri" w:cs="Calibri" w:eastAsia="Calibri" w:hAnsi="Calibri"/>
          <w:sz w:val="20"/>
          <w:szCs w:val="20"/>
        </w:rPr>
        <w:t xml:space="preserve">Bandeau de consentement cookies conforme aux lignes directrices CNIL (refus aussi simple que l'acceptation).</w:t>
      </w:r>
    </w:p>
    <w:p>
      <w:pPr>
        <w:pStyle w:val="ListParagraph"/>
        <w:numPr>
          <w:ilvl w:val="0"/>
          <w:numId w:val="2"/>
        </w:numPr>
        <w:spacing w:after="60" w:line="260"/>
      </w:pPr>
      <w:r>
        <w:rPr>
          <w:rFonts w:ascii="Calibri" w:cs="Calibri" w:eastAsia="Calibri" w:hAnsi="Calibri"/>
          <w:sz w:val="20"/>
          <w:szCs w:val="20"/>
        </w:rPr>
        <w:t xml:space="preserve">Sous-traitance encadrée (Stripe, assureur, partenaires HRA) — vérifier accords article 28.</w:t>
      </w:r>
    </w:p>
    <w:p>
      <w:pPr>
        <w:pStyle w:val="ListParagraph"/>
        <w:numPr>
          <w:ilvl w:val="0"/>
          <w:numId w:val="2"/>
        </w:numPr>
        <w:spacing w:after="60" w:line="260"/>
      </w:pPr>
      <w:r>
        <w:rPr>
          <w:rFonts w:ascii="Calibri" w:cs="Calibri" w:eastAsia="Calibri" w:hAnsi="Calibri"/>
          <w:sz w:val="20"/>
          <w:szCs w:val="20"/>
        </w:rPr>
        <w:t xml:space="preserve">Procédure de notification CNIL sous 72 heures en cas de violation.</w:t>
      </w:r>
    </w:p>
    <w:p>
      <w:pPr>
        <w:pStyle w:val="ListParagraph"/>
        <w:numPr>
          <w:ilvl w:val="0"/>
          <w:numId w:val="2"/>
        </w:numPr>
        <w:spacing w:after="60" w:line="260"/>
      </w:pPr>
      <w:r>
        <w:rPr>
          <w:rFonts w:ascii="Calibri" w:cs="Calibri" w:eastAsia="Calibri" w:hAnsi="Calibri"/>
          <w:sz w:val="20"/>
          <w:szCs w:val="20"/>
        </w:rPr>
        <w:t xml:space="preserve">Durées de conservation justifiées et proportionnées.</w:t>
      </w:r>
    </w:p>
    <w:p>
      <w:pPr>
        <w:spacing w:after="100" w:before="220"/>
      </w:pPr>
      <w:r>
        <w:rPr>
          <w:rFonts w:ascii="Calibri" w:cs="Calibri" w:eastAsia="Calibri" w:hAnsi="Calibri"/>
          <w:b/>
          <w:bCs/>
          <w:color w:val="E87722"/>
          <w:sz w:val="22"/>
          <w:szCs w:val="22"/>
        </w:rPr>
        <w:t xml:space="preserve">2.4. Conformité Code de la consommation</w:t>
      </w:r>
    </w:p>
    <w:p>
      <w:pPr>
        <w:pStyle w:val="ListParagraph"/>
        <w:numPr>
          <w:ilvl w:val="0"/>
          <w:numId w:val="2"/>
        </w:numPr>
        <w:spacing w:after="60" w:line="260"/>
      </w:pPr>
      <w:r>
        <w:rPr>
          <w:rFonts w:ascii="Calibri" w:cs="Calibri" w:eastAsia="Calibri" w:hAnsi="Calibri"/>
          <w:sz w:val="20"/>
          <w:szCs w:val="20"/>
        </w:rPr>
        <w:t xml:space="preserve">Mention explicite de la médiation gratuite (articles L612-1 et suivants).</w:t>
      </w:r>
    </w:p>
    <w:p>
      <w:pPr>
        <w:pStyle w:val="ListParagraph"/>
        <w:numPr>
          <w:ilvl w:val="0"/>
          <w:numId w:val="2"/>
        </w:numPr>
        <w:spacing w:after="60" w:line="260"/>
      </w:pPr>
      <w:r>
        <w:rPr>
          <w:rFonts w:ascii="Calibri" w:cs="Calibri" w:eastAsia="Calibri" w:hAnsi="Calibri"/>
          <w:sz w:val="20"/>
          <w:szCs w:val="20"/>
        </w:rPr>
        <w:t xml:space="preserve">Pas de clause abusive au sens de l'article L212-1.</w:t>
      </w:r>
    </w:p>
    <w:p>
      <w:pPr>
        <w:pStyle w:val="ListParagraph"/>
        <w:numPr>
          <w:ilvl w:val="0"/>
          <w:numId w:val="2"/>
        </w:numPr>
        <w:spacing w:after="60" w:line="260"/>
      </w:pPr>
      <w:r>
        <w:rPr>
          <w:rFonts w:ascii="Calibri" w:cs="Calibri" w:eastAsia="Calibri" w:hAnsi="Calibri"/>
          <w:sz w:val="20"/>
          <w:szCs w:val="20"/>
        </w:rPr>
        <w:t xml:space="preserve">Information précontractuelle conforme à l'article L221-5.</w:t>
      </w:r>
    </w:p>
    <w:p>
      <w:pPr>
        <w:pStyle w:val="ListParagraph"/>
        <w:numPr>
          <w:ilvl w:val="0"/>
          <w:numId w:val="2"/>
        </w:numPr>
        <w:spacing w:after="60" w:line="260"/>
      </w:pPr>
      <w:r>
        <w:rPr>
          <w:rFonts w:ascii="Calibri" w:cs="Calibri" w:eastAsia="Calibri" w:hAnsi="Calibri"/>
          <w:sz w:val="20"/>
          <w:szCs w:val="20"/>
        </w:rPr>
        <w:t xml:space="preserve">Modalités de paiement transparentes.</w:t>
      </w:r>
    </w:p>
    <w:p>
      <w:pPr>
        <w:pStyle w:val="ListParagraph"/>
        <w:numPr>
          <w:ilvl w:val="0"/>
          <w:numId w:val="2"/>
        </w:numPr>
        <w:spacing w:after="60" w:line="260"/>
      </w:pPr>
      <w:r>
        <w:rPr>
          <w:rFonts w:ascii="Calibri" w:cs="Calibri" w:eastAsia="Calibri" w:hAnsi="Calibri"/>
          <w:sz w:val="20"/>
          <w:szCs w:val="20"/>
        </w:rPr>
        <w:t xml:space="preserve">Réception du contrat sur support durable.</w:t>
      </w:r>
    </w:p>
    <w:p>
      <w:pPr>
        <w:spacing w:after="100" w:before="220"/>
      </w:pPr>
      <w:r>
        <w:rPr>
          <w:rFonts w:ascii="Calibri" w:cs="Calibri" w:eastAsia="Calibri" w:hAnsi="Calibri"/>
          <w:b/>
          <w:bCs/>
          <w:color w:val="E87722"/>
          <w:sz w:val="22"/>
          <w:szCs w:val="22"/>
        </w:rPr>
        <w:t xml:space="preserve">2.5. Conformité Code de commerce (Statuts SAS)</w:t>
      </w:r>
    </w:p>
    <w:p>
      <w:pPr>
        <w:pStyle w:val="ListParagraph"/>
        <w:numPr>
          <w:ilvl w:val="0"/>
          <w:numId w:val="2"/>
        </w:numPr>
        <w:spacing w:after="60" w:line="260"/>
      </w:pPr>
      <w:r>
        <w:rPr>
          <w:rFonts w:ascii="Calibri" w:cs="Calibri" w:eastAsia="Calibri" w:hAnsi="Calibri"/>
          <w:sz w:val="20"/>
          <w:szCs w:val="20"/>
        </w:rPr>
        <w:t xml:space="preserve">Mentions obligatoires des statuts conformes aux articles L227-1 et suivants.</w:t>
      </w:r>
    </w:p>
    <w:p>
      <w:pPr>
        <w:pStyle w:val="ListParagraph"/>
        <w:numPr>
          <w:ilvl w:val="0"/>
          <w:numId w:val="2"/>
        </w:numPr>
        <w:spacing w:after="60" w:line="260"/>
      </w:pPr>
      <w:r>
        <w:rPr>
          <w:rFonts w:ascii="Calibri" w:cs="Calibri" w:eastAsia="Calibri" w:hAnsi="Calibri"/>
          <w:sz w:val="20"/>
          <w:szCs w:val="20"/>
        </w:rPr>
        <w:t xml:space="preserve">Capital social et apports correctement décrits.</w:t>
      </w:r>
    </w:p>
    <w:p>
      <w:pPr>
        <w:pStyle w:val="ListParagraph"/>
        <w:numPr>
          <w:ilvl w:val="0"/>
          <w:numId w:val="2"/>
        </w:numPr>
        <w:spacing w:after="60" w:line="260"/>
      </w:pPr>
      <w:r>
        <w:rPr>
          <w:rFonts w:ascii="Calibri" w:cs="Calibri" w:eastAsia="Calibri" w:hAnsi="Calibri"/>
          <w:sz w:val="20"/>
          <w:szCs w:val="20"/>
        </w:rPr>
        <w:t xml:space="preserve">Présidence et révocation ad nutum bien encadrées.</w:t>
      </w:r>
    </w:p>
    <w:p>
      <w:pPr>
        <w:pStyle w:val="ListParagraph"/>
        <w:numPr>
          <w:ilvl w:val="0"/>
          <w:numId w:val="2"/>
        </w:numPr>
        <w:spacing w:after="60" w:line="260"/>
      </w:pPr>
      <w:r>
        <w:rPr>
          <w:rFonts w:ascii="Calibri" w:cs="Calibri" w:eastAsia="Calibri" w:hAnsi="Calibri"/>
          <w:sz w:val="20"/>
          <w:szCs w:val="20"/>
        </w:rPr>
        <w:t xml:space="preserve">Cession soumise à agrément Président — clause valide.</w:t>
      </w:r>
    </w:p>
    <w:p>
      <w:pPr>
        <w:pStyle w:val="ListParagraph"/>
        <w:numPr>
          <w:ilvl w:val="0"/>
          <w:numId w:val="2"/>
        </w:numPr>
        <w:spacing w:after="60" w:line="260"/>
      </w:pPr>
      <w:r>
        <w:rPr>
          <w:rFonts w:ascii="Calibri" w:cs="Calibri" w:eastAsia="Calibri" w:hAnsi="Calibri"/>
          <w:sz w:val="20"/>
          <w:szCs w:val="20"/>
        </w:rPr>
        <w:t xml:space="preserve">Réserve volontaire 5 % CA — clause statutaire opposable, vérifier l'absence de blocage légal.</w:t>
      </w:r>
    </w:p>
    <w:p>
      <w:pPr>
        <w:pStyle w:val="ListParagraph"/>
        <w:numPr>
          <w:ilvl w:val="0"/>
          <w:numId w:val="2"/>
        </w:numPr>
        <w:spacing w:after="60" w:line="260"/>
      </w:pPr>
      <w:r>
        <w:rPr>
          <w:rFonts w:ascii="Calibri" w:cs="Calibri" w:eastAsia="Calibri" w:hAnsi="Calibri"/>
          <w:sz w:val="20"/>
          <w:szCs w:val="20"/>
        </w:rPr>
        <w:t xml:space="preserve">Quorum et majorités cohérents avec la loi (modification statuts, transformation, dissolution).</w:t>
      </w:r>
    </w:p>
    <w:p>
      <w:pPr>
        <w:spacing w:after="100" w:before="220"/>
      </w:pPr>
      <w:r>
        <w:rPr>
          <w:rFonts w:ascii="Calibri" w:cs="Calibri" w:eastAsia="Calibri" w:hAnsi="Calibri"/>
          <w:b/>
          <w:bCs/>
          <w:color w:val="E87722"/>
          <w:sz w:val="22"/>
          <w:szCs w:val="22"/>
        </w:rPr>
        <w:t xml:space="preserve">2.6. Conformité fiscale</w:t>
      </w:r>
    </w:p>
    <w:p>
      <w:pPr>
        <w:pStyle w:val="ListParagraph"/>
        <w:numPr>
          <w:ilvl w:val="0"/>
          <w:numId w:val="2"/>
        </w:numPr>
        <w:spacing w:after="60" w:line="260"/>
      </w:pPr>
      <w:r>
        <w:rPr>
          <w:rFonts w:ascii="Calibri" w:cs="Calibri" w:eastAsia="Calibri" w:hAnsi="Calibri"/>
          <w:sz w:val="20"/>
          <w:szCs w:val="20"/>
        </w:rPr>
        <w:t xml:space="preserve">Régime TVA marge tourisme (BOI-TVA-SECT-60, article 266-1-e CGI) bien identifié dans la mécanique de marge HRA.</w:t>
      </w:r>
    </w:p>
    <w:p>
      <w:pPr>
        <w:pStyle w:val="ListParagraph"/>
        <w:numPr>
          <w:ilvl w:val="0"/>
          <w:numId w:val="2"/>
        </w:numPr>
        <w:spacing w:after="60" w:line="260"/>
      </w:pPr>
      <w:r>
        <w:rPr>
          <w:rFonts w:ascii="Calibri" w:cs="Calibri" w:eastAsia="Calibri" w:hAnsi="Calibri"/>
          <w:sz w:val="20"/>
          <w:szCs w:val="20"/>
        </w:rPr>
        <w:t xml:space="preserve">Absence de double imposition entre marge socle Eventy et commissions Vendeur/Créateur.</w:t>
      </w:r>
    </w:p>
    <w:p>
      <w:pPr>
        <w:pStyle w:val="ListParagraph"/>
        <w:numPr>
          <w:ilvl w:val="0"/>
          <w:numId w:val="2"/>
        </w:numPr>
        <w:spacing w:after="60" w:line="260"/>
      </w:pPr>
      <w:r>
        <w:rPr>
          <w:rFonts w:ascii="Calibri" w:cs="Calibri" w:eastAsia="Calibri" w:hAnsi="Calibri"/>
          <w:sz w:val="20"/>
          <w:szCs w:val="20"/>
        </w:rPr>
        <w:t xml:space="preserve">Mentions « TVA non applicable, art. 293 B CGI » pour vendeurs auto-entrepreneurs en franchise.</w:t>
      </w:r>
    </w:p>
    <w:p>
      <w:pPr>
        <w:pStyle w:val="ListParagraph"/>
        <w:numPr>
          <w:ilvl w:val="0"/>
          <w:numId w:val="2"/>
        </w:numPr>
        <w:spacing w:after="60" w:line="260"/>
      </w:pPr>
      <w:r>
        <w:rPr>
          <w:rFonts w:ascii="Calibri" w:cs="Calibri" w:eastAsia="Calibri" w:hAnsi="Calibri"/>
          <w:sz w:val="20"/>
          <w:szCs w:val="20"/>
        </w:rPr>
        <w:t xml:space="preserve">Statut JEI éligible (à valider avec rescrit fiscal).</w:t>
      </w:r>
    </w:p>
    <w:p>
      <w:pPr>
        <w:pStyle w:val="ListParagraph"/>
        <w:numPr>
          <w:ilvl w:val="0"/>
          <w:numId w:val="2"/>
        </w:numPr>
        <w:spacing w:after="60" w:line="260"/>
      </w:pPr>
      <w:r>
        <w:rPr>
          <w:rFonts w:ascii="Calibri" w:cs="Calibri" w:eastAsia="Calibri" w:hAnsi="Calibri"/>
          <w:sz w:val="20"/>
          <w:szCs w:val="20"/>
        </w:rPr>
        <w:t xml:space="preserve">CIR et CII éligibles sur dépenses R&amp;D et innovation.</w:t>
      </w:r>
    </w:p>
    <w:p>
      <w:pPr>
        <w:spacing w:after="160" w:before="240"/>
      </w:pPr>
      <w:r>
        <w:rPr>
          <w:rFonts w:ascii="Calibri" w:cs="Calibri" w:eastAsia="Calibri" w:hAnsi="Calibri"/>
          <w:b/>
          <w:bCs/>
          <w:color w:val="1F4E79"/>
          <w:sz w:val="32"/>
          <w:szCs w:val="32"/>
        </w:rPr>
        <w:t xml:space="preserve">3. Questions ouvertes pour l'avocat</w:t>
      </w:r>
    </w:p>
    <w:p>
      <w:pPr>
        <w:spacing w:after="100" w:before="220"/>
      </w:pPr>
      <w:r>
        <w:rPr>
          <w:rFonts w:ascii="Calibri" w:cs="Calibri" w:eastAsia="Calibri" w:hAnsi="Calibri"/>
          <w:b/>
          <w:bCs/>
          <w:color w:val="E87722"/>
          <w:sz w:val="22"/>
          <w:szCs w:val="22"/>
        </w:rPr>
        <w:t xml:space="preserve">3.1. Questions structurantes</w:t>
      </w:r>
    </w:p>
    <w:p>
      <w:pPr>
        <w:pStyle w:val="ListParagraph"/>
        <w:numPr>
          <w:ilvl w:val="0"/>
          <w:numId w:val="3"/>
        </w:numPr>
        <w:spacing w:after="60" w:line="260"/>
      </w:pPr>
      <w:r>
        <w:rPr>
          <w:rFonts w:ascii="Calibri" w:cs="Calibri" w:eastAsia="Calibri" w:hAnsi="Calibri"/>
          <w:sz w:val="20"/>
          <w:szCs w:val="20"/>
        </w:rPr>
        <w:t xml:space="preserve">Forme finale de la levée Seed : augmentation de capital classique OU BSA-AIR ? Implications juridiques et fiscales pour le Fondateur ?</w:t>
      </w:r>
    </w:p>
    <w:p>
      <w:pPr>
        <w:pStyle w:val="ListParagraph"/>
        <w:numPr>
          <w:ilvl w:val="0"/>
          <w:numId w:val="3"/>
        </w:numPr>
        <w:spacing w:after="60" w:line="260"/>
      </w:pPr>
      <w:r>
        <w:rPr>
          <w:rFonts w:ascii="Calibri" w:cs="Calibri" w:eastAsia="Calibri" w:hAnsi="Calibri"/>
          <w:sz w:val="20"/>
          <w:szCs w:val="20"/>
        </w:rPr>
        <w:t xml:space="preserve">Pacte d'associés : niveau de protection optimal pour le Fondateur (anti-dilution, drag-along threshold) ?</w:t>
      </w:r>
    </w:p>
    <w:p>
      <w:pPr>
        <w:pStyle w:val="ListParagraph"/>
        <w:numPr>
          <w:ilvl w:val="0"/>
          <w:numId w:val="3"/>
        </w:numPr>
        <w:spacing w:after="60" w:line="260"/>
      </w:pPr>
      <w:r>
        <w:rPr>
          <w:rFonts w:ascii="Calibri" w:cs="Calibri" w:eastAsia="Calibri" w:hAnsi="Calibri"/>
          <w:sz w:val="20"/>
          <w:szCs w:val="20"/>
        </w:rPr>
        <w:t xml:space="preserve">Statuts : opportunité d'introduire des actions de préférence dès la constitution ?</w:t>
      </w:r>
    </w:p>
    <w:p>
      <w:pPr>
        <w:pStyle w:val="ListParagraph"/>
        <w:numPr>
          <w:ilvl w:val="0"/>
          <w:numId w:val="3"/>
        </w:numPr>
        <w:spacing w:after="60" w:line="260"/>
      </w:pPr>
      <w:r>
        <w:rPr>
          <w:rFonts w:ascii="Calibri" w:cs="Calibri" w:eastAsia="Calibri" w:hAnsi="Calibri"/>
          <w:sz w:val="20"/>
          <w:szCs w:val="20"/>
        </w:rPr>
        <w:t xml:space="preserve">Clause de non-concurrence Fondateur : durée et géographie à finaliser.</w:t>
      </w:r>
    </w:p>
    <w:p>
      <w:pPr>
        <w:pStyle w:val="ListParagraph"/>
        <w:numPr>
          <w:ilvl w:val="0"/>
          <w:numId w:val="3"/>
        </w:numPr>
        <w:spacing w:after="60" w:line="260"/>
      </w:pPr>
      <w:r>
        <w:rPr>
          <w:rFonts w:ascii="Calibri" w:cs="Calibri" w:eastAsia="Calibri" w:hAnsi="Calibri"/>
          <w:sz w:val="20"/>
          <w:szCs w:val="20"/>
        </w:rPr>
        <w:t xml:space="preserve">Réserve volontaire 5 % CA : opposabilité aux Investisseurs futurs ?</w:t>
      </w:r>
    </w:p>
    <w:p>
      <w:pPr>
        <w:spacing w:after="100" w:before="220"/>
      </w:pPr>
      <w:r>
        <w:rPr>
          <w:rFonts w:ascii="Calibri" w:cs="Calibri" w:eastAsia="Calibri" w:hAnsi="Calibri"/>
          <w:b/>
          <w:bCs/>
          <w:color w:val="E87722"/>
          <w:sz w:val="22"/>
          <w:szCs w:val="22"/>
        </w:rPr>
        <w:t xml:space="preserve">3.2. Questions opérationnelles</w:t>
      </w:r>
    </w:p>
    <w:p>
      <w:pPr>
        <w:pStyle w:val="ListParagraph"/>
        <w:numPr>
          <w:ilvl w:val="0"/>
          <w:numId w:val="3"/>
        </w:numPr>
        <w:spacing w:after="60" w:line="260"/>
      </w:pPr>
      <w:r>
        <w:rPr>
          <w:rFonts w:ascii="Calibri" w:cs="Calibri" w:eastAsia="Calibri" w:hAnsi="Calibri"/>
          <w:sz w:val="20"/>
          <w:szCs w:val="20"/>
        </w:rPr>
        <w:t xml:space="preserve">Modalités de la TVA marge tourisme face à la mécanique distribuée Vendeur/Créateur — schéma à valider avec l'expert-comptable.</w:t>
      </w:r>
    </w:p>
    <w:p>
      <w:pPr>
        <w:pStyle w:val="ListParagraph"/>
        <w:numPr>
          <w:ilvl w:val="0"/>
          <w:numId w:val="3"/>
        </w:numPr>
        <w:spacing w:after="60" w:line="260"/>
      </w:pPr>
      <w:r>
        <w:rPr>
          <w:rFonts w:ascii="Calibri" w:cs="Calibri" w:eastAsia="Calibri" w:hAnsi="Calibri"/>
          <w:sz w:val="20"/>
          <w:szCs w:val="20"/>
        </w:rPr>
        <w:t xml:space="preserve">Risque de requalification des Vendeurs/Créateurs en VRP ou en salariés — comment sécuriser l'indépendance ?</w:t>
      </w:r>
    </w:p>
    <w:p>
      <w:pPr>
        <w:pStyle w:val="ListParagraph"/>
        <w:numPr>
          <w:ilvl w:val="0"/>
          <w:numId w:val="3"/>
        </w:numPr>
        <w:spacing w:after="60" w:line="260"/>
      </w:pPr>
      <w:r>
        <w:rPr>
          <w:rFonts w:ascii="Calibri" w:cs="Calibri" w:eastAsia="Calibri" w:hAnsi="Calibri"/>
          <w:sz w:val="20"/>
          <w:szCs w:val="20"/>
        </w:rPr>
        <w:t xml:space="preserve">Statut juridique des données médicales (allergènes, conditions médicales voyageur) — base légale article 9 (2) RGPD ?</w:t>
      </w:r>
    </w:p>
    <w:p>
      <w:pPr>
        <w:pStyle w:val="ListParagraph"/>
        <w:numPr>
          <w:ilvl w:val="0"/>
          <w:numId w:val="3"/>
        </w:numPr>
        <w:spacing w:after="60" w:line="260"/>
      </w:pPr>
      <w:r>
        <w:rPr>
          <w:rFonts w:ascii="Calibri" w:cs="Calibri" w:eastAsia="Calibri" w:hAnsi="Calibri"/>
          <w:sz w:val="20"/>
          <w:szCs w:val="20"/>
        </w:rPr>
        <w:t xml:space="preserve">Acceptation des chèques-vacances ANCV — démarche à entreprendre auprès de l'ANCV ?</w:t>
      </w:r>
    </w:p>
    <w:p>
      <w:pPr>
        <w:pStyle w:val="ListParagraph"/>
        <w:numPr>
          <w:ilvl w:val="0"/>
          <w:numId w:val="3"/>
        </w:numPr>
        <w:spacing w:after="60" w:line="260"/>
      </w:pPr>
      <w:r>
        <w:rPr>
          <w:rFonts w:ascii="Calibri" w:cs="Calibri" w:eastAsia="Calibri" w:hAnsi="Calibri"/>
          <w:sz w:val="20"/>
          <w:szCs w:val="20"/>
        </w:rPr>
        <w:t xml:space="preserve">Couverture RC Pro Tourisme — plafond 1 500 000 € suffisant ou recommander 3 000 000 € ?</w:t>
      </w:r>
    </w:p>
    <w:p>
      <w:pPr>
        <w:spacing w:after="100" w:before="220"/>
      </w:pPr>
      <w:r>
        <w:rPr>
          <w:rFonts w:ascii="Calibri" w:cs="Calibri" w:eastAsia="Calibri" w:hAnsi="Calibri"/>
          <w:b/>
          <w:bCs/>
          <w:color w:val="E87722"/>
          <w:sz w:val="22"/>
          <w:szCs w:val="22"/>
        </w:rPr>
        <w:t xml:space="preserve">3.3. Questions stratégiques</w:t>
      </w:r>
    </w:p>
    <w:p>
      <w:pPr>
        <w:pStyle w:val="ListParagraph"/>
        <w:numPr>
          <w:ilvl w:val="0"/>
          <w:numId w:val="3"/>
        </w:numPr>
        <w:spacing w:after="60" w:line="260"/>
      </w:pPr>
      <w:r>
        <w:rPr>
          <w:rFonts w:ascii="Calibri" w:cs="Calibri" w:eastAsia="Calibri" w:hAnsi="Calibri"/>
          <w:sz w:val="20"/>
          <w:szCs w:val="20"/>
        </w:rPr>
        <w:t xml:space="preserve">Anticipation Européenne : quelles adaptations contractuelles si voyages organisés depuis un autre pays UE ?</w:t>
      </w:r>
    </w:p>
    <w:p>
      <w:pPr>
        <w:pStyle w:val="ListParagraph"/>
        <w:numPr>
          <w:ilvl w:val="0"/>
          <w:numId w:val="3"/>
        </w:numPr>
        <w:spacing w:after="60" w:line="260"/>
      </w:pPr>
      <w:r>
        <w:rPr>
          <w:rFonts w:ascii="Calibri" w:cs="Calibri" w:eastAsia="Calibri" w:hAnsi="Calibri"/>
          <w:sz w:val="20"/>
          <w:szCs w:val="20"/>
        </w:rPr>
        <w:t xml:space="preserve">Évolutions réglementaires anticipées (révision directive 2015/2302, AI Act, DSA, etc.).</w:t>
      </w:r>
    </w:p>
    <w:p>
      <w:pPr>
        <w:pStyle w:val="ListParagraph"/>
        <w:numPr>
          <w:ilvl w:val="0"/>
          <w:numId w:val="3"/>
        </w:numPr>
        <w:spacing w:after="60" w:line="260"/>
      </w:pPr>
      <w:r>
        <w:rPr>
          <w:rFonts w:ascii="Calibri" w:cs="Calibri" w:eastAsia="Calibri" w:hAnsi="Calibri"/>
          <w:sz w:val="20"/>
          <w:szCs w:val="20"/>
        </w:rPr>
        <w:t xml:space="preserve">Médiation conventionnelle MTV : opter pour MTV ou autre médiateur (UNAT, Médiation Tourisme et Voyage) ?</w:t>
      </w:r>
    </w:p>
    <w:p>
      <w:pPr>
        <w:pStyle w:val="ListParagraph"/>
        <w:numPr>
          <w:ilvl w:val="0"/>
          <w:numId w:val="3"/>
        </w:numPr>
        <w:spacing w:after="60" w:line="260"/>
      </w:pPr>
      <w:r>
        <w:rPr>
          <w:rFonts w:ascii="Calibri" w:cs="Calibri" w:eastAsia="Calibri" w:hAnsi="Calibri"/>
          <w:sz w:val="20"/>
          <w:szCs w:val="20"/>
        </w:rPr>
        <w:t xml:space="preserve">Risque réputationnel : politique de gestion des avis voyageurs (Trustpilot, Google) ?</w:t>
      </w:r>
    </w:p>
    <w:p>
      <w:pPr>
        <w:spacing w:after="160" w:before="240"/>
      </w:pPr>
      <w:r>
        <w:rPr>
          <w:rFonts w:ascii="Calibri" w:cs="Calibri" w:eastAsia="Calibri" w:hAnsi="Calibri"/>
          <w:b/>
          <w:bCs/>
          <w:color w:val="1F4E79"/>
          <w:sz w:val="32"/>
          <w:szCs w:val="32"/>
        </w:rPr>
        <w:t xml:space="preserve">4. Pièces complémentaires à produire</w:t>
      </w:r>
    </w:p>
    <w:p>
      <w:pPr>
        <w:spacing w:after="100" w:line="280"/>
        <w:jc w:val="both"/>
      </w:pPr>
      <w:r>
        <w:rPr>
          <w:rFonts w:ascii="Calibri" w:cs="Calibri" w:eastAsia="Calibri" w:hAnsi="Calibri"/>
          <w:color w:val="1A1A1A"/>
          <w:sz w:val="20"/>
          <w:szCs w:val="20"/>
        </w:rPr>
        <w:t xml:space="preserve">Pour faciliter la relecture, l'avocat tourisme peut demander la transmission complémentaire des pièces suivantes :</w:t>
      </w:r>
    </w:p>
    <w:p>
      <w:pPr>
        <w:pStyle w:val="ListParagraph"/>
        <w:numPr>
          <w:ilvl w:val="0"/>
          <w:numId w:val="3"/>
        </w:numPr>
        <w:spacing w:after="60" w:line="260"/>
      </w:pPr>
      <w:r>
        <w:rPr>
          <w:rFonts w:ascii="Calibri" w:cs="Calibri" w:eastAsia="Calibri" w:hAnsi="Calibri"/>
          <w:sz w:val="20"/>
          <w:szCs w:val="20"/>
        </w:rPr>
        <w:t xml:space="preserve">Dossier de garantie financière complet (Eventy-Life-Dossier-Garantie-Financiere-COMPLET.pdf · 119 pages).</w:t>
      </w:r>
    </w:p>
    <w:p>
      <w:pPr>
        <w:pStyle w:val="ListParagraph"/>
        <w:numPr>
          <w:ilvl w:val="0"/>
          <w:numId w:val="3"/>
        </w:numPr>
        <w:spacing w:after="60" w:line="260"/>
      </w:pPr>
      <w:r>
        <w:rPr>
          <w:rFonts w:ascii="Calibri" w:cs="Calibri" w:eastAsia="Calibri" w:hAnsi="Calibri"/>
          <w:sz w:val="20"/>
          <w:szCs w:val="20"/>
        </w:rPr>
        <w:t xml:space="preserve">Dossier investisseur (Eventy-Life-Dossier-Investisseur.pdf · 15 pages).</w:t>
      </w:r>
    </w:p>
    <w:p>
      <w:pPr>
        <w:pStyle w:val="ListParagraph"/>
        <w:numPr>
          <w:ilvl w:val="0"/>
          <w:numId w:val="3"/>
        </w:numPr>
        <w:spacing w:after="60" w:line="260"/>
      </w:pPr>
      <w:r>
        <w:rPr>
          <w:rFonts w:ascii="Calibri" w:cs="Calibri" w:eastAsia="Calibri" w:hAnsi="Calibri"/>
          <w:sz w:val="20"/>
          <w:szCs w:val="20"/>
        </w:rPr>
        <w:t xml:space="preserve">Manuel d'incident voyage (Eventy-Life-Manuel-Incident-Voyage.pdf · 7 pages).</w:t>
      </w:r>
    </w:p>
    <w:p>
      <w:pPr>
        <w:pStyle w:val="ListParagraph"/>
        <w:numPr>
          <w:ilvl w:val="0"/>
          <w:numId w:val="3"/>
        </w:numPr>
        <w:spacing w:after="60" w:line="260"/>
      </w:pPr>
      <w:r>
        <w:rPr>
          <w:rFonts w:ascii="Calibri" w:cs="Calibri" w:eastAsia="Calibri" w:hAnsi="Calibri"/>
          <w:sz w:val="20"/>
          <w:szCs w:val="20"/>
        </w:rPr>
        <w:t xml:space="preserve">Onboarding partenaires (Eventy-Life-Onboarding-Partenaires.pdf · 4 pages).</w:t>
      </w:r>
    </w:p>
    <w:p>
      <w:pPr>
        <w:pStyle w:val="ListParagraph"/>
        <w:numPr>
          <w:ilvl w:val="0"/>
          <w:numId w:val="3"/>
        </w:numPr>
        <w:spacing w:after="60" w:line="260"/>
      </w:pPr>
      <w:r>
        <w:rPr>
          <w:rFonts w:ascii="Calibri" w:cs="Calibri" w:eastAsia="Calibri" w:hAnsi="Calibri"/>
          <w:sz w:val="20"/>
          <w:szCs w:val="20"/>
        </w:rPr>
        <w:t xml:space="preserve">Catalogue programmes types saison 1 (Eventy-Life-Catalogue-Programmes-Saison-1.pdf · 10 voyages).</w:t>
      </w:r>
    </w:p>
    <w:p>
      <w:pPr>
        <w:pStyle w:val="ListParagraph"/>
        <w:numPr>
          <w:ilvl w:val="0"/>
          <w:numId w:val="3"/>
        </w:numPr>
        <w:spacing w:after="60" w:line="260"/>
      </w:pPr>
      <w:r>
        <w:rPr>
          <w:rFonts w:ascii="Calibri" w:cs="Calibri" w:eastAsia="Calibri" w:hAnsi="Calibri"/>
          <w:sz w:val="20"/>
          <w:szCs w:val="20"/>
        </w:rPr>
        <w:t xml:space="preserve">Plan marketing An 1 (Eventy-Life-Plan-Marketing-An-1.pdf).</w:t>
      </w:r>
    </w:p>
    <w:p>
      <w:pPr>
        <w:pStyle w:val="ListParagraph"/>
        <w:numPr>
          <w:ilvl w:val="0"/>
          <w:numId w:val="3"/>
        </w:numPr>
        <w:spacing w:after="60" w:line="260"/>
      </w:pPr>
      <w:r>
        <w:rPr>
          <w:rFonts w:ascii="Calibri" w:cs="Calibri" w:eastAsia="Calibri" w:hAnsi="Calibri"/>
          <w:sz w:val="20"/>
          <w:szCs w:val="20"/>
        </w:rPr>
        <w:t xml:space="preserve">Documents techniques de la plateforme (sur demande).</w:t>
      </w:r>
    </w:p>
    <w:p>
      <w:pPr>
        <w:pStyle w:val="ListParagraph"/>
        <w:numPr>
          <w:ilvl w:val="0"/>
          <w:numId w:val="3"/>
        </w:numPr>
        <w:spacing w:after="60" w:line="260"/>
      </w:pPr>
      <w:r>
        <w:rPr>
          <w:rFonts w:ascii="Calibri" w:cs="Calibri" w:eastAsia="Calibri" w:hAnsi="Calibri"/>
          <w:sz w:val="20"/>
          <w:szCs w:val="20"/>
        </w:rPr>
        <w:t xml:space="preserve">Devis pré-engagement RC Pro Tourisme (Cabinet Vallois — Galian).</w:t>
      </w:r>
    </w:p>
    <w:p>
      <w:pPr>
        <w:pStyle w:val="ListParagraph"/>
        <w:numPr>
          <w:ilvl w:val="0"/>
          <w:numId w:val="3"/>
        </w:numPr>
        <w:spacing w:after="60" w:line="260"/>
      </w:pPr>
      <w:r>
        <w:rPr>
          <w:rFonts w:ascii="Calibri" w:cs="Calibri" w:eastAsia="Calibri" w:hAnsi="Calibri"/>
          <w:sz w:val="20"/>
          <w:szCs w:val="20"/>
        </w:rPr>
        <w:t xml:space="preserve">Mandat expert-comptable spécialisé tourisme (à signer).</w:t>
      </w:r>
    </w:p>
    <w:p>
      <w:pPr>
        <w:spacing w:after="160" w:before="240"/>
      </w:pPr>
      <w:r>
        <w:rPr>
          <w:rFonts w:ascii="Calibri" w:cs="Calibri" w:eastAsia="Calibri" w:hAnsi="Calibri"/>
          <w:b/>
          <w:bCs/>
          <w:color w:val="1F4E79"/>
          <w:sz w:val="32"/>
          <w:szCs w:val="32"/>
        </w:rPr>
        <w:t xml:space="preserve">5. Calendrier et livrables attendus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Délai</w:t>
            </w:r>
          </w:p>
        </w:tc>
        <w:tc>
          <w:tcPr>
            <w:tcW w:type="dxa" w:w="4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Livrable attendu de l'avocat</w:t>
            </w:r>
          </w:p>
        </w:tc>
        <w:tc>
          <w:tcPr>
            <w:tcW w:type="dxa" w:w="2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Statut</w:t>
            </w:r>
          </w:p>
        </w:tc>
      </w:tr>
      <w:tr>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 + 7</w:t>
            </w:r>
          </w:p>
        </w:tc>
        <w:tc>
          <w:tcPr>
            <w:tcW w:type="dxa" w:w="4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Note de relecture des CGV avec corrections suggérées</w:t>
            </w:r>
          </w:p>
        </w:tc>
        <w:tc>
          <w:tcPr>
            <w:tcW w:type="dxa" w:w="2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À planifier</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 + 14</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Note de relecture des Statuts SAS finalisés</w:t>
            </w:r>
          </w:p>
        </w:tc>
        <w:tc>
          <w:tcPr>
            <w:tcW w:type="dxa" w:w="2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À planifier</w:t>
            </w:r>
          </w:p>
        </w:tc>
      </w:tr>
      <w:tr>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 + 21</w:t>
            </w:r>
          </w:p>
        </w:tc>
        <w:tc>
          <w:tcPr>
            <w:tcW w:type="dxa" w:w="4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Note de relecture des contrats partenaires (Vendeur, Créateur, HRA)</w:t>
            </w:r>
          </w:p>
        </w:tc>
        <w:tc>
          <w:tcPr>
            <w:tcW w:type="dxa" w:w="2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À planifier</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 + 28</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Note de relecture du Pacte d'associés Seed</w:t>
            </w:r>
          </w:p>
        </w:tc>
        <w:tc>
          <w:tcPr>
            <w:tcW w:type="dxa" w:w="2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À planifier</w:t>
            </w:r>
          </w:p>
        </w:tc>
      </w:tr>
      <w:tr>
        <w:tc>
          <w:tcPr>
            <w:tcW w:type="dxa" w:w="2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 + 35</w:t>
            </w:r>
          </w:p>
        </w:tc>
        <w:tc>
          <w:tcPr>
            <w:tcW w:type="dxa" w:w="4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Synthèse des points juridiques validés + recommandations finales</w:t>
            </w:r>
          </w:p>
        </w:tc>
        <w:tc>
          <w:tcPr>
            <w:tcW w:type="dxa" w:w="2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À planifier</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 + 42</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Lettre de validation pour transmission au dossier APST</w:t>
            </w:r>
          </w:p>
        </w:tc>
        <w:tc>
          <w:tcPr>
            <w:tcW w:type="dxa" w:w="2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À planifier</w:t>
            </w:r>
          </w:p>
        </w:tc>
      </w:tr>
    </w:tbl>
    <w:p>
      <w:pPr>
        <w:spacing w:after="160" w:before="240"/>
      </w:pPr>
      <w:r>
        <w:rPr>
          <w:rFonts w:ascii="Calibri" w:cs="Calibri" w:eastAsia="Calibri" w:hAnsi="Calibri"/>
          <w:b/>
          <w:bCs/>
          <w:color w:val="1F4E79"/>
          <w:sz w:val="32"/>
          <w:szCs w:val="32"/>
        </w:rPr>
        <w:t xml:space="preserve">6. Modalités de la mission</w:t>
      </w:r>
    </w:p>
    <w:p>
      <w:pPr>
        <w:pStyle w:val="ListParagraph"/>
        <w:numPr>
          <w:ilvl w:val="0"/>
          <w:numId w:val="3"/>
        </w:numPr>
        <w:spacing w:after="60" w:line="260"/>
      </w:pPr>
      <w:r>
        <w:rPr>
          <w:rFonts w:ascii="Calibri" w:cs="Calibri" w:eastAsia="Calibri" w:hAnsi="Calibri"/>
          <w:sz w:val="20"/>
          <w:szCs w:val="20"/>
        </w:rPr>
        <w:t xml:space="preserve">Honoraires : à convenir au temps passé OU au forfait, selon préférence.</w:t>
      </w:r>
    </w:p>
    <w:p>
      <w:pPr>
        <w:pStyle w:val="ListParagraph"/>
        <w:numPr>
          <w:ilvl w:val="0"/>
          <w:numId w:val="3"/>
        </w:numPr>
        <w:spacing w:after="60" w:line="260"/>
      </w:pPr>
      <w:r>
        <w:rPr>
          <w:rFonts w:ascii="Calibri" w:cs="Calibri" w:eastAsia="Calibri" w:hAnsi="Calibri"/>
          <w:sz w:val="20"/>
          <w:szCs w:val="20"/>
        </w:rPr>
        <w:t xml:space="preserve">Confidentialité : engagement de l'avocat à ne pas divulguer les éléments du dossier (couverte par le secret professionnel).</w:t>
      </w:r>
    </w:p>
    <w:p>
      <w:pPr>
        <w:pStyle w:val="ListParagraph"/>
        <w:numPr>
          <w:ilvl w:val="0"/>
          <w:numId w:val="3"/>
        </w:numPr>
        <w:spacing w:after="60" w:line="260"/>
      </w:pPr>
      <w:r>
        <w:rPr>
          <w:rFonts w:ascii="Calibri" w:cs="Calibri" w:eastAsia="Calibri" w:hAnsi="Calibri"/>
          <w:sz w:val="20"/>
          <w:szCs w:val="20"/>
        </w:rPr>
        <w:t xml:space="preserve">Disponibilité : prévoir 4 à 6 heures de travail concentré + 1 à 2 réunions de validation.</w:t>
      </w:r>
    </w:p>
    <w:p>
      <w:pPr>
        <w:pStyle w:val="ListParagraph"/>
        <w:numPr>
          <w:ilvl w:val="0"/>
          <w:numId w:val="3"/>
        </w:numPr>
        <w:spacing w:after="60" w:line="260"/>
      </w:pPr>
      <w:r>
        <w:rPr>
          <w:rFonts w:ascii="Calibri" w:cs="Calibri" w:eastAsia="Calibri" w:hAnsi="Calibri"/>
          <w:sz w:val="20"/>
          <w:szCs w:val="20"/>
        </w:rPr>
        <w:t xml:space="preserve">Suivi annuel : prévoir un audit annuel léger (mise à jour CGV, suivi des évolutions réglementaires).</w:t>
      </w:r>
    </w:p>
    <w:p>
      <w:pPr>
        <w:spacing w:after="180"/>
      </w:pPr>
      <w:r>
        <w:t xml:space="preserve"/>
      </w:r>
    </w:p>
    <w:p>
      <w:pPr>
        <w:spacing w:after="100" w:line="280"/>
        <w:jc w:val="both"/>
      </w:pPr>
      <w:r>
        <w:rPr>
          <w:rFonts w:ascii="Calibri" w:cs="Calibri" w:eastAsia="Calibri" w:hAnsi="Calibri"/>
          <w:b/>
          <w:bCs/>
          <w:color w:val="1F4E79"/>
          <w:sz w:val="22"/>
          <w:szCs w:val="22"/>
        </w:rPr>
        <w:t xml:space="preserve">Contact direct : David Eventy — Président, Fondateur — eventylife@gmail.com — disponibilité 7j/7.</w:t>
      </w:r>
    </w:p>
    <w:p>
      <w:pPr>
        <w:spacing w:after="80"/>
      </w:pPr>
      <w:r>
        <w:t xml:space="preserve"/>
      </w:r>
    </w:p>
    <w:p>
      <w:pPr>
        <w:spacing w:after="100" w:line="280"/>
        <w:jc w:val="both"/>
      </w:pPr>
      <w:r>
        <w:rPr>
          <w:rFonts w:ascii="Calibri" w:cs="Calibri" w:eastAsia="Calibri" w:hAnsi="Calibri"/>
          <w:i/>
          <w:iCs/>
          <w:color w:val="555555"/>
          <w:sz w:val="18"/>
          <w:szCs w:val="18"/>
        </w:rPr>
        <w:t xml:space="preserve">Document confidentiel — usage strictement réservé à l'avocat tourisme partenaire dans le cadre de la mission de relecture du dossier de garantie financière.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Note avocat tourisme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Note de référence avocat tourisme</dc:title>
  <dc:creator>David Eventy — Eventy Life SAS</dc:creator>
  <dc:description>Synthèse des points juridiques à valider avant dépôt officiel APST/Atout France.</dc:description>
  <cp:lastModifiedBy>Un-named</cp:lastModifiedBy>
  <cp:revision>1</cp:revision>
  <dcterms:created xsi:type="dcterms:W3CDTF">2026-04-30T08:09:48.137Z</dcterms:created>
  <dcterms:modified xsi:type="dcterms:W3CDTF">2026-04-30T08:09:48.137Z</dcterms:modified>
</cp:coreProperties>
</file>

<file path=docProps/custom.xml><?xml version="1.0" encoding="utf-8"?>
<Properties xmlns="http://schemas.openxmlformats.org/officeDocument/2006/custom-properties" xmlns:vt="http://schemas.openxmlformats.org/officeDocument/2006/docPropsVTypes"/>
</file>