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7722" w:sz="18"/>
              <w:left w:val="single" w:color="E87722" w:sz="18"/>
              <w:bottom w:val="single" w:color="E87722" w:sz="18"/>
              <w:right w:val="single" w:color="E87722" w:sz="18"/>
            </w:tcBorders>
            <w:shd w:fill="FFF8EE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E87722"/>
                <w:sz w:val="28"/>
                <w:szCs w:val="28"/>
              </w:rPr>
              <w:t xml:space="preserve">GRILLE DE DÉCISION DESTINATIONS EVENTY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1F4E79"/>
                <w:sz w:val="18"/>
                <w:szCs w:val="18"/>
              </w:rPr>
              <w:t xml:space="preserve">Critères structurés pour sélectionner ou écarter une destination de voyage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00" w:line="280"/>
        <w:jc w:val="both"/>
      </w:pPr>
      <w:r>
        <w:rPr>
          <w:rFonts w:ascii="Calibri" w:cs="Calibri" w:eastAsia="Calibri" w:hAnsi="Calibri"/>
          <w:i/>
          <w:iCs/>
          <w:color w:val="1A1A1A"/>
          <w:sz w:val="20"/>
          <w:szCs w:val="20"/>
        </w:rPr>
        <w:t xml:space="preserve">La présente grille formalise les critères qu'EVENTY LIFE SAS applique pour décider d'inclure ou d'écarter une destination dans son catalogue. Elle vise à garantir une cohérence stratégique, qualitative, éthique et économique sur l'ensemble du catalogue, et à éviter les décisions d'opportunité non alignées sur l'âme d'Eventy.</w:t>
      </w:r>
    </w:p>
    <w:p>
      <w:pPr>
        <w:spacing w:after="100" w:line="280"/>
        <w:jc w:val="both"/>
      </w:pPr>
      <w:r>
        <w:rPr>
          <w:rFonts w:ascii="Calibri" w:cs="Calibri" w:eastAsia="Calibri" w:hAnsi="Calibri"/>
          <w:i/>
          <w:iCs/>
          <w:color w:val="1A1A1A"/>
          <w:sz w:val="20"/>
          <w:szCs w:val="20"/>
        </w:rPr>
        <w:t xml:space="preserve">Aucune destination n'est par essence « bonne » ou « mauvaise ». La grille n'est pas un classement moral. C'est un outil de décision rationnel qui permet de poser la question : cette destination correspond-elle à ce que veut faire Eventy, à ce moment, dans ce contexte ?</w:t>
      </w:r>
    </w:p>
    <w:p>
      <w:pPr>
        <w:spacing w:after="160" w:before="24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1. Cadre d'application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Toute proposition de nouvelle destination passe par la grille avant validation.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Les destinations existantes sont réévaluées annuellement.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La grille est appliquée par le créateur (auto-évaluation) puis validée par le Président.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Décision documentée (acceptation, ajustement, refus motivé).</w:t>
      </w:r>
    </w:p>
    <w:p>
      <w:pPr>
        <w:spacing w:after="160" w:before="24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2. Critères positifs (à favoriser)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2.1. Cohérence avec l'âme d'Eventy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Destination chaleureuse et accueillante.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Possibilité de rencontres humaines authentiques.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Histoire, culture ou patrimoine intéressant à partager.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Cuisine et art de vivre prononcés.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2.2. Faisabilité opérationnelle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Accessible en autocar, train ou vol direct depuis France.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Capacité hôtelière compatible groupes 15-38 voyageurs.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Capacité restauration équivalente.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Présence d'office du tourisme actif (interlocuteur).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2.3. Sécurité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Pays/région sûr (pas de zone rouge MEAE).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Infrastructure médicale d'urgence accessible.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Stabilité politique récente.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Pas d'épidémies ou crises sanitaires actives.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2.4. RSE et éthique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Économie locale active à laquelle Eventy peut contribuer.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Présence de partenaires HRA indépendants (pas seulement chaînes).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Engagement de la destination en faveur du tourisme durable.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Capacité d'inclure des activités à faible empreinte.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2.5. Économique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Tarif tout inclus possible dans la fourchette Eventy (500-1 200 € selon durée).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Marge brute réaliste (10-14 %).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Pas de saisonnalité destructrice (hors haute saison ultra-saturée uniquement).</w:t>
      </w:r>
    </w:p>
    <w:p>
      <w:pPr>
        <w:spacing w:after="160" w:before="24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3. Critères de vigilance (à analyser avec rigueur)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3.1. Surtourisme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Destinations en surtourisme manifeste (Venise centre, Bali, Santorin pic été, Dubrovnik, etc.) — refus par défaut.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Possibilité d'inclure ces destinations en saison creuse, avec partenaires hors-circuit, et avec engagement éducatif (sensibilisation surtourisme).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Refus des week-ends courts dans destinations surtouristiques.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3.2. Empreinte carbone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Destinations long-courrier (&gt; 4 000 km) : justification carbone à expliciter.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Privilégier les destinations accessibles bas-carbone (autocar, train).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Cohérence avec la Charte engagement carbone.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3.3. Risques humains et sociaux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Destinations avec atteintes graves aux droits humains : refus.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Destinations dans une dictature manifeste : refus.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Destinations en conflit ouvert : refus.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Risque pour la sécurité des LGBT+ ou femmes : exposé clairement, refus si trop élevé.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3.4. Risques opérationnels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Pays où la corruption est endémique : risque pour les opérations.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Pays où la justice est peu fiable : risque en cas de litige.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Pays où l'évacuation médicale est difficile : exigence Pack Sérénité renforcée.</w:t>
      </w:r>
    </w:p>
    <w:p>
      <w:pPr>
        <w:spacing w:after="160" w:before="24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4. Critères éliminatoires (refus systématique)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Pays / régions classés rouge par le MEAE (ministère des Affaires étrangères français).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Pays sous sanctions UE / ONU.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Destinations violant manifestement les droits humains (Corée du Nord, etc.).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Destinations à risque de paludisme grave sans alternative prophylactique fiable (sauf voyage spécialisé avec encadrement médical).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Destinations promues par des opérateurs adoptant des pratiques douteuses (greenwashing extrême, exploitation animale, exploitation enfants).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Destinations promues comme « secrètes » alors qu'elles sont fragiles écologiquement.</w:t>
      </w:r>
    </w:p>
    <w:p>
      <w:pPr>
        <w:spacing w:after="160" w:before="24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5. Grille de scoring rapide</w:t>
      </w:r>
    </w:p>
    <w:p>
      <w:pPr>
        <w:spacing w:after="100" w:line="280"/>
        <w:jc w:val="both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Pour chaque destination candidate, attribuer une note 1 à 5 sur les 8 critères suivants 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44"/>
        <w:gridCol w:w="1872"/>
        <w:gridCol w:w="1872"/>
        <w:gridCol w:w="1872"/>
      </w:tblGrid>
      <w:tr>
        <w:trPr>
          <w:tblHeader/>
        </w:trPr>
        <w:tc>
          <w:tcPr>
            <w:tcW w:type="dxa" w:w="374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Critère</w:t>
            </w:r>
          </w:p>
        </w:tc>
        <w:tc>
          <w:tcPr>
            <w:tcW w:type="dxa" w:w="18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Pondération</w:t>
            </w:r>
          </w:p>
        </w:tc>
        <w:tc>
          <w:tcPr>
            <w:tcW w:type="dxa" w:w="18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Note (1-5)</w:t>
            </w:r>
          </w:p>
        </w:tc>
        <w:tc>
          <w:tcPr>
            <w:tcW w:type="dxa" w:w="18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Score</w:t>
            </w:r>
          </w:p>
        </w:tc>
      </w:tr>
      <w:tr>
        <w:tc>
          <w:tcPr>
            <w:tcW w:type="dxa" w:w="374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Cohérence âme Eventy</w:t>
            </w:r>
          </w:p>
        </w:tc>
        <w:tc>
          <w:tcPr>
            <w:tcW w:type="dxa" w:w="18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20 %</w:t>
            </w:r>
          </w:p>
        </w:tc>
        <w:tc>
          <w:tcPr>
            <w:tcW w:type="dxa" w:w="18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[X]</w:t>
            </w:r>
          </w:p>
        </w:tc>
        <w:tc>
          <w:tcPr>
            <w:tcW w:type="dxa" w:w="18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[X × 0,20]</w:t>
            </w:r>
          </w:p>
        </w:tc>
      </w:tr>
      <w:tr>
        <w:tc>
          <w:tcPr>
            <w:tcW w:type="dxa" w:w="374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Faisabilité opérationnelle</w:t>
            </w:r>
          </w:p>
        </w:tc>
        <w:tc>
          <w:tcPr>
            <w:tcW w:type="dxa" w:w="18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15 %</w:t>
            </w:r>
          </w:p>
        </w:tc>
        <w:tc>
          <w:tcPr>
            <w:tcW w:type="dxa" w:w="18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[X]</w:t>
            </w:r>
          </w:p>
        </w:tc>
        <w:tc>
          <w:tcPr>
            <w:tcW w:type="dxa" w:w="18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[X × 0,15]</w:t>
            </w:r>
          </w:p>
        </w:tc>
      </w:tr>
      <w:tr>
        <w:tc>
          <w:tcPr>
            <w:tcW w:type="dxa" w:w="374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Sécurité</w:t>
            </w:r>
          </w:p>
        </w:tc>
        <w:tc>
          <w:tcPr>
            <w:tcW w:type="dxa" w:w="18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15 %</w:t>
            </w:r>
          </w:p>
        </w:tc>
        <w:tc>
          <w:tcPr>
            <w:tcW w:type="dxa" w:w="18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[X]</w:t>
            </w:r>
          </w:p>
        </w:tc>
        <w:tc>
          <w:tcPr>
            <w:tcW w:type="dxa" w:w="18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[X × 0,15]</w:t>
            </w:r>
          </w:p>
        </w:tc>
      </w:tr>
      <w:tr>
        <w:tc>
          <w:tcPr>
            <w:tcW w:type="dxa" w:w="374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RSE / éthique</w:t>
            </w:r>
          </w:p>
        </w:tc>
        <w:tc>
          <w:tcPr>
            <w:tcW w:type="dxa" w:w="18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15 %</w:t>
            </w:r>
          </w:p>
        </w:tc>
        <w:tc>
          <w:tcPr>
            <w:tcW w:type="dxa" w:w="18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[X]</w:t>
            </w:r>
          </w:p>
        </w:tc>
        <w:tc>
          <w:tcPr>
            <w:tcW w:type="dxa" w:w="18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[X × 0,15]</w:t>
            </w:r>
          </w:p>
        </w:tc>
      </w:tr>
      <w:tr>
        <w:tc>
          <w:tcPr>
            <w:tcW w:type="dxa" w:w="374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Empreinte carbone (mode transport)</w:t>
            </w:r>
          </w:p>
        </w:tc>
        <w:tc>
          <w:tcPr>
            <w:tcW w:type="dxa" w:w="18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10 %</w:t>
            </w:r>
          </w:p>
        </w:tc>
        <w:tc>
          <w:tcPr>
            <w:tcW w:type="dxa" w:w="18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[X]</w:t>
            </w:r>
          </w:p>
        </w:tc>
        <w:tc>
          <w:tcPr>
            <w:tcW w:type="dxa" w:w="18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[X × 0,10]</w:t>
            </w:r>
          </w:p>
        </w:tc>
      </w:tr>
      <w:tr>
        <w:tc>
          <w:tcPr>
            <w:tcW w:type="dxa" w:w="374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Faisabilité économique</w:t>
            </w:r>
          </w:p>
        </w:tc>
        <w:tc>
          <w:tcPr>
            <w:tcW w:type="dxa" w:w="18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10 %</w:t>
            </w:r>
          </w:p>
        </w:tc>
        <w:tc>
          <w:tcPr>
            <w:tcW w:type="dxa" w:w="18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[X]</w:t>
            </w:r>
          </w:p>
        </w:tc>
        <w:tc>
          <w:tcPr>
            <w:tcW w:type="dxa" w:w="18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[X × 0,10]</w:t>
            </w:r>
          </w:p>
        </w:tc>
      </w:tr>
      <w:tr>
        <w:tc>
          <w:tcPr>
            <w:tcW w:type="dxa" w:w="374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Originalité dans le catalogue</w:t>
            </w:r>
          </w:p>
        </w:tc>
        <w:tc>
          <w:tcPr>
            <w:tcW w:type="dxa" w:w="18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10 %</w:t>
            </w:r>
          </w:p>
        </w:tc>
        <w:tc>
          <w:tcPr>
            <w:tcW w:type="dxa" w:w="18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[X]</w:t>
            </w:r>
          </w:p>
        </w:tc>
        <w:tc>
          <w:tcPr>
            <w:tcW w:type="dxa" w:w="18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[X × 0,10]</w:t>
            </w:r>
          </w:p>
        </w:tc>
      </w:tr>
      <w:tr>
        <w:tc>
          <w:tcPr>
            <w:tcW w:type="dxa" w:w="374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Demande voyageurs identifiée</w:t>
            </w:r>
          </w:p>
        </w:tc>
        <w:tc>
          <w:tcPr>
            <w:tcW w:type="dxa" w:w="18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5 %</w:t>
            </w:r>
          </w:p>
        </w:tc>
        <w:tc>
          <w:tcPr>
            <w:tcW w:type="dxa" w:w="18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[X]</w:t>
            </w:r>
          </w:p>
        </w:tc>
        <w:tc>
          <w:tcPr>
            <w:tcW w:type="dxa" w:w="18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[X × 0,05]</w:t>
            </w:r>
          </w:p>
        </w:tc>
      </w:tr>
      <w:tr>
        <w:tc>
          <w:tcPr>
            <w:tcW w:type="dxa" w:w="374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TOTAL</w:t>
            </w:r>
          </w:p>
        </w:tc>
        <w:tc>
          <w:tcPr>
            <w:tcW w:type="dxa" w:w="18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100 %</w:t>
            </w:r>
          </w:p>
        </w:tc>
        <w:tc>
          <w:tcPr>
            <w:tcW w:type="dxa" w:w="18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18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[X / 5]</w:t>
            </w:r>
          </w:p>
        </w:tc>
      </w:tr>
    </w:tbl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5.1. Décision selon score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Score ≥ 4,0 / 5 : destination prioritaire à intégrer.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Score 3,5 – 4,0 / 5 : destination acceptable, à approfondir.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Score 3,0 – 3,5 / 5 : destination à étudier avec précaution, conditions à poser.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Score &lt; 3,0 / 5 : destination écartée.</w:t>
      </w:r>
    </w:p>
    <w:p>
      <w:pPr>
        <w:spacing w:after="160" w:before="24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6. Réévaluation annuelle des destinations existantes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6.1. Calendrier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Revue annuelle au 1er trimestre (T1).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Pour chaque destination du catalogue : application de la grille.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Décision : maintien, ajustement (saison, programme), retrait progressif, retrait immédiat.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6.2. Critères de retrait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Évolution sécuritaire défavorable (passage en zone orange/rouge MEAE).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Atteintes graves aux droits humains constatées.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Surtourisme aggravé.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Performance commerciale insuffisante (≤ 65 % remplissage 2 années consécutives sans cause externe).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NPS &lt; + 50 sur la destination.</w:t>
      </w:r>
    </w:p>
    <w:p>
      <w:pPr>
        <w:spacing w:after="160" w:before="24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7. Catalogue cible Eventy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7.1. Mix géographique cible An 5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60 % France métropolitaine + DOM-TOM.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25 % Europe (UE, Suisse, UK, Norvège, Islande).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10 % Méditerranée non-UE (Maroc, Tunisie, Turquie côtière).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5 % long-courrier (Asie de l'Est, Afrique de l'Ouest, Amérique du Nord).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7.2. Mix saisonnier cible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30 % hiver (oct-mars).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25 % printemps (avril-mai).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20 % été (juin-août).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25 % automne (sept-oct).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7.3. Mix profil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40 % grand public (35-65 ans).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25 % seniors (60+).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15 % jeunes adultes (25-40 ans).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10 % B2B / CSE.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10 % thématiques (gastronomie, randonnée, culturel intense).</w:t>
      </w:r>
    </w:p>
    <w:p>
      <w:pPr>
        <w:spacing w:after="160" w:before="24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8. Cas particuliers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8.1. Demande forte voyageur sur destination écartée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Information transparente du voyageur sur les raisons du refus.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Possibilité de proposer une destination alternative similaire.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Pas de cession à la demande sans réévaluation rigoureuse.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8.2. Crise impactant une destination existante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Activation de la Procédure de gestion de crise communication.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Décision de maintien ou suspension immédiate.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Information voyageurs réservés (cohérence CGV force majeure).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8.3. Destinations exploratoires (« voyages pilotes »)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Possibilité de tester une destination en An 1-2 sur 1-2 voyages pilotes.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Bilan rigoureux (NPS, marges, retours équipe) avant inclusion permanente.</w:t>
      </w:r>
    </w:p>
    <w:p>
      <w:pPr>
        <w:spacing w:after="160" w:before="24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9. Engagements opposables Eventy sur les destinations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Refus systématique des destinations contraires aux droits humains.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Refus des destinations en zone rouge MEAE.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Refus des destinations promues par des pratiques de greenwashing extrême.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Communication transparente sur les choix éditoriaux du catalogue.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Information voyageur sur les caractéristiques de chaque destination (sécurité, accessibilité, empreinte).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Refus des partenariats incentive avec des destinations sans intérêt voyageur réel.</w:t>
      </w:r>
    </w:p>
    <w:p>
      <w:pPr>
        <w:spacing w:after="160"/>
      </w:pPr>
      <w:r>
        <w:t xml:space="preserve"/>
      </w:r>
    </w:p>
    <w:p>
      <w:pPr>
        <w:spacing w:after="100" w:line="280"/>
        <w:jc w:val="both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Document de référence interne — Version 1.0 — 2 mai 2026. Mise à jour annuelle.</w:t>
      </w:r>
    </w:p>
    <w:p>
      <w:pPr>
        <w:spacing w:after="100" w:line="280"/>
        <w:jc w:val="both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Cohérence avec : Méthodologie de création de voyage, Procédure de sourcing HRA, Charte engagement carbone, Politique RSE, Politique d'achats responsables, Catalogue programmes saison 1.</w:t>
      </w:r>
    </w:p>
    <w:sectPr>
      <w:footerReference w:type="default" r:id="rId7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rFonts w:ascii="Calibri" w:cs="Calibri" w:eastAsia="Calibri" w:hAnsi="Calibri"/>
        <w:color w:val="555555"/>
        <w:sz w:val="14"/>
        <w:szCs w:val="14"/>
      </w:rPr>
      <w:t xml:space="preserve">EVENTY LIFE SAS — Grille décision destinations</w:t>
    </w:r>
    <w:r>
      <w:rPr>
        <w:rFonts w:ascii="Calibri" w:cs="Calibri" w:eastAsia="Calibri" w:hAnsi="Calibri"/>
        <w:color w:val="555555"/>
        <w:sz w:val="14"/>
        <w:szCs w:val="14"/>
      </w:rPr>
      <w:t xml:space="preserve">	Page </w:t>
    </w:r>
    <w:r>
      <w:rPr>
        <w:rFonts w:ascii="Calibri" w:cs="Calibri" w:eastAsia="Calibri" w:hAnsi="Calibri"/>
        <w:color w:val="555555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55555"/>
        <w:sz w:val="14"/>
        <w:szCs w:val="14"/>
      </w:rPr>
      <w:t xml:space="preserve"> / </w:t>
    </w:r>
    <w:r>
      <w:rPr>
        <w:rFonts w:ascii="Calibri" w:cs="Calibri" w:eastAsia="Calibri" w:hAnsi="Calibri"/>
        <w:color w:val="555555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Eventy Life — Grille de décision destinations</dc:title>
  <dc:creator>David Eventy — Eventy Life SAS</dc:creator>
  <dc:description>Grille de décision pour sélectionner ou écarter une destination.</dc:description>
  <cp:lastModifiedBy>Un-named</cp:lastModifiedBy>
  <cp:revision>1</cp:revision>
  <dcterms:created xsi:type="dcterms:W3CDTF">2026-05-01T23:08:04.985Z</dcterms:created>
  <dcterms:modified xsi:type="dcterms:W3CDTF">2026-05-01T23:08:04.985Z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