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POLITIQUE DE GESTION DOCUMENTAIRE EVENTY</w:t>
            </w:r>
          </w:p>
          <w:p>
            <w:pPr>
              <w:spacing w:after="0"/>
              <w:jc w:val="center"/>
            </w:pPr>
            <w:r>
              <w:rPr>
                <w:rFonts w:ascii="Calibri" w:cs="Calibri" w:eastAsia="Calibri" w:hAnsi="Calibri"/>
                <w:i/>
                <w:iCs/>
                <w:color w:val="1F4E79"/>
                <w:sz w:val="18"/>
                <w:szCs w:val="18"/>
              </w:rPr>
              <w:t xml:space="preserve">Taxonomie, conservation, archivage et accès aux documents</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La présente politique formalise la gestion documentaire d'EVENTY LIFE SAS : organisation des documents, durées de conservation, modalités d'archivage et d'accès. Elle complète la Politique cybersécurité (sécurité des données), la Politique RGPD (protection des données personnelles) et le Plan comptable (conservation des pièces).</w:t>
      </w:r>
    </w:p>
    <w:p>
      <w:pPr>
        <w:spacing w:after="100" w:line="280"/>
        <w:jc w:val="both"/>
      </w:pPr>
      <w:r>
        <w:rPr>
          <w:rFonts w:ascii="Calibri" w:cs="Calibri" w:eastAsia="Calibri" w:hAnsi="Calibri"/>
          <w:i/>
          <w:iCs/>
          <w:color w:val="1A1A1A"/>
          <w:sz w:val="20"/>
          <w:szCs w:val="20"/>
        </w:rPr>
        <w:t xml:space="preserve">Eventy gère plus de 90 documents structurels (cohérence ce dispositif documentaire). À cette base s'ajoutent les contrats, factures, dossiers voyageurs, échanges email, etc. Sans politique structurée, l'information se perd. Cette politique vise à garantir traçabilité, sécurité, conformité et accessibilité raisonnée.</w:t>
      </w:r>
    </w:p>
    <w:p>
      <w:pPr>
        <w:spacing w:after="160" w:before="240"/>
      </w:pPr>
      <w:r>
        <w:rPr>
          <w:rFonts w:ascii="Calibri" w:cs="Calibri" w:eastAsia="Calibri" w:hAnsi="Calibri"/>
          <w:b/>
          <w:bCs/>
          <w:color w:val="1F4E79"/>
          <w:sz w:val="32"/>
          <w:szCs w:val="32"/>
        </w:rPr>
        <w:t xml:space="preserve">1. Cadre juridique</w:t>
      </w:r>
    </w:p>
    <w:p>
      <w:pPr>
        <w:pStyle w:val="ListParagraph"/>
        <w:numPr>
          <w:ilvl w:val="0"/>
          <w:numId w:val="2"/>
        </w:numPr>
        <w:spacing w:after="60" w:line="260"/>
      </w:pPr>
      <w:r>
        <w:rPr>
          <w:rFonts w:ascii="Calibri" w:cs="Calibri" w:eastAsia="Calibri" w:hAnsi="Calibri"/>
          <w:sz w:val="20"/>
          <w:szCs w:val="20"/>
        </w:rPr>
        <w:t xml:space="preserve">Article L123-22 du Code de commerce — conservation pièces comptables 10 ans.</w:t>
      </w:r>
    </w:p>
    <w:p>
      <w:pPr>
        <w:pStyle w:val="ListParagraph"/>
        <w:numPr>
          <w:ilvl w:val="0"/>
          <w:numId w:val="2"/>
        </w:numPr>
        <w:spacing w:after="60" w:line="260"/>
      </w:pPr>
      <w:r>
        <w:rPr>
          <w:rFonts w:ascii="Calibri" w:cs="Calibri" w:eastAsia="Calibri" w:hAnsi="Calibri"/>
          <w:sz w:val="20"/>
          <w:szCs w:val="20"/>
        </w:rPr>
        <w:t xml:space="preserve">Code du travail — conservation bulletins de paie 5 ans.</w:t>
      </w:r>
    </w:p>
    <w:p>
      <w:pPr>
        <w:pStyle w:val="ListParagraph"/>
        <w:numPr>
          <w:ilvl w:val="0"/>
          <w:numId w:val="2"/>
        </w:numPr>
        <w:spacing w:after="60" w:line="260"/>
      </w:pPr>
      <w:r>
        <w:rPr>
          <w:rFonts w:ascii="Calibri" w:cs="Calibri" w:eastAsia="Calibri" w:hAnsi="Calibri"/>
          <w:sz w:val="20"/>
          <w:szCs w:val="20"/>
        </w:rPr>
        <w:t xml:space="preserve">Livre des procédures fiscales — conservation documents fiscaux 6 ans.</w:t>
      </w:r>
    </w:p>
    <w:p>
      <w:pPr>
        <w:pStyle w:val="ListParagraph"/>
        <w:numPr>
          <w:ilvl w:val="0"/>
          <w:numId w:val="2"/>
        </w:numPr>
        <w:spacing w:after="60" w:line="260"/>
      </w:pPr>
      <w:r>
        <w:rPr>
          <w:rFonts w:ascii="Calibri" w:cs="Calibri" w:eastAsia="Calibri" w:hAnsi="Calibri"/>
          <w:sz w:val="20"/>
          <w:szCs w:val="20"/>
        </w:rPr>
        <w:t xml:space="preserve">RGPD — conservation données personnelles selon finalité.</w:t>
      </w:r>
    </w:p>
    <w:p>
      <w:pPr>
        <w:pStyle w:val="ListParagraph"/>
        <w:numPr>
          <w:ilvl w:val="0"/>
          <w:numId w:val="2"/>
        </w:numPr>
        <w:spacing w:after="60" w:line="260"/>
      </w:pPr>
      <w:r>
        <w:rPr>
          <w:rFonts w:ascii="Calibri" w:cs="Calibri" w:eastAsia="Calibri" w:hAnsi="Calibri"/>
          <w:sz w:val="20"/>
          <w:szCs w:val="20"/>
        </w:rPr>
        <w:t xml:space="preserve">Code du tourisme — conservation des dossiers voyageurs.</w:t>
      </w:r>
    </w:p>
    <w:p>
      <w:pPr>
        <w:spacing w:after="160" w:before="240"/>
      </w:pPr>
      <w:r>
        <w:rPr>
          <w:rFonts w:ascii="Calibri" w:cs="Calibri" w:eastAsia="Calibri" w:hAnsi="Calibri"/>
          <w:b/>
          <w:bCs/>
          <w:color w:val="1F4E79"/>
          <w:sz w:val="32"/>
          <w:szCs w:val="32"/>
        </w:rPr>
        <w:t xml:space="preserve">2. Taxonomie documentaire Eventy</w:t>
      </w:r>
    </w:p>
    <w:p>
      <w:pPr>
        <w:spacing w:after="100" w:before="220"/>
      </w:pPr>
      <w:r>
        <w:rPr>
          <w:rFonts w:ascii="Calibri" w:cs="Calibri" w:eastAsia="Calibri" w:hAnsi="Calibri"/>
          <w:b/>
          <w:bCs/>
          <w:color w:val="E87722"/>
          <w:sz w:val="22"/>
          <w:szCs w:val="22"/>
        </w:rPr>
        <w:t xml:space="preserve">2.1. 8 catégories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4368"/>
        <w:gridCol w:w="2496"/>
      </w:tblGrid>
      <w:tr>
        <w:trPr>
          <w:tblHeader/>
        </w:trPr>
        <w:tc>
          <w:tcPr>
            <w:tcW w:type="dxa" w:w="2496"/>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Catégorie</w:t>
            </w:r>
          </w:p>
        </w:tc>
        <w:tc>
          <w:tcPr>
            <w:tcW w:type="dxa" w:w="4368"/>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Description</w:t>
            </w:r>
          </w:p>
        </w:tc>
        <w:tc>
          <w:tcPr>
            <w:tcW w:type="dxa" w:w="2496"/>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Durée conservation</w:t>
            </w:r>
          </w:p>
        </w:tc>
      </w:tr>
      <w:tr>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Légal corporate</w:t>
            </w:r>
          </w:p>
        </w:tc>
        <w:tc>
          <w:tcPr>
            <w:tcW w:type="dxa" w:w="4368"/>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Statuts, PV AG, K-bis, contrats associés</w:t>
            </w:r>
          </w:p>
        </w:tc>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Vie société + 10 ans</w:t>
            </w:r>
          </w:p>
        </w:tc>
      </w:tr>
      <w:tr>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Financier</w:t>
            </w:r>
          </w:p>
        </w:tc>
        <w:tc>
          <w:tcPr>
            <w:tcW w:type="dxa" w:w="4368"/>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Comptabilité, factures, déclarations fiscales</w:t>
            </w:r>
          </w:p>
        </w:tc>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 ans</w:t>
            </w:r>
          </w:p>
        </w:tc>
      </w:tr>
      <w:tr>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Contractuel</w:t>
            </w:r>
          </w:p>
        </w:tc>
        <w:tc>
          <w:tcPr>
            <w:tcW w:type="dxa" w:w="4368"/>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Contrats partenaires, contrats clients, NDA</w:t>
            </w:r>
          </w:p>
        </w:tc>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Durée + 5 ans</w:t>
            </w:r>
          </w:p>
        </w:tc>
      </w:tr>
      <w:tr>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Réglementaire</w:t>
            </w:r>
          </w:p>
        </w:tc>
        <w:tc>
          <w:tcPr>
            <w:tcW w:type="dxa" w:w="4368"/>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IM Atout France, garantie APST, RC Pro</w:t>
            </w:r>
          </w:p>
        </w:tc>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Vie société + 5 ans</w:t>
            </w:r>
          </w:p>
        </w:tc>
      </w:tr>
      <w:tr>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RH</w:t>
            </w:r>
          </w:p>
        </w:tc>
        <w:tc>
          <w:tcPr>
            <w:tcW w:type="dxa" w:w="4368"/>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Contrats travail, bulletins paie, entretiens</w:t>
            </w:r>
          </w:p>
        </w:tc>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5-50 ans selon nature</w:t>
            </w:r>
          </w:p>
        </w:tc>
      </w:tr>
      <w:tr>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Voyageurs</w:t>
            </w:r>
          </w:p>
        </w:tc>
        <w:tc>
          <w:tcPr>
            <w:tcW w:type="dxa" w:w="4368"/>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Réservations, bons commande, factures</w:t>
            </w:r>
          </w:p>
        </w:tc>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 ans après dernier voyage (RGPD)</w:t>
            </w:r>
          </w:p>
        </w:tc>
      </w:tr>
      <w:tr>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Opérationnel</w:t>
            </w:r>
          </w:p>
        </w:tc>
        <w:tc>
          <w:tcPr>
            <w:tcW w:type="dxa" w:w="4368"/>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Procédures, manuels, audits internes</w:t>
            </w:r>
          </w:p>
        </w:tc>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Version active + 5 ans</w:t>
            </w:r>
          </w:p>
        </w:tc>
      </w:tr>
      <w:tr>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Communication</w:t>
            </w:r>
          </w:p>
        </w:tc>
        <w:tc>
          <w:tcPr>
            <w:tcW w:type="dxa" w:w="4368"/>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Site web, réseaux, presse, événements</w:t>
            </w:r>
          </w:p>
        </w:tc>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 ans</w:t>
            </w:r>
          </w:p>
        </w:tc>
      </w:tr>
    </w:tbl>
    <w:p>
      <w:pPr>
        <w:spacing w:after="100" w:before="220"/>
      </w:pPr>
      <w:r>
        <w:rPr>
          <w:rFonts w:ascii="Calibri" w:cs="Calibri" w:eastAsia="Calibri" w:hAnsi="Calibri"/>
          <w:b/>
          <w:bCs/>
          <w:color w:val="E87722"/>
          <w:sz w:val="22"/>
          <w:szCs w:val="22"/>
        </w:rPr>
        <w:t xml:space="preserve">2.2. Sous-catégories opérationnelles</w:t>
      </w:r>
    </w:p>
    <w:p>
      <w:pPr>
        <w:pStyle w:val="ListParagraph"/>
        <w:numPr>
          <w:ilvl w:val="0"/>
          <w:numId w:val="2"/>
        </w:numPr>
        <w:spacing w:after="60" w:line="260"/>
      </w:pPr>
      <w:r>
        <w:rPr>
          <w:rFonts w:ascii="Calibri" w:cs="Calibri" w:eastAsia="Calibri" w:hAnsi="Calibri"/>
          <w:sz w:val="20"/>
          <w:szCs w:val="20"/>
        </w:rPr>
        <w:t xml:space="preserve">Légal corporate : statuts, PV, registre des associés, immatriculation.</w:t>
      </w:r>
    </w:p>
    <w:p>
      <w:pPr>
        <w:pStyle w:val="ListParagraph"/>
        <w:numPr>
          <w:ilvl w:val="0"/>
          <w:numId w:val="2"/>
        </w:numPr>
        <w:spacing w:after="60" w:line="260"/>
      </w:pPr>
      <w:r>
        <w:rPr>
          <w:rFonts w:ascii="Calibri" w:cs="Calibri" w:eastAsia="Calibri" w:hAnsi="Calibri"/>
          <w:sz w:val="20"/>
          <w:szCs w:val="20"/>
        </w:rPr>
        <w:t xml:space="preserve">Financier : factures clients, factures fournisseurs, banque, comptes annuels, déclarations.</w:t>
      </w:r>
    </w:p>
    <w:p>
      <w:pPr>
        <w:pStyle w:val="ListParagraph"/>
        <w:numPr>
          <w:ilvl w:val="0"/>
          <w:numId w:val="2"/>
        </w:numPr>
        <w:spacing w:after="60" w:line="260"/>
      </w:pPr>
      <w:r>
        <w:rPr>
          <w:rFonts w:ascii="Calibri" w:cs="Calibri" w:eastAsia="Calibri" w:hAnsi="Calibri"/>
          <w:sz w:val="20"/>
          <w:szCs w:val="20"/>
        </w:rPr>
        <w:t xml:space="preserve">Contractuel : créateurs, vendeurs, HRA, ambassadeurs, prestataires, NDA.</w:t>
      </w:r>
    </w:p>
    <w:p>
      <w:pPr>
        <w:pStyle w:val="ListParagraph"/>
        <w:numPr>
          <w:ilvl w:val="0"/>
          <w:numId w:val="2"/>
        </w:numPr>
        <w:spacing w:after="60" w:line="260"/>
      </w:pPr>
      <w:r>
        <w:rPr>
          <w:rFonts w:ascii="Calibri" w:cs="Calibri" w:eastAsia="Calibri" w:hAnsi="Calibri"/>
          <w:sz w:val="20"/>
          <w:szCs w:val="20"/>
        </w:rPr>
        <w:t xml:space="preserve">Réglementaire : Atout France, APST, CNIL, audits externes.</w:t>
      </w:r>
    </w:p>
    <w:p>
      <w:pPr>
        <w:pStyle w:val="ListParagraph"/>
        <w:numPr>
          <w:ilvl w:val="0"/>
          <w:numId w:val="2"/>
        </w:numPr>
        <w:spacing w:after="60" w:line="260"/>
      </w:pPr>
      <w:r>
        <w:rPr>
          <w:rFonts w:ascii="Calibri" w:cs="Calibri" w:eastAsia="Calibri" w:hAnsi="Calibri"/>
          <w:sz w:val="20"/>
          <w:szCs w:val="20"/>
        </w:rPr>
        <w:t xml:space="preserve">RH : contrats CDI/CDD, bulletins paie, entretiens, formations, départs.</w:t>
      </w:r>
    </w:p>
    <w:p>
      <w:pPr>
        <w:pStyle w:val="ListParagraph"/>
        <w:numPr>
          <w:ilvl w:val="0"/>
          <w:numId w:val="2"/>
        </w:numPr>
        <w:spacing w:after="60" w:line="260"/>
      </w:pPr>
      <w:r>
        <w:rPr>
          <w:rFonts w:ascii="Calibri" w:cs="Calibri" w:eastAsia="Calibri" w:hAnsi="Calibri"/>
          <w:sz w:val="20"/>
          <w:szCs w:val="20"/>
        </w:rPr>
        <w:t xml:space="preserve">Voyageurs : profils, réservations, voyages effectués, réclamations, avis.</w:t>
      </w:r>
    </w:p>
    <w:p>
      <w:pPr>
        <w:pStyle w:val="ListParagraph"/>
        <w:numPr>
          <w:ilvl w:val="0"/>
          <w:numId w:val="2"/>
        </w:numPr>
        <w:spacing w:after="60" w:line="260"/>
      </w:pPr>
      <w:r>
        <w:rPr>
          <w:rFonts w:ascii="Calibri" w:cs="Calibri" w:eastAsia="Calibri" w:hAnsi="Calibri"/>
          <w:sz w:val="20"/>
          <w:szCs w:val="20"/>
        </w:rPr>
        <w:t xml:space="preserve">Opérationnel : procédures, manuels, audits, incidents, plans.</w:t>
      </w:r>
    </w:p>
    <w:p>
      <w:pPr>
        <w:pStyle w:val="ListParagraph"/>
        <w:numPr>
          <w:ilvl w:val="0"/>
          <w:numId w:val="2"/>
        </w:numPr>
        <w:spacing w:after="60" w:line="260"/>
      </w:pPr>
      <w:r>
        <w:rPr>
          <w:rFonts w:ascii="Calibri" w:cs="Calibri" w:eastAsia="Calibri" w:hAnsi="Calibri"/>
          <w:sz w:val="20"/>
          <w:szCs w:val="20"/>
        </w:rPr>
        <w:t xml:space="preserve">Communication : contenus marketing, presse, ambassadeurs, événements.</w:t>
      </w:r>
    </w:p>
    <w:p>
      <w:pPr>
        <w:spacing w:after="160" w:before="240"/>
      </w:pPr>
      <w:r>
        <w:rPr>
          <w:rFonts w:ascii="Calibri" w:cs="Calibri" w:eastAsia="Calibri" w:hAnsi="Calibri"/>
          <w:b/>
          <w:bCs/>
          <w:color w:val="1F4E79"/>
          <w:sz w:val="32"/>
          <w:szCs w:val="32"/>
        </w:rPr>
        <w:t xml:space="preserve">3. Architecture de stockage</w:t>
      </w:r>
    </w:p>
    <w:p>
      <w:pPr>
        <w:spacing w:after="100" w:before="220"/>
      </w:pPr>
      <w:r>
        <w:rPr>
          <w:rFonts w:ascii="Calibri" w:cs="Calibri" w:eastAsia="Calibri" w:hAnsi="Calibri"/>
          <w:b/>
          <w:bCs/>
          <w:color w:val="E87722"/>
          <w:sz w:val="22"/>
          <w:szCs w:val="22"/>
        </w:rPr>
        <w:t xml:space="preserve">3.1. Coffre-fort numérique sécurisé</w:t>
      </w:r>
    </w:p>
    <w:p>
      <w:pPr>
        <w:pStyle w:val="ListParagraph"/>
        <w:numPr>
          <w:ilvl w:val="0"/>
          <w:numId w:val="2"/>
        </w:numPr>
        <w:spacing w:after="60" w:line="260"/>
      </w:pPr>
      <w:r>
        <w:rPr>
          <w:rFonts w:ascii="Calibri" w:cs="Calibri" w:eastAsia="Calibri" w:hAnsi="Calibri"/>
          <w:sz w:val="20"/>
          <w:szCs w:val="20"/>
        </w:rPr>
        <w:t xml:space="preserve">Hébergement Scaleway France (cohérence Politique cybersécurité).</w:t>
      </w:r>
    </w:p>
    <w:p>
      <w:pPr>
        <w:pStyle w:val="ListParagraph"/>
        <w:numPr>
          <w:ilvl w:val="0"/>
          <w:numId w:val="2"/>
        </w:numPr>
        <w:spacing w:after="60" w:line="260"/>
      </w:pPr>
      <w:r>
        <w:rPr>
          <w:rFonts w:ascii="Calibri" w:cs="Calibri" w:eastAsia="Calibri" w:hAnsi="Calibri"/>
          <w:sz w:val="20"/>
          <w:szCs w:val="20"/>
        </w:rPr>
        <w:t xml:space="preserve">Chiffrement AES-256 au repos.</w:t>
      </w:r>
    </w:p>
    <w:p>
      <w:pPr>
        <w:pStyle w:val="ListParagraph"/>
        <w:numPr>
          <w:ilvl w:val="0"/>
          <w:numId w:val="2"/>
        </w:numPr>
        <w:spacing w:after="60" w:line="260"/>
      </w:pPr>
      <w:r>
        <w:rPr>
          <w:rFonts w:ascii="Calibri" w:cs="Calibri" w:eastAsia="Calibri" w:hAnsi="Calibri"/>
          <w:sz w:val="20"/>
          <w:szCs w:val="20"/>
        </w:rPr>
        <w:t xml:space="preserve">Sauvegarde quotidienne, conservation 30 jours puis hebdomadaire 12 mois.</w:t>
      </w:r>
    </w:p>
    <w:p>
      <w:pPr>
        <w:pStyle w:val="ListParagraph"/>
        <w:numPr>
          <w:ilvl w:val="0"/>
          <w:numId w:val="2"/>
        </w:numPr>
        <w:spacing w:after="60" w:line="260"/>
      </w:pPr>
      <w:r>
        <w:rPr>
          <w:rFonts w:ascii="Calibri" w:cs="Calibri" w:eastAsia="Calibri" w:hAnsi="Calibri"/>
          <w:sz w:val="20"/>
          <w:szCs w:val="20"/>
        </w:rPr>
        <w:t xml:space="preserve">Accès chiffré multi-facteurs (MFA).</w:t>
      </w:r>
    </w:p>
    <w:p>
      <w:pPr>
        <w:spacing w:after="100" w:before="220"/>
      </w:pPr>
      <w:r>
        <w:rPr>
          <w:rFonts w:ascii="Calibri" w:cs="Calibri" w:eastAsia="Calibri" w:hAnsi="Calibri"/>
          <w:b/>
          <w:bCs/>
          <w:color w:val="E87722"/>
          <w:sz w:val="22"/>
          <w:szCs w:val="22"/>
        </w:rPr>
        <w:t xml:space="preserve">3.2. Hiérarchie des dossiers</w:t>
      </w:r>
    </w:p>
    <w:p>
      <w:pPr>
        <w:pStyle w:val="ListParagraph"/>
        <w:numPr>
          <w:ilvl w:val="0"/>
          <w:numId w:val="2"/>
        </w:numPr>
        <w:spacing w:after="60" w:line="260"/>
      </w:pPr>
      <w:r>
        <w:rPr>
          <w:rFonts w:ascii="Calibri" w:cs="Calibri" w:eastAsia="Calibri" w:hAnsi="Calibri"/>
          <w:sz w:val="20"/>
          <w:szCs w:val="20"/>
        </w:rPr>
        <w:t xml:space="preserve">/01-legal-corporate/</w:t>
      </w:r>
    </w:p>
    <w:p>
      <w:pPr>
        <w:pStyle w:val="ListParagraph"/>
        <w:numPr>
          <w:ilvl w:val="0"/>
          <w:numId w:val="2"/>
        </w:numPr>
        <w:spacing w:after="60" w:line="260"/>
      </w:pPr>
      <w:r>
        <w:rPr>
          <w:rFonts w:ascii="Calibri" w:cs="Calibri" w:eastAsia="Calibri" w:hAnsi="Calibri"/>
          <w:sz w:val="20"/>
          <w:szCs w:val="20"/>
        </w:rPr>
        <w:t xml:space="preserve">/02-finance/</w:t>
      </w:r>
    </w:p>
    <w:p>
      <w:pPr>
        <w:pStyle w:val="ListParagraph"/>
        <w:numPr>
          <w:ilvl w:val="0"/>
          <w:numId w:val="2"/>
        </w:numPr>
        <w:spacing w:after="60" w:line="260"/>
      </w:pPr>
      <w:r>
        <w:rPr>
          <w:rFonts w:ascii="Calibri" w:cs="Calibri" w:eastAsia="Calibri" w:hAnsi="Calibri"/>
          <w:sz w:val="20"/>
          <w:szCs w:val="20"/>
        </w:rPr>
        <w:t xml:space="preserve">/03-contractuel/</w:t>
      </w:r>
    </w:p>
    <w:p>
      <w:pPr>
        <w:pStyle w:val="ListParagraph"/>
        <w:numPr>
          <w:ilvl w:val="0"/>
          <w:numId w:val="2"/>
        </w:numPr>
        <w:spacing w:after="60" w:line="260"/>
      </w:pPr>
      <w:r>
        <w:rPr>
          <w:rFonts w:ascii="Calibri" w:cs="Calibri" w:eastAsia="Calibri" w:hAnsi="Calibri"/>
          <w:sz w:val="20"/>
          <w:szCs w:val="20"/>
        </w:rPr>
        <w:t xml:space="preserve">/04-reglementaire/</w:t>
      </w:r>
    </w:p>
    <w:p>
      <w:pPr>
        <w:pStyle w:val="ListParagraph"/>
        <w:numPr>
          <w:ilvl w:val="0"/>
          <w:numId w:val="2"/>
        </w:numPr>
        <w:spacing w:after="60" w:line="260"/>
      </w:pPr>
      <w:r>
        <w:rPr>
          <w:rFonts w:ascii="Calibri" w:cs="Calibri" w:eastAsia="Calibri" w:hAnsi="Calibri"/>
          <w:sz w:val="20"/>
          <w:szCs w:val="20"/>
        </w:rPr>
        <w:t xml:space="preserve">/05-rh/</w:t>
      </w:r>
    </w:p>
    <w:p>
      <w:pPr>
        <w:pStyle w:val="ListParagraph"/>
        <w:numPr>
          <w:ilvl w:val="0"/>
          <w:numId w:val="2"/>
        </w:numPr>
        <w:spacing w:after="60" w:line="260"/>
      </w:pPr>
      <w:r>
        <w:rPr>
          <w:rFonts w:ascii="Calibri" w:cs="Calibri" w:eastAsia="Calibri" w:hAnsi="Calibri"/>
          <w:sz w:val="20"/>
          <w:szCs w:val="20"/>
        </w:rPr>
        <w:t xml:space="preserve">/06-voyageurs/ (avec sous-dossiers anonymisés/identifiés)</w:t>
      </w:r>
    </w:p>
    <w:p>
      <w:pPr>
        <w:pStyle w:val="ListParagraph"/>
        <w:numPr>
          <w:ilvl w:val="0"/>
          <w:numId w:val="2"/>
        </w:numPr>
        <w:spacing w:after="60" w:line="260"/>
      </w:pPr>
      <w:r>
        <w:rPr>
          <w:rFonts w:ascii="Calibri" w:cs="Calibri" w:eastAsia="Calibri" w:hAnsi="Calibri"/>
          <w:sz w:val="20"/>
          <w:szCs w:val="20"/>
        </w:rPr>
        <w:t xml:space="preserve">/07-operationnel/</w:t>
      </w:r>
    </w:p>
    <w:p>
      <w:pPr>
        <w:pStyle w:val="ListParagraph"/>
        <w:numPr>
          <w:ilvl w:val="0"/>
          <w:numId w:val="2"/>
        </w:numPr>
        <w:spacing w:after="60" w:line="260"/>
      </w:pPr>
      <w:r>
        <w:rPr>
          <w:rFonts w:ascii="Calibri" w:cs="Calibri" w:eastAsia="Calibri" w:hAnsi="Calibri"/>
          <w:sz w:val="20"/>
          <w:szCs w:val="20"/>
        </w:rPr>
        <w:t xml:space="preserve">/08-communication/</w:t>
      </w:r>
    </w:p>
    <w:p>
      <w:pPr>
        <w:pStyle w:val="ListParagraph"/>
        <w:numPr>
          <w:ilvl w:val="0"/>
          <w:numId w:val="2"/>
        </w:numPr>
        <w:spacing w:after="60" w:line="260"/>
      </w:pPr>
      <w:r>
        <w:rPr>
          <w:rFonts w:ascii="Calibri" w:cs="Calibri" w:eastAsia="Calibri" w:hAnsi="Calibri"/>
          <w:sz w:val="20"/>
          <w:szCs w:val="20"/>
        </w:rPr>
        <w:t xml:space="preserve">/archives/ (documents &gt; 5 ans en consultation seule)</w:t>
      </w:r>
    </w:p>
    <w:p>
      <w:pPr>
        <w:spacing w:after="100" w:before="220"/>
      </w:pPr>
      <w:r>
        <w:rPr>
          <w:rFonts w:ascii="Calibri" w:cs="Calibri" w:eastAsia="Calibri" w:hAnsi="Calibri"/>
          <w:b/>
          <w:bCs/>
          <w:color w:val="E87722"/>
          <w:sz w:val="22"/>
          <w:szCs w:val="22"/>
        </w:rPr>
        <w:t xml:space="preserve">3.3. Conventions de nommage</w:t>
      </w:r>
    </w:p>
    <w:p>
      <w:pPr>
        <w:pStyle w:val="ListParagraph"/>
        <w:numPr>
          <w:ilvl w:val="0"/>
          <w:numId w:val="2"/>
        </w:numPr>
        <w:spacing w:after="60" w:line="260"/>
      </w:pPr>
      <w:r>
        <w:rPr>
          <w:rFonts w:ascii="Calibri" w:cs="Calibri" w:eastAsia="Calibri" w:hAnsi="Calibri"/>
          <w:sz w:val="20"/>
          <w:szCs w:val="20"/>
        </w:rPr>
        <w:t xml:space="preserve">Préfixe date YYYYMMDD.</w:t>
      </w:r>
    </w:p>
    <w:p>
      <w:pPr>
        <w:pStyle w:val="ListParagraph"/>
        <w:numPr>
          <w:ilvl w:val="0"/>
          <w:numId w:val="2"/>
        </w:numPr>
        <w:spacing w:after="60" w:line="260"/>
      </w:pPr>
      <w:r>
        <w:rPr>
          <w:rFonts w:ascii="Calibri" w:cs="Calibri" w:eastAsia="Calibri" w:hAnsi="Calibri"/>
          <w:sz w:val="20"/>
          <w:szCs w:val="20"/>
        </w:rPr>
        <w:t xml:space="preserve">Catégorie ou type de document.</w:t>
      </w:r>
    </w:p>
    <w:p>
      <w:pPr>
        <w:pStyle w:val="ListParagraph"/>
        <w:numPr>
          <w:ilvl w:val="0"/>
          <w:numId w:val="2"/>
        </w:numPr>
        <w:spacing w:after="60" w:line="260"/>
      </w:pPr>
      <w:r>
        <w:rPr>
          <w:rFonts w:ascii="Calibri" w:cs="Calibri" w:eastAsia="Calibri" w:hAnsi="Calibri"/>
          <w:sz w:val="20"/>
          <w:szCs w:val="20"/>
        </w:rPr>
        <w:t xml:space="preserve">Nom court explicite.</w:t>
      </w:r>
    </w:p>
    <w:p>
      <w:pPr>
        <w:pStyle w:val="ListParagraph"/>
        <w:numPr>
          <w:ilvl w:val="0"/>
          <w:numId w:val="2"/>
        </w:numPr>
        <w:spacing w:after="60" w:line="260"/>
      </w:pPr>
      <w:r>
        <w:rPr>
          <w:rFonts w:ascii="Calibri" w:cs="Calibri" w:eastAsia="Calibri" w:hAnsi="Calibri"/>
          <w:sz w:val="20"/>
          <w:szCs w:val="20"/>
        </w:rPr>
        <w:t xml:space="preserve">Version (v1, v2, etc.).</w:t>
      </w:r>
    </w:p>
    <w:p>
      <w:pPr>
        <w:pStyle w:val="ListParagraph"/>
        <w:numPr>
          <w:ilvl w:val="0"/>
          <w:numId w:val="2"/>
        </w:numPr>
        <w:spacing w:after="60" w:line="260"/>
      </w:pPr>
      <w:r>
        <w:rPr>
          <w:rFonts w:ascii="Calibri" w:cs="Calibri" w:eastAsia="Calibri" w:hAnsi="Calibri"/>
          <w:sz w:val="20"/>
          <w:szCs w:val="20"/>
        </w:rPr>
        <w:t xml:space="preserve">Exemple : 20260502_contrat_HRA_hotel-bordeaux_v2.pdf</w:t>
      </w:r>
    </w:p>
    <w:p>
      <w:pPr>
        <w:spacing w:after="160" w:before="240"/>
      </w:pPr>
      <w:r>
        <w:rPr>
          <w:rFonts w:ascii="Calibri" w:cs="Calibri" w:eastAsia="Calibri" w:hAnsi="Calibri"/>
          <w:b/>
          <w:bCs/>
          <w:color w:val="1F4E79"/>
          <w:sz w:val="32"/>
          <w:szCs w:val="32"/>
        </w:rPr>
        <w:t xml:space="preserve">4. Niveaux de confidentialité</w:t>
      </w:r>
    </w:p>
    <w:p>
      <w:pPr>
        <w:spacing w:after="100" w:before="220"/>
      </w:pPr>
      <w:r>
        <w:rPr>
          <w:rFonts w:ascii="Calibri" w:cs="Calibri" w:eastAsia="Calibri" w:hAnsi="Calibri"/>
          <w:b/>
          <w:bCs/>
          <w:color w:val="E87722"/>
          <w:sz w:val="22"/>
          <w:szCs w:val="22"/>
        </w:rPr>
        <w:t xml:space="preserve">4.1. Public</w:t>
      </w:r>
    </w:p>
    <w:p>
      <w:pPr>
        <w:pStyle w:val="ListParagraph"/>
        <w:numPr>
          <w:ilvl w:val="0"/>
          <w:numId w:val="2"/>
        </w:numPr>
        <w:spacing w:after="60" w:line="260"/>
      </w:pPr>
      <w:r>
        <w:rPr>
          <w:rFonts w:ascii="Calibri" w:cs="Calibri" w:eastAsia="Calibri" w:hAnsi="Calibri"/>
          <w:sz w:val="20"/>
          <w:szCs w:val="20"/>
        </w:rPr>
        <w:t xml:space="preserve">Documents accessibles à tous (site web, presse).</w:t>
      </w:r>
    </w:p>
    <w:p>
      <w:pPr>
        <w:pStyle w:val="ListParagraph"/>
        <w:numPr>
          <w:ilvl w:val="0"/>
          <w:numId w:val="2"/>
        </w:numPr>
        <w:spacing w:after="60" w:line="260"/>
      </w:pPr>
      <w:r>
        <w:rPr>
          <w:rFonts w:ascii="Calibri" w:cs="Calibri" w:eastAsia="Calibri" w:hAnsi="Calibri"/>
          <w:sz w:val="20"/>
          <w:szCs w:val="20"/>
        </w:rPr>
        <w:t xml:space="preserve">Stockage en libre accès.</w:t>
      </w:r>
    </w:p>
    <w:p>
      <w:pPr>
        <w:pStyle w:val="ListParagraph"/>
        <w:numPr>
          <w:ilvl w:val="0"/>
          <w:numId w:val="2"/>
        </w:numPr>
        <w:spacing w:after="60" w:line="260"/>
      </w:pPr>
      <w:r>
        <w:rPr>
          <w:rFonts w:ascii="Calibri" w:cs="Calibri" w:eastAsia="Calibri" w:hAnsi="Calibri"/>
          <w:sz w:val="20"/>
          <w:szCs w:val="20"/>
        </w:rPr>
        <w:t xml:space="preserve">Exemples : CGV, mentions légales, politique RGPD, FAQ.</w:t>
      </w:r>
    </w:p>
    <w:p>
      <w:pPr>
        <w:spacing w:after="100" w:before="220"/>
      </w:pPr>
      <w:r>
        <w:rPr>
          <w:rFonts w:ascii="Calibri" w:cs="Calibri" w:eastAsia="Calibri" w:hAnsi="Calibri"/>
          <w:b/>
          <w:bCs/>
          <w:color w:val="E87722"/>
          <w:sz w:val="22"/>
          <w:szCs w:val="22"/>
        </w:rPr>
        <w:t xml:space="preserve">4.2. Interne équipe</w:t>
      </w:r>
    </w:p>
    <w:p>
      <w:pPr>
        <w:pStyle w:val="ListParagraph"/>
        <w:numPr>
          <w:ilvl w:val="0"/>
          <w:numId w:val="2"/>
        </w:numPr>
        <w:spacing w:after="60" w:line="260"/>
      </w:pPr>
      <w:r>
        <w:rPr>
          <w:rFonts w:ascii="Calibri" w:cs="Calibri" w:eastAsia="Calibri" w:hAnsi="Calibri"/>
          <w:sz w:val="20"/>
          <w:szCs w:val="20"/>
        </w:rPr>
        <w:t xml:space="preserve">Accessible à toute l'équipe Eventy.</w:t>
      </w:r>
    </w:p>
    <w:p>
      <w:pPr>
        <w:pStyle w:val="ListParagraph"/>
        <w:numPr>
          <w:ilvl w:val="0"/>
          <w:numId w:val="2"/>
        </w:numPr>
        <w:spacing w:after="60" w:line="260"/>
      </w:pPr>
      <w:r>
        <w:rPr>
          <w:rFonts w:ascii="Calibri" w:cs="Calibri" w:eastAsia="Calibri" w:hAnsi="Calibri"/>
          <w:sz w:val="20"/>
          <w:szCs w:val="20"/>
        </w:rPr>
        <w:t xml:space="preserve">Confidentialité non sensible.</w:t>
      </w:r>
    </w:p>
    <w:p>
      <w:pPr>
        <w:pStyle w:val="ListParagraph"/>
        <w:numPr>
          <w:ilvl w:val="0"/>
          <w:numId w:val="2"/>
        </w:numPr>
        <w:spacing w:after="60" w:line="260"/>
      </w:pPr>
      <w:r>
        <w:rPr>
          <w:rFonts w:ascii="Calibri" w:cs="Calibri" w:eastAsia="Calibri" w:hAnsi="Calibri"/>
          <w:sz w:val="20"/>
          <w:szCs w:val="20"/>
        </w:rPr>
        <w:t xml:space="preserve">Exemples : procédures opérationnelles, manuels.</w:t>
      </w:r>
    </w:p>
    <w:p>
      <w:pPr>
        <w:spacing w:after="100" w:before="220"/>
      </w:pPr>
      <w:r>
        <w:rPr>
          <w:rFonts w:ascii="Calibri" w:cs="Calibri" w:eastAsia="Calibri" w:hAnsi="Calibri"/>
          <w:b/>
          <w:bCs/>
          <w:color w:val="E87722"/>
          <w:sz w:val="22"/>
          <w:szCs w:val="22"/>
        </w:rPr>
        <w:t xml:space="preserve">4.3. Restreint</w:t>
      </w:r>
    </w:p>
    <w:p>
      <w:pPr>
        <w:pStyle w:val="ListParagraph"/>
        <w:numPr>
          <w:ilvl w:val="0"/>
          <w:numId w:val="2"/>
        </w:numPr>
        <w:spacing w:after="60" w:line="260"/>
      </w:pPr>
      <w:r>
        <w:rPr>
          <w:rFonts w:ascii="Calibri" w:cs="Calibri" w:eastAsia="Calibri" w:hAnsi="Calibri"/>
          <w:sz w:val="20"/>
          <w:szCs w:val="20"/>
        </w:rPr>
        <w:t xml:space="preserve">Accès limité aux personnes habilitées.</w:t>
      </w:r>
    </w:p>
    <w:p>
      <w:pPr>
        <w:pStyle w:val="ListParagraph"/>
        <w:numPr>
          <w:ilvl w:val="0"/>
          <w:numId w:val="2"/>
        </w:numPr>
        <w:spacing w:after="60" w:line="260"/>
      </w:pPr>
      <w:r>
        <w:rPr>
          <w:rFonts w:ascii="Calibri" w:cs="Calibri" w:eastAsia="Calibri" w:hAnsi="Calibri"/>
          <w:sz w:val="20"/>
          <w:szCs w:val="20"/>
        </w:rPr>
        <w:t xml:space="preserve">Exemples : contrats partenaires, données voyageurs, comptes financiers.</w:t>
      </w:r>
    </w:p>
    <w:p>
      <w:pPr>
        <w:spacing w:after="100" w:before="220"/>
      </w:pPr>
      <w:r>
        <w:rPr>
          <w:rFonts w:ascii="Calibri" w:cs="Calibri" w:eastAsia="Calibri" w:hAnsi="Calibri"/>
          <w:b/>
          <w:bCs/>
          <w:color w:val="E87722"/>
          <w:sz w:val="22"/>
          <w:szCs w:val="22"/>
        </w:rPr>
        <w:t xml:space="preserve">4.4. Confidentiel direction</w:t>
      </w:r>
    </w:p>
    <w:p>
      <w:pPr>
        <w:pStyle w:val="ListParagraph"/>
        <w:numPr>
          <w:ilvl w:val="0"/>
          <w:numId w:val="2"/>
        </w:numPr>
        <w:spacing w:after="60" w:line="260"/>
      </w:pPr>
      <w:r>
        <w:rPr>
          <w:rFonts w:ascii="Calibri" w:cs="Calibri" w:eastAsia="Calibri" w:hAnsi="Calibri"/>
          <w:sz w:val="20"/>
          <w:szCs w:val="20"/>
        </w:rPr>
        <w:t xml:space="preserve">Accès limité au Président et aux personnes désignées.</w:t>
      </w:r>
    </w:p>
    <w:p>
      <w:pPr>
        <w:pStyle w:val="ListParagraph"/>
        <w:numPr>
          <w:ilvl w:val="0"/>
          <w:numId w:val="2"/>
        </w:numPr>
        <w:spacing w:after="60" w:line="260"/>
      </w:pPr>
      <w:r>
        <w:rPr>
          <w:rFonts w:ascii="Calibri" w:cs="Calibri" w:eastAsia="Calibri" w:hAnsi="Calibri"/>
          <w:sz w:val="20"/>
          <w:szCs w:val="20"/>
        </w:rPr>
        <w:t xml:space="preserve">Exemples : carnet de bord dirigeant, négociations en cours, dossiers RH sensibles.</w:t>
      </w:r>
    </w:p>
    <w:p>
      <w:pPr>
        <w:spacing w:after="160" w:before="240"/>
      </w:pPr>
      <w:r>
        <w:rPr>
          <w:rFonts w:ascii="Calibri" w:cs="Calibri" w:eastAsia="Calibri" w:hAnsi="Calibri"/>
          <w:b/>
          <w:bCs/>
          <w:color w:val="1F4E79"/>
          <w:sz w:val="32"/>
          <w:szCs w:val="32"/>
        </w:rPr>
        <w:t xml:space="preserve">5. Cycle de vie d'un document</w:t>
      </w:r>
    </w:p>
    <w:p>
      <w:pPr>
        <w:spacing w:after="100" w:before="220"/>
      </w:pPr>
      <w:r>
        <w:rPr>
          <w:rFonts w:ascii="Calibri" w:cs="Calibri" w:eastAsia="Calibri" w:hAnsi="Calibri"/>
          <w:b/>
          <w:bCs/>
          <w:color w:val="E87722"/>
          <w:sz w:val="22"/>
          <w:szCs w:val="22"/>
        </w:rPr>
        <w:t xml:space="preserve">5.1. Création</w:t>
      </w:r>
    </w:p>
    <w:p>
      <w:pPr>
        <w:pStyle w:val="ListParagraph"/>
        <w:numPr>
          <w:ilvl w:val="0"/>
          <w:numId w:val="2"/>
        </w:numPr>
        <w:spacing w:after="60" w:line="260"/>
      </w:pPr>
      <w:r>
        <w:rPr>
          <w:rFonts w:ascii="Calibri" w:cs="Calibri" w:eastAsia="Calibri" w:hAnsi="Calibri"/>
          <w:sz w:val="20"/>
          <w:szCs w:val="20"/>
        </w:rPr>
        <w:t xml:space="preserve">Convention de nommage respectée.</w:t>
      </w:r>
    </w:p>
    <w:p>
      <w:pPr>
        <w:pStyle w:val="ListParagraph"/>
        <w:numPr>
          <w:ilvl w:val="0"/>
          <w:numId w:val="2"/>
        </w:numPr>
        <w:spacing w:after="60" w:line="260"/>
      </w:pPr>
      <w:r>
        <w:rPr>
          <w:rFonts w:ascii="Calibri" w:cs="Calibri" w:eastAsia="Calibri" w:hAnsi="Calibri"/>
          <w:sz w:val="20"/>
          <w:szCs w:val="20"/>
        </w:rPr>
        <w:t xml:space="preserve">Métadonnées remplies (auteur, date, version, classification).</w:t>
      </w:r>
    </w:p>
    <w:p>
      <w:pPr>
        <w:pStyle w:val="ListParagraph"/>
        <w:numPr>
          <w:ilvl w:val="0"/>
          <w:numId w:val="2"/>
        </w:numPr>
        <w:spacing w:after="60" w:line="260"/>
      </w:pPr>
      <w:r>
        <w:rPr>
          <w:rFonts w:ascii="Calibri" w:cs="Calibri" w:eastAsia="Calibri" w:hAnsi="Calibri"/>
          <w:sz w:val="20"/>
          <w:szCs w:val="20"/>
        </w:rPr>
        <w:t xml:space="preserve">Validation hiérarchique selon enjeu.</w:t>
      </w:r>
    </w:p>
    <w:p>
      <w:pPr>
        <w:spacing w:after="100" w:before="220"/>
      </w:pPr>
      <w:r>
        <w:rPr>
          <w:rFonts w:ascii="Calibri" w:cs="Calibri" w:eastAsia="Calibri" w:hAnsi="Calibri"/>
          <w:b/>
          <w:bCs/>
          <w:color w:val="E87722"/>
          <w:sz w:val="22"/>
          <w:szCs w:val="22"/>
        </w:rPr>
        <w:t xml:space="preserve">5.2. Diffusion</w:t>
      </w:r>
    </w:p>
    <w:p>
      <w:pPr>
        <w:pStyle w:val="ListParagraph"/>
        <w:numPr>
          <w:ilvl w:val="0"/>
          <w:numId w:val="2"/>
        </w:numPr>
        <w:spacing w:after="60" w:line="260"/>
      </w:pPr>
      <w:r>
        <w:rPr>
          <w:rFonts w:ascii="Calibri" w:cs="Calibri" w:eastAsia="Calibri" w:hAnsi="Calibri"/>
          <w:sz w:val="20"/>
          <w:szCs w:val="20"/>
        </w:rPr>
        <w:t xml:space="preserve">Selon niveau de confidentialité.</w:t>
      </w:r>
    </w:p>
    <w:p>
      <w:pPr>
        <w:pStyle w:val="ListParagraph"/>
        <w:numPr>
          <w:ilvl w:val="0"/>
          <w:numId w:val="2"/>
        </w:numPr>
        <w:spacing w:after="60" w:line="260"/>
      </w:pPr>
      <w:r>
        <w:rPr>
          <w:rFonts w:ascii="Calibri" w:cs="Calibri" w:eastAsia="Calibri" w:hAnsi="Calibri"/>
          <w:sz w:val="20"/>
          <w:szCs w:val="20"/>
        </w:rPr>
        <w:t xml:space="preserve">Accès tracé (logs).</w:t>
      </w:r>
    </w:p>
    <w:p>
      <w:pPr>
        <w:pStyle w:val="ListParagraph"/>
        <w:numPr>
          <w:ilvl w:val="0"/>
          <w:numId w:val="2"/>
        </w:numPr>
        <w:spacing w:after="60" w:line="260"/>
      </w:pPr>
      <w:r>
        <w:rPr>
          <w:rFonts w:ascii="Calibri" w:cs="Calibri" w:eastAsia="Calibri" w:hAnsi="Calibri"/>
          <w:sz w:val="20"/>
          <w:szCs w:val="20"/>
        </w:rPr>
        <w:t xml:space="preserve">Pas de copie locale non maîtrisée (refus du file-by-email).</w:t>
      </w:r>
    </w:p>
    <w:p>
      <w:pPr>
        <w:spacing w:after="100" w:before="220"/>
      </w:pPr>
      <w:r>
        <w:rPr>
          <w:rFonts w:ascii="Calibri" w:cs="Calibri" w:eastAsia="Calibri" w:hAnsi="Calibri"/>
          <w:b/>
          <w:bCs/>
          <w:color w:val="E87722"/>
          <w:sz w:val="22"/>
          <w:szCs w:val="22"/>
        </w:rPr>
        <w:t xml:space="preserve">5.3. Mise à jour</w:t>
      </w:r>
    </w:p>
    <w:p>
      <w:pPr>
        <w:pStyle w:val="ListParagraph"/>
        <w:numPr>
          <w:ilvl w:val="0"/>
          <w:numId w:val="2"/>
        </w:numPr>
        <w:spacing w:after="60" w:line="260"/>
      </w:pPr>
      <w:r>
        <w:rPr>
          <w:rFonts w:ascii="Calibri" w:cs="Calibri" w:eastAsia="Calibri" w:hAnsi="Calibri"/>
          <w:sz w:val="20"/>
          <w:szCs w:val="20"/>
        </w:rPr>
        <w:t xml:space="preserve">Versioning (v1, v2, etc.).</w:t>
      </w:r>
    </w:p>
    <w:p>
      <w:pPr>
        <w:pStyle w:val="ListParagraph"/>
        <w:numPr>
          <w:ilvl w:val="0"/>
          <w:numId w:val="2"/>
        </w:numPr>
        <w:spacing w:after="60" w:line="260"/>
      </w:pPr>
      <w:r>
        <w:rPr>
          <w:rFonts w:ascii="Calibri" w:cs="Calibri" w:eastAsia="Calibri" w:hAnsi="Calibri"/>
          <w:sz w:val="20"/>
          <w:szCs w:val="20"/>
        </w:rPr>
        <w:t xml:space="preserve">Conservation des versions précédentes (sauf exceptions).</w:t>
      </w:r>
    </w:p>
    <w:p>
      <w:pPr>
        <w:pStyle w:val="ListParagraph"/>
        <w:numPr>
          <w:ilvl w:val="0"/>
          <w:numId w:val="2"/>
        </w:numPr>
        <w:spacing w:after="60" w:line="260"/>
      </w:pPr>
      <w:r>
        <w:rPr>
          <w:rFonts w:ascii="Calibri" w:cs="Calibri" w:eastAsia="Calibri" w:hAnsi="Calibri"/>
          <w:sz w:val="20"/>
          <w:szCs w:val="20"/>
        </w:rPr>
        <w:t xml:space="preserve">Mention de la date de mise à jour.</w:t>
      </w:r>
    </w:p>
    <w:p>
      <w:pPr>
        <w:spacing w:after="100" w:before="220"/>
      </w:pPr>
      <w:r>
        <w:rPr>
          <w:rFonts w:ascii="Calibri" w:cs="Calibri" w:eastAsia="Calibri" w:hAnsi="Calibri"/>
          <w:b/>
          <w:bCs/>
          <w:color w:val="E87722"/>
          <w:sz w:val="22"/>
          <w:szCs w:val="22"/>
        </w:rPr>
        <w:t xml:space="preserve">5.4. Archivage</w:t>
      </w:r>
    </w:p>
    <w:p>
      <w:pPr>
        <w:pStyle w:val="ListParagraph"/>
        <w:numPr>
          <w:ilvl w:val="0"/>
          <w:numId w:val="2"/>
        </w:numPr>
        <w:spacing w:after="60" w:line="260"/>
      </w:pPr>
      <w:r>
        <w:rPr>
          <w:rFonts w:ascii="Calibri" w:cs="Calibri" w:eastAsia="Calibri" w:hAnsi="Calibri"/>
          <w:sz w:val="20"/>
          <w:szCs w:val="20"/>
        </w:rPr>
        <w:t xml:space="preserve">Document hors vie active déplacé vers /archives/.</w:t>
      </w:r>
    </w:p>
    <w:p>
      <w:pPr>
        <w:pStyle w:val="ListParagraph"/>
        <w:numPr>
          <w:ilvl w:val="0"/>
          <w:numId w:val="2"/>
        </w:numPr>
        <w:spacing w:after="60" w:line="260"/>
      </w:pPr>
      <w:r>
        <w:rPr>
          <w:rFonts w:ascii="Calibri" w:cs="Calibri" w:eastAsia="Calibri" w:hAnsi="Calibri"/>
          <w:sz w:val="20"/>
          <w:szCs w:val="20"/>
        </w:rPr>
        <w:t xml:space="preserve">Indexation maintenue pour retrouver le document.</w:t>
      </w:r>
    </w:p>
    <w:p>
      <w:pPr>
        <w:pStyle w:val="ListParagraph"/>
        <w:numPr>
          <w:ilvl w:val="0"/>
          <w:numId w:val="2"/>
        </w:numPr>
        <w:spacing w:after="60" w:line="260"/>
      </w:pPr>
      <w:r>
        <w:rPr>
          <w:rFonts w:ascii="Calibri" w:cs="Calibri" w:eastAsia="Calibri" w:hAnsi="Calibri"/>
          <w:sz w:val="20"/>
          <w:szCs w:val="20"/>
        </w:rPr>
        <w:t xml:space="preserve">Accès limité à la consultation.</w:t>
      </w:r>
    </w:p>
    <w:p>
      <w:pPr>
        <w:spacing w:after="100" w:before="220"/>
      </w:pPr>
      <w:r>
        <w:rPr>
          <w:rFonts w:ascii="Calibri" w:cs="Calibri" w:eastAsia="Calibri" w:hAnsi="Calibri"/>
          <w:b/>
          <w:bCs/>
          <w:color w:val="E87722"/>
          <w:sz w:val="22"/>
          <w:szCs w:val="22"/>
        </w:rPr>
        <w:t xml:space="preserve">5.5. Destruction</w:t>
      </w:r>
    </w:p>
    <w:p>
      <w:pPr>
        <w:pStyle w:val="ListParagraph"/>
        <w:numPr>
          <w:ilvl w:val="0"/>
          <w:numId w:val="2"/>
        </w:numPr>
        <w:spacing w:after="60" w:line="260"/>
      </w:pPr>
      <w:r>
        <w:rPr>
          <w:rFonts w:ascii="Calibri" w:cs="Calibri" w:eastAsia="Calibri" w:hAnsi="Calibri"/>
          <w:sz w:val="20"/>
          <w:szCs w:val="20"/>
        </w:rPr>
        <w:t xml:space="preserve">À l'issue de la durée légale de conservation.</w:t>
      </w:r>
    </w:p>
    <w:p>
      <w:pPr>
        <w:pStyle w:val="ListParagraph"/>
        <w:numPr>
          <w:ilvl w:val="0"/>
          <w:numId w:val="2"/>
        </w:numPr>
        <w:spacing w:after="60" w:line="260"/>
      </w:pPr>
      <w:r>
        <w:rPr>
          <w:rFonts w:ascii="Calibri" w:cs="Calibri" w:eastAsia="Calibri" w:hAnsi="Calibri"/>
          <w:sz w:val="20"/>
          <w:szCs w:val="20"/>
        </w:rPr>
        <w:t xml:space="preserve">Suppression définitive et irrécupérable.</w:t>
      </w:r>
    </w:p>
    <w:p>
      <w:pPr>
        <w:pStyle w:val="ListParagraph"/>
        <w:numPr>
          <w:ilvl w:val="0"/>
          <w:numId w:val="2"/>
        </w:numPr>
        <w:spacing w:after="60" w:line="260"/>
      </w:pPr>
      <w:r>
        <w:rPr>
          <w:rFonts w:ascii="Calibri" w:cs="Calibri" w:eastAsia="Calibri" w:hAnsi="Calibri"/>
          <w:sz w:val="20"/>
          <w:szCs w:val="20"/>
        </w:rPr>
        <w:t xml:space="preserve">Documenté dans un registre de destruction.</w:t>
      </w:r>
    </w:p>
    <w:p>
      <w:pPr>
        <w:spacing w:after="160" w:before="240"/>
      </w:pPr>
      <w:r>
        <w:rPr>
          <w:rFonts w:ascii="Calibri" w:cs="Calibri" w:eastAsia="Calibri" w:hAnsi="Calibri"/>
          <w:b/>
          <w:bCs/>
          <w:color w:val="1F4E79"/>
          <w:sz w:val="32"/>
          <w:szCs w:val="32"/>
        </w:rPr>
        <w:t xml:space="preserve">6. RGPD et données personnelles</w:t>
      </w:r>
    </w:p>
    <w:p>
      <w:pPr>
        <w:spacing w:after="100" w:before="220"/>
      </w:pPr>
      <w:r>
        <w:rPr>
          <w:rFonts w:ascii="Calibri" w:cs="Calibri" w:eastAsia="Calibri" w:hAnsi="Calibri"/>
          <w:b/>
          <w:bCs/>
          <w:color w:val="E87722"/>
          <w:sz w:val="22"/>
          <w:szCs w:val="22"/>
        </w:rPr>
        <w:t xml:space="preserve">6.1. Principe de minimisation</w:t>
      </w:r>
    </w:p>
    <w:p>
      <w:pPr>
        <w:pStyle w:val="ListParagraph"/>
        <w:numPr>
          <w:ilvl w:val="0"/>
          <w:numId w:val="2"/>
        </w:numPr>
        <w:spacing w:after="60" w:line="260"/>
      </w:pPr>
      <w:r>
        <w:rPr>
          <w:rFonts w:ascii="Calibri" w:cs="Calibri" w:eastAsia="Calibri" w:hAnsi="Calibri"/>
          <w:sz w:val="20"/>
          <w:szCs w:val="20"/>
        </w:rPr>
        <w:t xml:space="preserve">Conservation uniquement des données nécessaires.</w:t>
      </w:r>
    </w:p>
    <w:p>
      <w:pPr>
        <w:pStyle w:val="ListParagraph"/>
        <w:numPr>
          <w:ilvl w:val="0"/>
          <w:numId w:val="2"/>
        </w:numPr>
        <w:spacing w:after="60" w:line="260"/>
      </w:pPr>
      <w:r>
        <w:rPr>
          <w:rFonts w:ascii="Calibri" w:cs="Calibri" w:eastAsia="Calibri" w:hAnsi="Calibri"/>
          <w:sz w:val="20"/>
          <w:szCs w:val="20"/>
        </w:rPr>
        <w:t xml:space="preserve">Suppression à la fin de la finalité (sauf comptabilité 10 ans).</w:t>
      </w:r>
    </w:p>
    <w:p>
      <w:pPr>
        <w:pStyle w:val="ListParagraph"/>
        <w:numPr>
          <w:ilvl w:val="0"/>
          <w:numId w:val="2"/>
        </w:numPr>
        <w:spacing w:after="60" w:line="260"/>
      </w:pPr>
      <w:r>
        <w:rPr>
          <w:rFonts w:ascii="Calibri" w:cs="Calibri" w:eastAsia="Calibri" w:hAnsi="Calibri"/>
          <w:sz w:val="20"/>
          <w:szCs w:val="20"/>
        </w:rPr>
        <w:t xml:space="preserve">Cohérence avec Politique de confidentialité RGPD.</w:t>
      </w:r>
    </w:p>
    <w:p>
      <w:pPr>
        <w:spacing w:after="100" w:before="220"/>
      </w:pPr>
      <w:r>
        <w:rPr>
          <w:rFonts w:ascii="Calibri" w:cs="Calibri" w:eastAsia="Calibri" w:hAnsi="Calibri"/>
          <w:b/>
          <w:bCs/>
          <w:color w:val="E87722"/>
          <w:sz w:val="22"/>
          <w:szCs w:val="22"/>
        </w:rPr>
        <w:t xml:space="preserve">6.2. Anonymisation et pseudonymisation</w:t>
      </w:r>
    </w:p>
    <w:p>
      <w:pPr>
        <w:pStyle w:val="ListParagraph"/>
        <w:numPr>
          <w:ilvl w:val="0"/>
          <w:numId w:val="2"/>
        </w:numPr>
        <w:spacing w:after="60" w:line="260"/>
      </w:pPr>
      <w:r>
        <w:rPr>
          <w:rFonts w:ascii="Calibri" w:cs="Calibri" w:eastAsia="Calibri" w:hAnsi="Calibri"/>
          <w:sz w:val="20"/>
          <w:szCs w:val="20"/>
        </w:rPr>
        <w:t xml:space="preserve">Données voyageurs : pseudonymisation après 3 ans pour les analyses.</w:t>
      </w:r>
    </w:p>
    <w:p>
      <w:pPr>
        <w:pStyle w:val="ListParagraph"/>
        <w:numPr>
          <w:ilvl w:val="0"/>
          <w:numId w:val="2"/>
        </w:numPr>
        <w:spacing w:after="60" w:line="260"/>
      </w:pPr>
      <w:r>
        <w:rPr>
          <w:rFonts w:ascii="Calibri" w:cs="Calibri" w:eastAsia="Calibri" w:hAnsi="Calibri"/>
          <w:sz w:val="20"/>
          <w:szCs w:val="20"/>
        </w:rPr>
        <w:t xml:space="preserve">Anonymisation totale pour les statistiques publiques.</w:t>
      </w:r>
    </w:p>
    <w:p>
      <w:pPr>
        <w:pStyle w:val="ListParagraph"/>
        <w:numPr>
          <w:ilvl w:val="0"/>
          <w:numId w:val="2"/>
        </w:numPr>
        <w:spacing w:after="60" w:line="260"/>
      </w:pPr>
      <w:r>
        <w:rPr>
          <w:rFonts w:ascii="Calibri" w:cs="Calibri" w:eastAsia="Calibri" w:hAnsi="Calibri"/>
          <w:sz w:val="20"/>
          <w:szCs w:val="20"/>
        </w:rPr>
        <w:t xml:space="preserve">Suppression définitive après 5 ans (sauf comptabilité).</w:t>
      </w:r>
    </w:p>
    <w:p>
      <w:pPr>
        <w:spacing w:after="100" w:before="220"/>
      </w:pPr>
      <w:r>
        <w:rPr>
          <w:rFonts w:ascii="Calibri" w:cs="Calibri" w:eastAsia="Calibri" w:hAnsi="Calibri"/>
          <w:b/>
          <w:bCs/>
          <w:color w:val="E87722"/>
          <w:sz w:val="22"/>
          <w:szCs w:val="22"/>
        </w:rPr>
        <w:t xml:space="preserve">6.3. Droits des personnes</w:t>
      </w:r>
    </w:p>
    <w:p>
      <w:pPr>
        <w:pStyle w:val="ListParagraph"/>
        <w:numPr>
          <w:ilvl w:val="0"/>
          <w:numId w:val="2"/>
        </w:numPr>
        <w:spacing w:after="60" w:line="260"/>
      </w:pPr>
      <w:r>
        <w:rPr>
          <w:rFonts w:ascii="Calibri" w:cs="Calibri" w:eastAsia="Calibri" w:hAnsi="Calibri"/>
          <w:sz w:val="20"/>
          <w:szCs w:val="20"/>
        </w:rPr>
        <w:t xml:space="preserve">Droit d'accès : export possible sur demande.</w:t>
      </w:r>
    </w:p>
    <w:p>
      <w:pPr>
        <w:pStyle w:val="ListParagraph"/>
        <w:numPr>
          <w:ilvl w:val="0"/>
          <w:numId w:val="2"/>
        </w:numPr>
        <w:spacing w:after="60" w:line="260"/>
      </w:pPr>
      <w:r>
        <w:rPr>
          <w:rFonts w:ascii="Calibri" w:cs="Calibri" w:eastAsia="Calibri" w:hAnsi="Calibri"/>
          <w:sz w:val="20"/>
          <w:szCs w:val="20"/>
        </w:rPr>
        <w:t xml:space="preserve">Droit à l'effacement : suppression dans les délais légaux.</w:t>
      </w:r>
    </w:p>
    <w:p>
      <w:pPr>
        <w:pStyle w:val="ListParagraph"/>
        <w:numPr>
          <w:ilvl w:val="0"/>
          <w:numId w:val="2"/>
        </w:numPr>
        <w:spacing w:after="60" w:line="260"/>
      </w:pPr>
      <w:r>
        <w:rPr>
          <w:rFonts w:ascii="Calibri" w:cs="Calibri" w:eastAsia="Calibri" w:hAnsi="Calibri"/>
          <w:sz w:val="20"/>
          <w:szCs w:val="20"/>
        </w:rPr>
        <w:t xml:space="preserve">Droit à la portabilité : export structuré JSON/CSV.</w:t>
      </w:r>
    </w:p>
    <w:p>
      <w:pPr>
        <w:pStyle w:val="ListParagraph"/>
        <w:numPr>
          <w:ilvl w:val="0"/>
          <w:numId w:val="2"/>
        </w:numPr>
        <w:spacing w:after="60" w:line="260"/>
      </w:pPr>
      <w:r>
        <w:rPr>
          <w:rFonts w:ascii="Calibri" w:cs="Calibri" w:eastAsia="Calibri" w:hAnsi="Calibri"/>
          <w:sz w:val="20"/>
          <w:szCs w:val="20"/>
        </w:rPr>
        <w:t xml:space="preserve">Cohérence avec Politique RGPD.</w:t>
      </w:r>
    </w:p>
    <w:p>
      <w:pPr>
        <w:spacing w:after="160" w:before="240"/>
      </w:pPr>
      <w:r>
        <w:rPr>
          <w:rFonts w:ascii="Calibri" w:cs="Calibri" w:eastAsia="Calibri" w:hAnsi="Calibri"/>
          <w:b/>
          <w:bCs/>
          <w:color w:val="1F4E79"/>
          <w:sz w:val="32"/>
          <w:szCs w:val="32"/>
        </w:rPr>
        <w:t xml:space="preserve">7. Sécurité documentaire</w:t>
      </w:r>
    </w:p>
    <w:p>
      <w:pPr>
        <w:pStyle w:val="ListParagraph"/>
        <w:numPr>
          <w:ilvl w:val="0"/>
          <w:numId w:val="2"/>
        </w:numPr>
        <w:spacing w:after="60" w:line="260"/>
      </w:pPr>
      <w:r>
        <w:rPr>
          <w:rFonts w:ascii="Calibri" w:cs="Calibri" w:eastAsia="Calibri" w:hAnsi="Calibri"/>
          <w:sz w:val="20"/>
          <w:szCs w:val="20"/>
        </w:rPr>
        <w:t xml:space="preserve">Chiffrement au repos (AES-256) et en transit (TLS 1.3).</w:t>
      </w:r>
    </w:p>
    <w:p>
      <w:pPr>
        <w:pStyle w:val="ListParagraph"/>
        <w:numPr>
          <w:ilvl w:val="0"/>
          <w:numId w:val="2"/>
        </w:numPr>
        <w:spacing w:after="60" w:line="260"/>
      </w:pPr>
      <w:r>
        <w:rPr>
          <w:rFonts w:ascii="Calibri" w:cs="Calibri" w:eastAsia="Calibri" w:hAnsi="Calibri"/>
          <w:sz w:val="20"/>
          <w:szCs w:val="20"/>
        </w:rPr>
        <w:t xml:space="preserve">MFA obligatoire pour accès direction.</w:t>
      </w:r>
    </w:p>
    <w:p>
      <w:pPr>
        <w:pStyle w:val="ListParagraph"/>
        <w:numPr>
          <w:ilvl w:val="0"/>
          <w:numId w:val="2"/>
        </w:numPr>
        <w:spacing w:after="60" w:line="260"/>
      </w:pPr>
      <w:r>
        <w:rPr>
          <w:rFonts w:ascii="Calibri" w:cs="Calibri" w:eastAsia="Calibri" w:hAnsi="Calibri"/>
          <w:sz w:val="20"/>
          <w:szCs w:val="20"/>
        </w:rPr>
        <w:t xml:space="preserve">Logs d'accès conservés 12 mois.</w:t>
      </w:r>
    </w:p>
    <w:p>
      <w:pPr>
        <w:pStyle w:val="ListParagraph"/>
        <w:numPr>
          <w:ilvl w:val="0"/>
          <w:numId w:val="2"/>
        </w:numPr>
        <w:spacing w:after="60" w:line="260"/>
      </w:pPr>
      <w:r>
        <w:rPr>
          <w:rFonts w:ascii="Calibri" w:cs="Calibri" w:eastAsia="Calibri" w:hAnsi="Calibri"/>
          <w:sz w:val="20"/>
          <w:szCs w:val="20"/>
        </w:rPr>
        <w:t xml:space="preserve">Audit annuel de la sécurité documentaire (cohérence Plan d'audit interne).</w:t>
      </w:r>
    </w:p>
    <w:p>
      <w:pPr>
        <w:pStyle w:val="ListParagraph"/>
        <w:numPr>
          <w:ilvl w:val="0"/>
          <w:numId w:val="2"/>
        </w:numPr>
        <w:spacing w:after="60" w:line="260"/>
      </w:pPr>
      <w:r>
        <w:rPr>
          <w:rFonts w:ascii="Calibri" w:cs="Calibri" w:eastAsia="Calibri" w:hAnsi="Calibri"/>
          <w:sz w:val="20"/>
          <w:szCs w:val="20"/>
        </w:rPr>
        <w:t xml:space="preserve">Refus de cloud non-européen pour données voyageurs (cohérence Politique cybersécurité).</w:t>
      </w:r>
    </w:p>
    <w:p>
      <w:pPr>
        <w:spacing w:after="160" w:before="240"/>
      </w:pPr>
      <w:r>
        <w:rPr>
          <w:rFonts w:ascii="Calibri" w:cs="Calibri" w:eastAsia="Calibri" w:hAnsi="Calibri"/>
          <w:b/>
          <w:bCs/>
          <w:color w:val="1F4E79"/>
          <w:sz w:val="32"/>
          <w:szCs w:val="32"/>
        </w:rPr>
        <w:t xml:space="preserve">8. Sauvegardes et résilience</w:t>
      </w:r>
    </w:p>
    <w:p>
      <w:pPr>
        <w:pStyle w:val="ListParagraph"/>
        <w:numPr>
          <w:ilvl w:val="0"/>
          <w:numId w:val="2"/>
        </w:numPr>
        <w:spacing w:after="60" w:line="260"/>
      </w:pPr>
      <w:r>
        <w:rPr>
          <w:rFonts w:ascii="Calibri" w:cs="Calibri" w:eastAsia="Calibri" w:hAnsi="Calibri"/>
          <w:sz w:val="20"/>
          <w:szCs w:val="20"/>
        </w:rPr>
        <w:t xml:space="preserve">Sauvegarde quotidienne automatique.</w:t>
      </w:r>
    </w:p>
    <w:p>
      <w:pPr>
        <w:pStyle w:val="ListParagraph"/>
        <w:numPr>
          <w:ilvl w:val="0"/>
          <w:numId w:val="2"/>
        </w:numPr>
        <w:spacing w:after="60" w:line="260"/>
      </w:pPr>
      <w:r>
        <w:rPr>
          <w:rFonts w:ascii="Calibri" w:cs="Calibri" w:eastAsia="Calibri" w:hAnsi="Calibri"/>
          <w:sz w:val="20"/>
          <w:szCs w:val="20"/>
        </w:rPr>
        <w:t xml:space="preserve">Conservation 30 jours en standard.</w:t>
      </w:r>
    </w:p>
    <w:p>
      <w:pPr>
        <w:pStyle w:val="ListParagraph"/>
        <w:numPr>
          <w:ilvl w:val="0"/>
          <w:numId w:val="2"/>
        </w:numPr>
        <w:spacing w:after="60" w:line="260"/>
      </w:pPr>
      <w:r>
        <w:rPr>
          <w:rFonts w:ascii="Calibri" w:cs="Calibri" w:eastAsia="Calibri" w:hAnsi="Calibri"/>
          <w:sz w:val="20"/>
          <w:szCs w:val="20"/>
        </w:rPr>
        <w:t xml:space="preserve">Sauvegarde hebdomadaire en zone géographique distincte (12 mois).</w:t>
      </w:r>
    </w:p>
    <w:p>
      <w:pPr>
        <w:pStyle w:val="ListParagraph"/>
        <w:numPr>
          <w:ilvl w:val="0"/>
          <w:numId w:val="2"/>
        </w:numPr>
        <w:spacing w:after="60" w:line="260"/>
      </w:pPr>
      <w:r>
        <w:rPr>
          <w:rFonts w:ascii="Calibri" w:cs="Calibri" w:eastAsia="Calibri" w:hAnsi="Calibri"/>
          <w:sz w:val="20"/>
          <w:szCs w:val="20"/>
        </w:rPr>
        <w:t xml:space="preserve">Sauvegarde mensuelle long terme (10 ans pour comptabilité).</w:t>
      </w:r>
    </w:p>
    <w:p>
      <w:pPr>
        <w:pStyle w:val="ListParagraph"/>
        <w:numPr>
          <w:ilvl w:val="0"/>
          <w:numId w:val="2"/>
        </w:numPr>
        <w:spacing w:after="60" w:line="260"/>
      </w:pPr>
      <w:r>
        <w:rPr>
          <w:rFonts w:ascii="Calibri" w:cs="Calibri" w:eastAsia="Calibri" w:hAnsi="Calibri"/>
          <w:sz w:val="20"/>
          <w:szCs w:val="20"/>
        </w:rPr>
        <w:t xml:space="preserve">Tests de restauration mensuels (cohérence Politique cybersécurité).</w:t>
      </w:r>
    </w:p>
    <w:p>
      <w:pPr>
        <w:pStyle w:val="ListParagraph"/>
        <w:numPr>
          <w:ilvl w:val="0"/>
          <w:numId w:val="2"/>
        </w:numPr>
        <w:spacing w:after="60" w:line="260"/>
      </w:pPr>
      <w:r>
        <w:rPr>
          <w:rFonts w:ascii="Calibri" w:cs="Calibri" w:eastAsia="Calibri" w:hAnsi="Calibri"/>
          <w:sz w:val="20"/>
          <w:szCs w:val="20"/>
        </w:rPr>
        <w:t xml:space="preserve">RPO ≤ 24 h, RTO ≤ 4 h An 1.</w:t>
      </w:r>
    </w:p>
    <w:p>
      <w:pPr>
        <w:spacing w:after="160" w:before="240"/>
      </w:pPr>
      <w:r>
        <w:rPr>
          <w:rFonts w:ascii="Calibri" w:cs="Calibri" w:eastAsia="Calibri" w:hAnsi="Calibri"/>
          <w:b/>
          <w:bCs/>
          <w:color w:val="1F4E79"/>
          <w:sz w:val="32"/>
          <w:szCs w:val="32"/>
        </w:rPr>
        <w:t xml:space="preserve">9. Indicateurs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1</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3</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Documents indexés / total</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Convention de nommage respectée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90 %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Documents avec métadonnées complètes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80 %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Sauvegarde quotidienne réalisée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Test restauration mensuel</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12/an</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12/an</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Audit documentaire annuel</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w:t>
            </w:r>
          </w:p>
        </w:tc>
      </w:tr>
    </w:tbl>
    <w:p>
      <w:pPr>
        <w:spacing w:after="160" w:before="240"/>
      </w:pPr>
      <w:r>
        <w:rPr>
          <w:rFonts w:ascii="Calibri" w:cs="Calibri" w:eastAsia="Calibri" w:hAnsi="Calibri"/>
          <w:b/>
          <w:bCs/>
          <w:color w:val="1F4E79"/>
          <w:sz w:val="32"/>
          <w:szCs w:val="32"/>
        </w:rPr>
        <w:t xml:space="preserve">10. Gouvernance</w:t>
      </w:r>
    </w:p>
    <w:p>
      <w:pPr>
        <w:pStyle w:val="ListParagraph"/>
        <w:numPr>
          <w:ilvl w:val="0"/>
          <w:numId w:val="2"/>
        </w:numPr>
        <w:spacing w:after="60" w:line="260"/>
      </w:pPr>
      <w:r>
        <w:rPr>
          <w:rFonts w:ascii="Calibri" w:cs="Calibri" w:eastAsia="Calibri" w:hAnsi="Calibri"/>
          <w:sz w:val="20"/>
          <w:szCs w:val="20"/>
        </w:rPr>
        <w:t xml:space="preserve">Référent gestion documentaire : Président en An 1, recrutement An 2-3.</w:t>
      </w:r>
    </w:p>
    <w:p>
      <w:pPr>
        <w:pStyle w:val="ListParagraph"/>
        <w:numPr>
          <w:ilvl w:val="0"/>
          <w:numId w:val="2"/>
        </w:numPr>
        <w:spacing w:after="60" w:line="260"/>
      </w:pPr>
      <w:r>
        <w:rPr>
          <w:rFonts w:ascii="Calibri" w:cs="Calibri" w:eastAsia="Calibri" w:hAnsi="Calibri"/>
          <w:sz w:val="20"/>
          <w:szCs w:val="20"/>
        </w:rPr>
        <w:t xml:space="preserve">Revue annuelle de la politique.</w:t>
      </w:r>
    </w:p>
    <w:p>
      <w:pPr>
        <w:pStyle w:val="ListParagraph"/>
        <w:numPr>
          <w:ilvl w:val="0"/>
          <w:numId w:val="2"/>
        </w:numPr>
        <w:spacing w:after="60" w:line="260"/>
      </w:pPr>
      <w:r>
        <w:rPr>
          <w:rFonts w:ascii="Calibri" w:cs="Calibri" w:eastAsia="Calibri" w:hAnsi="Calibri"/>
          <w:sz w:val="20"/>
          <w:szCs w:val="20"/>
        </w:rPr>
        <w:t xml:space="preserve">Mise à jour des durées de conservation selon évolutions réglementaires.</w:t>
      </w:r>
    </w:p>
    <w:p>
      <w:pPr>
        <w:pStyle w:val="ListParagraph"/>
        <w:numPr>
          <w:ilvl w:val="0"/>
          <w:numId w:val="2"/>
        </w:numPr>
        <w:spacing w:after="60" w:line="260"/>
      </w:pPr>
      <w:r>
        <w:rPr>
          <w:rFonts w:ascii="Calibri" w:cs="Calibri" w:eastAsia="Calibri" w:hAnsi="Calibri"/>
          <w:sz w:val="20"/>
          <w:szCs w:val="20"/>
        </w:rPr>
        <w:t xml:space="preserve">Formation de l'équipe à l'arrivée et annuelle.</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interne — Version 1.0 — 2 mai 2026. Mise à jour annuelle.</w:t>
      </w:r>
    </w:p>
    <w:p>
      <w:pPr>
        <w:spacing w:after="100" w:line="280"/>
        <w:jc w:val="both"/>
      </w:pPr>
      <w:r>
        <w:rPr>
          <w:rFonts w:ascii="Calibri" w:cs="Calibri" w:eastAsia="Calibri" w:hAnsi="Calibri"/>
          <w:i/>
          <w:iCs/>
          <w:color w:val="555555"/>
          <w:sz w:val="18"/>
          <w:szCs w:val="18"/>
        </w:rPr>
        <w:t xml:space="preserve">Cohérence avec : Politique cybersécurité, Politique RGPD, DPA Sous-traitance RGPD, Plan comptable et processus mensuel, Plan d'audit interne, Plan de continuité d'activité, ensemble du dispositif documentaire Eventy.</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Politique gestion documentaire</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Politique de gestion documentaire et archivage</dc:title>
  <dc:creator>David Eventy — Eventy Life SAS</dc:creator>
  <dc:description>Taxonomie, conservation, archivage des documents.</dc:description>
  <cp:lastModifiedBy>Un-named</cp:lastModifiedBy>
  <cp:revision>1</cp:revision>
  <dcterms:created xsi:type="dcterms:W3CDTF">2026-05-02T03:37:50.206Z</dcterms:created>
  <dcterms:modified xsi:type="dcterms:W3CDTF">2026-05-02T03:37:50.206Z</dcterms:modified>
</cp:coreProperties>
</file>

<file path=docProps/custom.xml><?xml version="1.0" encoding="utf-8"?>
<Properties xmlns="http://schemas.openxmlformats.org/officeDocument/2006/custom-properties" xmlns:vt="http://schemas.openxmlformats.org/officeDocument/2006/docPropsVTypes"/>
</file>