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COMPTABLE ET PROCESSUS COMPTABLE EVENTY</w:t>
            </w:r>
          </w:p>
          <w:p>
            <w:pPr>
              <w:spacing w:after="0"/>
              <w:jc w:val="center"/>
            </w:pPr>
            <w:r>
              <w:rPr>
                <w:rFonts w:ascii="Calibri" w:cs="Calibri" w:eastAsia="Calibri" w:hAnsi="Calibri"/>
                <w:i/>
                <w:iCs/>
                <w:color w:val="1F4E79"/>
                <w:sz w:val="18"/>
                <w:szCs w:val="18"/>
              </w:rPr>
              <w:t xml:space="preserve">Référentiel comptable Eventy Life — plan de comptes et processus mensuel</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document formalise le référentiel comptable d'EVENTY LIFE SAS : plan de comptes adapté à l'activité d'opérateur de voyages, processus comptable mensuel, contrôles internes. Il complète la Note expert-comptable, le Guide TVA marge et le Manuel des opérations quotidiennes.</w:t>
      </w:r>
    </w:p>
    <w:p>
      <w:pPr>
        <w:spacing w:after="100" w:line="280"/>
        <w:jc w:val="both"/>
      </w:pPr>
      <w:r>
        <w:rPr>
          <w:rFonts w:ascii="Calibri" w:cs="Calibri" w:eastAsia="Calibri" w:hAnsi="Calibri"/>
          <w:i/>
          <w:iCs/>
          <w:color w:val="1A1A1A"/>
          <w:sz w:val="20"/>
          <w:szCs w:val="20"/>
        </w:rPr>
        <w:t xml:space="preserve">Eventy adopte le Plan Comptable Général (PCG) avec adaptations spécifiques au tourisme. La rigueur comptable est essentielle pour le suivi de la trésorerie en transit, l'audit APST trimestriel et la confiance des investisseurs.</w:t>
      </w:r>
    </w:p>
    <w:p>
      <w:pPr>
        <w:spacing w:after="160" w:before="240"/>
      </w:pPr>
      <w:r>
        <w:rPr>
          <w:rFonts w:ascii="Calibri" w:cs="Calibri" w:eastAsia="Calibri" w:hAnsi="Calibri"/>
          <w:b/>
          <w:bCs/>
          <w:color w:val="1F4E79"/>
          <w:sz w:val="32"/>
          <w:szCs w:val="32"/>
        </w:rPr>
        <w:t xml:space="preserve">1. Cadre comptable de référence</w:t>
      </w:r>
    </w:p>
    <w:p>
      <w:pPr>
        <w:pStyle w:val="ListParagraph"/>
        <w:numPr>
          <w:ilvl w:val="0"/>
          <w:numId w:val="2"/>
        </w:numPr>
        <w:spacing w:after="60" w:line="260"/>
      </w:pPr>
      <w:r>
        <w:rPr>
          <w:rFonts w:ascii="Calibri" w:cs="Calibri" w:eastAsia="Calibri" w:hAnsi="Calibri"/>
          <w:sz w:val="20"/>
          <w:szCs w:val="20"/>
        </w:rPr>
        <w:t xml:space="preserve">Plan Comptable Général (PCG) — règlement ANC 2014-03 modifié.</w:t>
      </w:r>
    </w:p>
    <w:p>
      <w:pPr>
        <w:pStyle w:val="ListParagraph"/>
        <w:numPr>
          <w:ilvl w:val="0"/>
          <w:numId w:val="2"/>
        </w:numPr>
        <w:spacing w:after="60" w:line="260"/>
      </w:pPr>
      <w:r>
        <w:rPr>
          <w:rFonts w:ascii="Calibri" w:cs="Calibri" w:eastAsia="Calibri" w:hAnsi="Calibri"/>
          <w:sz w:val="20"/>
          <w:szCs w:val="20"/>
        </w:rPr>
        <w:t xml:space="preserve">Code de commerce — articles L123-12 à L123-28.</w:t>
      </w:r>
    </w:p>
    <w:p>
      <w:pPr>
        <w:pStyle w:val="ListParagraph"/>
        <w:numPr>
          <w:ilvl w:val="0"/>
          <w:numId w:val="2"/>
        </w:numPr>
        <w:spacing w:after="60" w:line="260"/>
      </w:pPr>
      <w:r>
        <w:rPr>
          <w:rFonts w:ascii="Calibri" w:cs="Calibri" w:eastAsia="Calibri" w:hAnsi="Calibri"/>
          <w:sz w:val="20"/>
          <w:szCs w:val="20"/>
        </w:rPr>
        <w:t xml:space="preserve">Adaptations sectorielles tourisme (BOI-TVA-SECT-60).</w:t>
      </w:r>
    </w:p>
    <w:p>
      <w:pPr>
        <w:pStyle w:val="ListParagraph"/>
        <w:numPr>
          <w:ilvl w:val="0"/>
          <w:numId w:val="2"/>
        </w:numPr>
        <w:spacing w:after="60" w:line="260"/>
      </w:pPr>
      <w:r>
        <w:rPr>
          <w:rFonts w:ascii="Calibri" w:cs="Calibri" w:eastAsia="Calibri" w:hAnsi="Calibri"/>
          <w:sz w:val="20"/>
          <w:szCs w:val="20"/>
        </w:rPr>
        <w:t xml:space="preserve">IFRS non applicables (Eventy non cotée).</w:t>
      </w:r>
    </w:p>
    <w:p>
      <w:pPr>
        <w:pStyle w:val="ListParagraph"/>
        <w:numPr>
          <w:ilvl w:val="0"/>
          <w:numId w:val="2"/>
        </w:numPr>
        <w:spacing w:after="60" w:line="260"/>
      </w:pPr>
      <w:r>
        <w:rPr>
          <w:rFonts w:ascii="Calibri" w:cs="Calibri" w:eastAsia="Calibri" w:hAnsi="Calibri"/>
          <w:sz w:val="20"/>
          <w:szCs w:val="20"/>
        </w:rPr>
        <w:t xml:space="preserve">Logiciel comptable préconisé : Pennylane, Tiime, ou équivalent (à confirmer avec expert-comptable).</w:t>
      </w:r>
    </w:p>
    <w:p>
      <w:pPr>
        <w:spacing w:after="160" w:before="240"/>
      </w:pPr>
      <w:r>
        <w:rPr>
          <w:rFonts w:ascii="Calibri" w:cs="Calibri" w:eastAsia="Calibri" w:hAnsi="Calibri"/>
          <w:b/>
          <w:bCs/>
          <w:color w:val="1F4E79"/>
          <w:sz w:val="32"/>
          <w:szCs w:val="32"/>
        </w:rPr>
        <w:t xml:space="preserve">2. Plan de comptes adapté Eventy</w:t>
      </w:r>
    </w:p>
    <w:p>
      <w:pPr>
        <w:spacing w:after="100" w:before="220"/>
      </w:pPr>
      <w:r>
        <w:rPr>
          <w:rFonts w:ascii="Calibri" w:cs="Calibri" w:eastAsia="Calibri" w:hAnsi="Calibri"/>
          <w:b/>
          <w:bCs/>
          <w:color w:val="E87722"/>
          <w:sz w:val="22"/>
          <w:szCs w:val="22"/>
        </w:rPr>
        <w:t xml:space="preserve">2.1. Comptes de bilan (classes 1-5)</w:t>
      </w:r>
    </w:p>
    <w:p>
      <w:pPr>
        <w:pStyle w:val="ListParagraph"/>
        <w:numPr>
          <w:ilvl w:val="0"/>
          <w:numId w:val="2"/>
        </w:numPr>
        <w:spacing w:after="60" w:line="260"/>
      </w:pPr>
      <w:r>
        <w:rPr>
          <w:rFonts w:ascii="Calibri" w:cs="Calibri" w:eastAsia="Calibri" w:hAnsi="Calibri"/>
          <w:sz w:val="20"/>
          <w:szCs w:val="20"/>
        </w:rPr>
        <w:t xml:space="preserve">**101** Capital social (3 000 € minimum SAS).</w:t>
      </w:r>
    </w:p>
    <w:p>
      <w:pPr>
        <w:pStyle w:val="ListParagraph"/>
        <w:numPr>
          <w:ilvl w:val="0"/>
          <w:numId w:val="2"/>
        </w:numPr>
        <w:spacing w:after="60" w:line="260"/>
      </w:pPr>
      <w:r>
        <w:rPr>
          <w:rFonts w:ascii="Calibri" w:cs="Calibri" w:eastAsia="Calibri" w:hAnsi="Calibri"/>
          <w:sz w:val="20"/>
          <w:szCs w:val="20"/>
        </w:rPr>
        <w:t xml:space="preserve">**106** Réserves (légale 5 % bénéfice + réserve volontaire 5 % CA risques tourisme — cohérence Statuts SAS).</w:t>
      </w:r>
    </w:p>
    <w:p>
      <w:pPr>
        <w:pStyle w:val="ListParagraph"/>
        <w:numPr>
          <w:ilvl w:val="0"/>
          <w:numId w:val="2"/>
        </w:numPr>
        <w:spacing w:after="60" w:line="260"/>
      </w:pPr>
      <w:r>
        <w:rPr>
          <w:rFonts w:ascii="Calibri" w:cs="Calibri" w:eastAsia="Calibri" w:hAnsi="Calibri"/>
          <w:sz w:val="20"/>
          <w:szCs w:val="20"/>
        </w:rPr>
        <w:t xml:space="preserve">**110** Report à nouveau.</w:t>
      </w:r>
    </w:p>
    <w:p>
      <w:pPr>
        <w:pStyle w:val="ListParagraph"/>
        <w:numPr>
          <w:ilvl w:val="0"/>
          <w:numId w:val="2"/>
        </w:numPr>
        <w:spacing w:after="60" w:line="260"/>
      </w:pPr>
      <w:r>
        <w:rPr>
          <w:rFonts w:ascii="Calibri" w:cs="Calibri" w:eastAsia="Calibri" w:hAnsi="Calibri"/>
          <w:sz w:val="20"/>
          <w:szCs w:val="20"/>
        </w:rPr>
        <w:t xml:space="preserve">**165** Dépôts et cautionnements (ex : caution garantie financière APST).</w:t>
      </w:r>
    </w:p>
    <w:p>
      <w:pPr>
        <w:pStyle w:val="ListParagraph"/>
        <w:numPr>
          <w:ilvl w:val="0"/>
          <w:numId w:val="2"/>
        </w:numPr>
        <w:spacing w:after="60" w:line="260"/>
      </w:pPr>
      <w:r>
        <w:rPr>
          <w:rFonts w:ascii="Calibri" w:cs="Calibri" w:eastAsia="Calibri" w:hAnsi="Calibri"/>
          <w:sz w:val="20"/>
          <w:szCs w:val="20"/>
        </w:rPr>
        <w:t xml:space="preserve">**218** Immobilisations incorporelles (logiciel propriétaire activable, R&amp;D activée si JEI).</w:t>
      </w:r>
    </w:p>
    <w:p>
      <w:pPr>
        <w:pStyle w:val="ListParagraph"/>
        <w:numPr>
          <w:ilvl w:val="0"/>
          <w:numId w:val="2"/>
        </w:numPr>
        <w:spacing w:after="60" w:line="260"/>
      </w:pPr>
      <w:r>
        <w:rPr>
          <w:rFonts w:ascii="Calibri" w:cs="Calibri" w:eastAsia="Calibri" w:hAnsi="Calibri"/>
          <w:sz w:val="20"/>
          <w:szCs w:val="20"/>
        </w:rPr>
        <w:t xml:space="preserve">**281** Amortissements des immobilisations.</w:t>
      </w:r>
    </w:p>
    <w:p>
      <w:pPr>
        <w:pStyle w:val="ListParagraph"/>
        <w:numPr>
          <w:ilvl w:val="0"/>
          <w:numId w:val="2"/>
        </w:numPr>
        <w:spacing w:after="60" w:line="260"/>
      </w:pPr>
      <w:r>
        <w:rPr>
          <w:rFonts w:ascii="Calibri" w:cs="Calibri" w:eastAsia="Calibri" w:hAnsi="Calibri"/>
          <w:sz w:val="20"/>
          <w:szCs w:val="20"/>
        </w:rPr>
        <w:t xml:space="preserve">**411** Clients voyageurs (créances voyages confirmés non encore voyagés).</w:t>
      </w:r>
    </w:p>
    <w:p>
      <w:pPr>
        <w:pStyle w:val="ListParagraph"/>
        <w:numPr>
          <w:ilvl w:val="0"/>
          <w:numId w:val="2"/>
        </w:numPr>
        <w:spacing w:after="60" w:line="260"/>
      </w:pPr>
      <w:r>
        <w:rPr>
          <w:rFonts w:ascii="Calibri" w:cs="Calibri" w:eastAsia="Calibri" w:hAnsi="Calibri"/>
          <w:sz w:val="20"/>
          <w:szCs w:val="20"/>
        </w:rPr>
        <w:t xml:space="preserve">**420** Personnel (salaires, charges).</w:t>
      </w:r>
    </w:p>
    <w:p>
      <w:pPr>
        <w:pStyle w:val="ListParagraph"/>
        <w:numPr>
          <w:ilvl w:val="0"/>
          <w:numId w:val="2"/>
        </w:numPr>
        <w:spacing w:after="60" w:line="260"/>
      </w:pPr>
      <w:r>
        <w:rPr>
          <w:rFonts w:ascii="Calibri" w:cs="Calibri" w:eastAsia="Calibri" w:hAnsi="Calibri"/>
          <w:sz w:val="20"/>
          <w:szCs w:val="20"/>
        </w:rPr>
        <w:t xml:space="preserve">**445** TVA (TVA déductible 4456, TVA collectée 4457, TVA marge tourisme spécifique).</w:t>
      </w:r>
    </w:p>
    <w:p>
      <w:pPr>
        <w:pStyle w:val="ListParagraph"/>
        <w:numPr>
          <w:ilvl w:val="0"/>
          <w:numId w:val="2"/>
        </w:numPr>
        <w:spacing w:after="60" w:line="260"/>
      </w:pPr>
      <w:r>
        <w:rPr>
          <w:rFonts w:ascii="Calibri" w:cs="Calibri" w:eastAsia="Calibri" w:hAnsi="Calibri"/>
          <w:sz w:val="20"/>
          <w:szCs w:val="20"/>
        </w:rPr>
        <w:t xml:space="preserve">**461** Compte cantonné voyageurs (séquestre APST — visible en pdg-eventy/02-finance/PLAN-TRESORERIE).</w:t>
      </w:r>
    </w:p>
    <w:p>
      <w:pPr>
        <w:pStyle w:val="ListParagraph"/>
        <w:numPr>
          <w:ilvl w:val="0"/>
          <w:numId w:val="2"/>
        </w:numPr>
        <w:spacing w:after="60" w:line="260"/>
      </w:pPr>
      <w:r>
        <w:rPr>
          <w:rFonts w:ascii="Calibri" w:cs="Calibri" w:eastAsia="Calibri" w:hAnsi="Calibri"/>
          <w:sz w:val="20"/>
          <w:szCs w:val="20"/>
        </w:rPr>
        <w:t xml:space="preserve">**467** Comptes courants associés.</w:t>
      </w:r>
    </w:p>
    <w:p>
      <w:pPr>
        <w:pStyle w:val="ListParagraph"/>
        <w:numPr>
          <w:ilvl w:val="0"/>
          <w:numId w:val="2"/>
        </w:numPr>
        <w:spacing w:after="60" w:line="260"/>
      </w:pPr>
      <w:r>
        <w:rPr>
          <w:rFonts w:ascii="Calibri" w:cs="Calibri" w:eastAsia="Calibri" w:hAnsi="Calibri"/>
          <w:sz w:val="20"/>
          <w:szCs w:val="20"/>
        </w:rPr>
        <w:t xml:space="preserve">**512** Banque (compte courant Eventy).</w:t>
      </w:r>
    </w:p>
    <w:p>
      <w:pPr>
        <w:pStyle w:val="ListParagraph"/>
        <w:numPr>
          <w:ilvl w:val="0"/>
          <w:numId w:val="2"/>
        </w:numPr>
        <w:spacing w:after="60" w:line="260"/>
      </w:pPr>
      <w:r>
        <w:rPr>
          <w:rFonts w:ascii="Calibri" w:cs="Calibri" w:eastAsia="Calibri" w:hAnsi="Calibri"/>
          <w:sz w:val="20"/>
          <w:szCs w:val="20"/>
        </w:rPr>
        <w:t xml:space="preserve">**513** Banque (compte cantonné dédié).</w:t>
      </w:r>
    </w:p>
    <w:p>
      <w:pPr>
        <w:spacing w:after="100" w:before="220"/>
      </w:pPr>
      <w:r>
        <w:rPr>
          <w:rFonts w:ascii="Calibri" w:cs="Calibri" w:eastAsia="Calibri" w:hAnsi="Calibri"/>
          <w:b/>
          <w:bCs/>
          <w:color w:val="E87722"/>
          <w:sz w:val="22"/>
          <w:szCs w:val="22"/>
        </w:rPr>
        <w:t xml:space="preserve">2.2. Comptes de résultat (classes 6-7)</w:t>
      </w:r>
    </w:p>
    <w:p>
      <w:pPr>
        <w:pStyle w:val="ListParagraph"/>
        <w:numPr>
          <w:ilvl w:val="0"/>
          <w:numId w:val="2"/>
        </w:numPr>
        <w:spacing w:after="60" w:line="260"/>
      </w:pPr>
      <w:r>
        <w:rPr>
          <w:rFonts w:ascii="Calibri" w:cs="Calibri" w:eastAsia="Calibri" w:hAnsi="Calibri"/>
          <w:sz w:val="20"/>
          <w:szCs w:val="20"/>
        </w:rPr>
        <w:t xml:space="preserve">**6044** Achats de prestations touristiques refacturables (TVA marge tourisme).</w:t>
      </w:r>
    </w:p>
    <w:p>
      <w:pPr>
        <w:pStyle w:val="ListParagraph"/>
        <w:numPr>
          <w:ilvl w:val="0"/>
          <w:numId w:val="2"/>
        </w:numPr>
        <w:spacing w:after="60" w:line="260"/>
      </w:pPr>
      <w:r>
        <w:rPr>
          <w:rFonts w:ascii="Calibri" w:cs="Calibri" w:eastAsia="Calibri" w:hAnsi="Calibri"/>
          <w:sz w:val="20"/>
          <w:szCs w:val="20"/>
        </w:rPr>
        <w:t xml:space="preserve">**6045** Achats de transports (refacturables, TVA marge).</w:t>
      </w:r>
    </w:p>
    <w:p>
      <w:pPr>
        <w:pStyle w:val="ListParagraph"/>
        <w:numPr>
          <w:ilvl w:val="0"/>
          <w:numId w:val="2"/>
        </w:numPr>
        <w:spacing w:after="60" w:line="260"/>
      </w:pPr>
      <w:r>
        <w:rPr>
          <w:rFonts w:ascii="Calibri" w:cs="Calibri" w:eastAsia="Calibri" w:hAnsi="Calibri"/>
          <w:sz w:val="20"/>
          <w:szCs w:val="20"/>
        </w:rPr>
        <w:t xml:space="preserve">**606** Achats non stockés (frais généraux).</w:t>
      </w:r>
    </w:p>
    <w:p>
      <w:pPr>
        <w:pStyle w:val="ListParagraph"/>
        <w:numPr>
          <w:ilvl w:val="0"/>
          <w:numId w:val="2"/>
        </w:numPr>
        <w:spacing w:after="60" w:line="260"/>
      </w:pPr>
      <w:r>
        <w:rPr>
          <w:rFonts w:ascii="Calibri" w:cs="Calibri" w:eastAsia="Calibri" w:hAnsi="Calibri"/>
          <w:sz w:val="20"/>
          <w:szCs w:val="20"/>
        </w:rPr>
        <w:t xml:space="preserve">**613** Locations bureaux.</w:t>
      </w:r>
    </w:p>
    <w:p>
      <w:pPr>
        <w:pStyle w:val="ListParagraph"/>
        <w:numPr>
          <w:ilvl w:val="0"/>
          <w:numId w:val="2"/>
        </w:numPr>
        <w:spacing w:after="60" w:line="260"/>
      </w:pPr>
      <w:r>
        <w:rPr>
          <w:rFonts w:ascii="Calibri" w:cs="Calibri" w:eastAsia="Calibri" w:hAnsi="Calibri"/>
          <w:sz w:val="20"/>
          <w:szCs w:val="20"/>
        </w:rPr>
        <w:t xml:space="preserve">**616** Primes d'assurance (RC Pro, Pack Sérénité, multirisque).</w:t>
      </w:r>
    </w:p>
    <w:p>
      <w:pPr>
        <w:pStyle w:val="ListParagraph"/>
        <w:numPr>
          <w:ilvl w:val="0"/>
          <w:numId w:val="2"/>
        </w:numPr>
        <w:spacing w:after="60" w:line="260"/>
      </w:pPr>
      <w:r>
        <w:rPr>
          <w:rFonts w:ascii="Calibri" w:cs="Calibri" w:eastAsia="Calibri" w:hAnsi="Calibri"/>
          <w:sz w:val="20"/>
          <w:szCs w:val="20"/>
        </w:rPr>
        <w:t xml:space="preserve">**622** Honoraires (avocat, expert-comptable, DPO, audit).</w:t>
      </w:r>
    </w:p>
    <w:p>
      <w:pPr>
        <w:pStyle w:val="ListParagraph"/>
        <w:numPr>
          <w:ilvl w:val="0"/>
          <w:numId w:val="2"/>
        </w:numPr>
        <w:spacing w:after="60" w:line="260"/>
      </w:pPr>
      <w:r>
        <w:rPr>
          <w:rFonts w:ascii="Calibri" w:cs="Calibri" w:eastAsia="Calibri" w:hAnsi="Calibri"/>
          <w:sz w:val="20"/>
          <w:szCs w:val="20"/>
        </w:rPr>
        <w:t xml:space="preserve">**623** Publicité, publications.</w:t>
      </w:r>
    </w:p>
    <w:p>
      <w:pPr>
        <w:pStyle w:val="ListParagraph"/>
        <w:numPr>
          <w:ilvl w:val="0"/>
          <w:numId w:val="2"/>
        </w:numPr>
        <w:spacing w:after="60" w:line="260"/>
      </w:pPr>
      <w:r>
        <w:rPr>
          <w:rFonts w:ascii="Calibri" w:cs="Calibri" w:eastAsia="Calibri" w:hAnsi="Calibri"/>
          <w:sz w:val="20"/>
          <w:szCs w:val="20"/>
        </w:rPr>
        <w:t xml:space="preserve">**625** Déplacements professionnels.</w:t>
      </w:r>
    </w:p>
    <w:p>
      <w:pPr>
        <w:pStyle w:val="ListParagraph"/>
        <w:numPr>
          <w:ilvl w:val="0"/>
          <w:numId w:val="2"/>
        </w:numPr>
        <w:spacing w:after="60" w:line="260"/>
      </w:pPr>
      <w:r>
        <w:rPr>
          <w:rFonts w:ascii="Calibri" w:cs="Calibri" w:eastAsia="Calibri" w:hAnsi="Calibri"/>
          <w:sz w:val="20"/>
          <w:szCs w:val="20"/>
        </w:rPr>
        <w:t xml:space="preserve">**641** Rémunérations du personnel.</w:t>
      </w:r>
    </w:p>
    <w:p>
      <w:pPr>
        <w:pStyle w:val="ListParagraph"/>
        <w:numPr>
          <w:ilvl w:val="0"/>
          <w:numId w:val="2"/>
        </w:numPr>
        <w:spacing w:after="60" w:line="260"/>
      </w:pPr>
      <w:r>
        <w:rPr>
          <w:rFonts w:ascii="Calibri" w:cs="Calibri" w:eastAsia="Calibri" w:hAnsi="Calibri"/>
          <w:sz w:val="20"/>
          <w:szCs w:val="20"/>
        </w:rPr>
        <w:t xml:space="preserve">**645** Charges sociales.</w:t>
      </w:r>
    </w:p>
    <w:p>
      <w:pPr>
        <w:pStyle w:val="ListParagraph"/>
        <w:numPr>
          <w:ilvl w:val="0"/>
          <w:numId w:val="2"/>
        </w:numPr>
        <w:spacing w:after="60" w:line="260"/>
      </w:pPr>
      <w:r>
        <w:rPr>
          <w:rFonts w:ascii="Calibri" w:cs="Calibri" w:eastAsia="Calibri" w:hAnsi="Calibri"/>
          <w:sz w:val="20"/>
          <w:szCs w:val="20"/>
        </w:rPr>
        <w:t xml:space="preserve">**6711** Charges exceptionnelles (litiges, indemnités voyageurs).</w:t>
      </w:r>
    </w:p>
    <w:p>
      <w:pPr>
        <w:pStyle w:val="ListParagraph"/>
        <w:numPr>
          <w:ilvl w:val="0"/>
          <w:numId w:val="2"/>
        </w:numPr>
        <w:spacing w:after="60" w:line="260"/>
      </w:pPr>
      <w:r>
        <w:rPr>
          <w:rFonts w:ascii="Calibri" w:cs="Calibri" w:eastAsia="Calibri" w:hAnsi="Calibri"/>
          <w:sz w:val="20"/>
          <w:szCs w:val="20"/>
        </w:rPr>
        <w:t xml:space="preserve">**695** Impôt sur les sociétés.</w:t>
      </w:r>
    </w:p>
    <w:p>
      <w:pPr>
        <w:pStyle w:val="ListParagraph"/>
        <w:numPr>
          <w:ilvl w:val="0"/>
          <w:numId w:val="2"/>
        </w:numPr>
        <w:spacing w:after="60" w:line="260"/>
      </w:pPr>
      <w:r>
        <w:rPr>
          <w:rFonts w:ascii="Calibri" w:cs="Calibri" w:eastAsia="Calibri" w:hAnsi="Calibri"/>
          <w:sz w:val="20"/>
          <w:szCs w:val="20"/>
        </w:rPr>
        <w:t xml:space="preserve">**7041** Ventes de voyages (CA voyages, TVA marge).</w:t>
      </w:r>
    </w:p>
    <w:p>
      <w:pPr>
        <w:pStyle w:val="ListParagraph"/>
        <w:numPr>
          <w:ilvl w:val="0"/>
          <w:numId w:val="2"/>
        </w:numPr>
        <w:spacing w:after="60" w:line="260"/>
      </w:pPr>
      <w:r>
        <w:rPr>
          <w:rFonts w:ascii="Calibri" w:cs="Calibri" w:eastAsia="Calibri" w:hAnsi="Calibri"/>
          <w:sz w:val="20"/>
          <w:szCs w:val="20"/>
        </w:rPr>
        <w:t xml:space="preserve">**7042** Ventes de prestations annexes.</w:t>
      </w:r>
    </w:p>
    <w:p>
      <w:pPr>
        <w:pStyle w:val="ListParagraph"/>
        <w:numPr>
          <w:ilvl w:val="0"/>
          <w:numId w:val="2"/>
        </w:numPr>
        <w:spacing w:after="60" w:line="260"/>
      </w:pPr>
      <w:r>
        <w:rPr>
          <w:rFonts w:ascii="Calibri" w:cs="Calibri" w:eastAsia="Calibri" w:hAnsi="Calibri"/>
          <w:sz w:val="20"/>
          <w:szCs w:val="20"/>
        </w:rPr>
        <w:t xml:space="preserve">**708** Produits accessoires.</w:t>
      </w:r>
    </w:p>
    <w:p>
      <w:pPr>
        <w:pStyle w:val="ListParagraph"/>
        <w:numPr>
          <w:ilvl w:val="0"/>
          <w:numId w:val="2"/>
        </w:numPr>
        <w:spacing w:after="60" w:line="260"/>
      </w:pPr>
      <w:r>
        <w:rPr>
          <w:rFonts w:ascii="Calibri" w:cs="Calibri" w:eastAsia="Calibri" w:hAnsi="Calibri"/>
          <w:sz w:val="20"/>
          <w:szCs w:val="20"/>
        </w:rPr>
        <w:t xml:space="preserve">**74** Subventions reçues (cohérence Dossier subventions publiques).</w:t>
      </w:r>
    </w:p>
    <w:p>
      <w:pPr>
        <w:spacing w:after="160" w:before="240"/>
      </w:pPr>
      <w:r>
        <w:rPr>
          <w:rFonts w:ascii="Calibri" w:cs="Calibri" w:eastAsia="Calibri" w:hAnsi="Calibri"/>
          <w:b/>
          <w:bCs/>
          <w:color w:val="1F4E79"/>
          <w:sz w:val="32"/>
          <w:szCs w:val="32"/>
        </w:rPr>
        <w:t xml:space="preserve">3. Comptes spécifiques tourisme à connaître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4368"/>
        <w:gridCol w:w="2496"/>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Compte</w:t>
            </w:r>
          </w:p>
        </w:tc>
        <w:tc>
          <w:tcPr>
            <w:tcW w:type="dxa" w:w="436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Particularité</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411 voyageur</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Créances voyageurs (voyage à venir)</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Solde = TTC encaissé non encore consommé</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461 cantonné</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Fonds en transit (séquestre)</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Doit être strictement séparé du 512</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6044 TVA marge</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Achats refacturables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Sortie séparée pour calcul TVA marge</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7041 TVA marge</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Ventes voyages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Entrée TTC, marge calculée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165 garantie APST</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Caution APST</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Mise en garantie (suivi trimestriel)</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403 Stripe</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Compte transit Stripe</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Solde quotidien rapproché</w:t>
            </w:r>
          </w:p>
        </w:tc>
      </w:tr>
    </w:tbl>
    <w:p>
      <w:pPr>
        <w:spacing w:after="160" w:before="240"/>
      </w:pPr>
      <w:r>
        <w:rPr>
          <w:rFonts w:ascii="Calibri" w:cs="Calibri" w:eastAsia="Calibri" w:hAnsi="Calibri"/>
          <w:b/>
          <w:bCs/>
          <w:color w:val="1F4E79"/>
          <w:sz w:val="32"/>
          <w:szCs w:val="32"/>
        </w:rPr>
        <w:t xml:space="preserve">4. Processus comptable mensuel</w:t>
      </w:r>
    </w:p>
    <w:p>
      <w:pPr>
        <w:spacing w:after="100" w:before="220"/>
      </w:pPr>
      <w:r>
        <w:rPr>
          <w:rFonts w:ascii="Calibri" w:cs="Calibri" w:eastAsia="Calibri" w:hAnsi="Calibri"/>
          <w:b/>
          <w:bCs/>
          <w:color w:val="E87722"/>
          <w:sz w:val="22"/>
          <w:szCs w:val="22"/>
        </w:rPr>
        <w:t xml:space="preserve">4.1. Quotidien (cohérence Manuel des opérations quotidiennes)</w:t>
      </w:r>
    </w:p>
    <w:p>
      <w:pPr>
        <w:pStyle w:val="ListParagraph"/>
        <w:numPr>
          <w:ilvl w:val="0"/>
          <w:numId w:val="2"/>
        </w:numPr>
        <w:spacing w:after="60" w:line="260"/>
      </w:pPr>
      <w:r>
        <w:rPr>
          <w:rFonts w:ascii="Calibri" w:cs="Calibri" w:eastAsia="Calibri" w:hAnsi="Calibri"/>
          <w:sz w:val="20"/>
          <w:szCs w:val="20"/>
        </w:rPr>
        <w:t xml:space="preserve">Saisie des factures fournisseurs sous 7 jours.</w:t>
      </w:r>
    </w:p>
    <w:p>
      <w:pPr>
        <w:pStyle w:val="ListParagraph"/>
        <w:numPr>
          <w:ilvl w:val="0"/>
          <w:numId w:val="2"/>
        </w:numPr>
        <w:spacing w:after="60" w:line="260"/>
      </w:pPr>
      <w:r>
        <w:rPr>
          <w:rFonts w:ascii="Calibri" w:cs="Calibri" w:eastAsia="Calibri" w:hAnsi="Calibri"/>
          <w:sz w:val="20"/>
          <w:szCs w:val="20"/>
        </w:rPr>
        <w:t xml:space="preserve">Saisie des factures clients dès l'émission (lien automatique avec Stripe).</w:t>
      </w:r>
    </w:p>
    <w:p>
      <w:pPr>
        <w:pStyle w:val="ListParagraph"/>
        <w:numPr>
          <w:ilvl w:val="0"/>
          <w:numId w:val="2"/>
        </w:numPr>
        <w:spacing w:after="60" w:line="260"/>
      </w:pPr>
      <w:r>
        <w:rPr>
          <w:rFonts w:ascii="Calibri" w:cs="Calibri" w:eastAsia="Calibri" w:hAnsi="Calibri"/>
          <w:sz w:val="20"/>
          <w:szCs w:val="20"/>
        </w:rPr>
        <w:t xml:space="preserve">Sauvegarde des justificatifs (cloud sécurisé France).</w:t>
      </w:r>
    </w:p>
    <w:p>
      <w:pPr>
        <w:pStyle w:val="ListParagraph"/>
        <w:numPr>
          <w:ilvl w:val="0"/>
          <w:numId w:val="2"/>
        </w:numPr>
        <w:spacing w:after="60" w:line="260"/>
      </w:pPr>
      <w:r>
        <w:rPr>
          <w:rFonts w:ascii="Calibri" w:cs="Calibri" w:eastAsia="Calibri" w:hAnsi="Calibri"/>
          <w:sz w:val="20"/>
          <w:szCs w:val="20"/>
        </w:rPr>
        <w:t xml:space="preserve">Vérification compte cantonné (mouvements 24h).</w:t>
      </w:r>
    </w:p>
    <w:p>
      <w:pPr>
        <w:spacing w:after="100" w:before="220"/>
      </w:pPr>
      <w:r>
        <w:rPr>
          <w:rFonts w:ascii="Calibri" w:cs="Calibri" w:eastAsia="Calibri" w:hAnsi="Calibri"/>
          <w:b/>
          <w:bCs/>
          <w:color w:val="E87722"/>
          <w:sz w:val="22"/>
          <w:szCs w:val="22"/>
        </w:rPr>
        <w:t xml:space="preserve">4.2. Hebdomadaire</w:t>
      </w:r>
    </w:p>
    <w:p>
      <w:pPr>
        <w:pStyle w:val="ListParagraph"/>
        <w:numPr>
          <w:ilvl w:val="0"/>
          <w:numId w:val="2"/>
        </w:numPr>
        <w:spacing w:after="60" w:line="260"/>
      </w:pPr>
      <w:r>
        <w:rPr>
          <w:rFonts w:ascii="Calibri" w:cs="Calibri" w:eastAsia="Calibri" w:hAnsi="Calibri"/>
          <w:sz w:val="20"/>
          <w:szCs w:val="20"/>
        </w:rPr>
        <w:t xml:space="preserve">Rapprochement bancaire (compte courant + compte cantonné).</w:t>
      </w:r>
    </w:p>
    <w:p>
      <w:pPr>
        <w:pStyle w:val="ListParagraph"/>
        <w:numPr>
          <w:ilvl w:val="0"/>
          <w:numId w:val="2"/>
        </w:numPr>
        <w:spacing w:after="60" w:line="260"/>
      </w:pPr>
      <w:r>
        <w:rPr>
          <w:rFonts w:ascii="Calibri" w:cs="Calibri" w:eastAsia="Calibri" w:hAnsi="Calibri"/>
          <w:sz w:val="20"/>
          <w:szCs w:val="20"/>
        </w:rPr>
        <w:t xml:space="preserve">Suivi cash flow rolling 13 semaines.</w:t>
      </w:r>
    </w:p>
    <w:p>
      <w:pPr>
        <w:pStyle w:val="ListParagraph"/>
        <w:numPr>
          <w:ilvl w:val="0"/>
          <w:numId w:val="2"/>
        </w:numPr>
        <w:spacing w:after="60" w:line="260"/>
      </w:pPr>
      <w:r>
        <w:rPr>
          <w:rFonts w:ascii="Calibri" w:cs="Calibri" w:eastAsia="Calibri" w:hAnsi="Calibri"/>
          <w:sz w:val="20"/>
          <w:szCs w:val="20"/>
        </w:rPr>
        <w:t xml:space="preserve">Vérification flux Stripe vs comptabilité.</w:t>
      </w:r>
    </w:p>
    <w:p>
      <w:pPr>
        <w:spacing w:after="100" w:before="220"/>
      </w:pPr>
      <w:r>
        <w:rPr>
          <w:rFonts w:ascii="Calibri" w:cs="Calibri" w:eastAsia="Calibri" w:hAnsi="Calibri"/>
          <w:b/>
          <w:bCs/>
          <w:color w:val="E87722"/>
          <w:sz w:val="22"/>
          <w:szCs w:val="22"/>
        </w:rPr>
        <w:t xml:space="preserve">4.3. Mensuel — clôture préliminaire</w:t>
      </w:r>
    </w:p>
    <w:p>
      <w:pPr>
        <w:pStyle w:val="ListParagraph"/>
        <w:numPr>
          <w:ilvl w:val="0"/>
          <w:numId w:val="3"/>
        </w:numPr>
        <w:spacing w:after="60" w:line="260"/>
      </w:pPr>
      <w:r>
        <w:rPr>
          <w:rFonts w:ascii="Calibri" w:cs="Calibri" w:eastAsia="Calibri" w:hAnsi="Calibri"/>
          <w:sz w:val="20"/>
          <w:szCs w:val="20"/>
        </w:rPr>
        <w:t xml:space="preserve">Première semaine du mois M+1 : revue des écritures du mois M.</w:t>
      </w:r>
    </w:p>
    <w:p>
      <w:pPr>
        <w:pStyle w:val="ListParagraph"/>
        <w:numPr>
          <w:ilvl w:val="0"/>
          <w:numId w:val="3"/>
        </w:numPr>
        <w:spacing w:after="60" w:line="260"/>
      </w:pPr>
      <w:r>
        <w:rPr>
          <w:rFonts w:ascii="Calibri" w:cs="Calibri" w:eastAsia="Calibri" w:hAnsi="Calibri"/>
          <w:sz w:val="20"/>
          <w:szCs w:val="20"/>
        </w:rPr>
        <w:t xml:space="preserve">Saisie de toutes les factures fournisseurs reçues.</w:t>
      </w:r>
    </w:p>
    <w:p>
      <w:pPr>
        <w:pStyle w:val="ListParagraph"/>
        <w:numPr>
          <w:ilvl w:val="0"/>
          <w:numId w:val="3"/>
        </w:numPr>
        <w:spacing w:after="60" w:line="260"/>
      </w:pPr>
      <w:r>
        <w:rPr>
          <w:rFonts w:ascii="Calibri" w:cs="Calibri" w:eastAsia="Calibri" w:hAnsi="Calibri"/>
          <w:sz w:val="20"/>
          <w:szCs w:val="20"/>
        </w:rPr>
        <w:t xml:space="preserve">Émission des factures clients en attente.</w:t>
      </w:r>
    </w:p>
    <w:p>
      <w:pPr>
        <w:pStyle w:val="ListParagraph"/>
        <w:numPr>
          <w:ilvl w:val="0"/>
          <w:numId w:val="3"/>
        </w:numPr>
        <w:spacing w:after="60" w:line="260"/>
      </w:pPr>
      <w:r>
        <w:rPr>
          <w:rFonts w:ascii="Calibri" w:cs="Calibri" w:eastAsia="Calibri" w:hAnsi="Calibri"/>
          <w:sz w:val="20"/>
          <w:szCs w:val="20"/>
        </w:rPr>
        <w:t xml:space="preserve">Calcul des charges à payer (loyer, salaires, sous-traitants).</w:t>
      </w:r>
    </w:p>
    <w:p>
      <w:pPr>
        <w:pStyle w:val="ListParagraph"/>
        <w:numPr>
          <w:ilvl w:val="0"/>
          <w:numId w:val="3"/>
        </w:numPr>
        <w:spacing w:after="60" w:line="260"/>
      </w:pPr>
      <w:r>
        <w:rPr>
          <w:rFonts w:ascii="Calibri" w:cs="Calibri" w:eastAsia="Calibri" w:hAnsi="Calibri"/>
          <w:sz w:val="20"/>
          <w:szCs w:val="20"/>
        </w:rPr>
        <w:t xml:space="preserve">Calcul des produits à recevoir.</w:t>
      </w:r>
    </w:p>
    <w:p>
      <w:pPr>
        <w:pStyle w:val="ListParagraph"/>
        <w:numPr>
          <w:ilvl w:val="0"/>
          <w:numId w:val="3"/>
        </w:numPr>
        <w:spacing w:after="60" w:line="260"/>
      </w:pPr>
      <w:r>
        <w:rPr>
          <w:rFonts w:ascii="Calibri" w:cs="Calibri" w:eastAsia="Calibri" w:hAnsi="Calibri"/>
          <w:sz w:val="20"/>
          <w:szCs w:val="20"/>
        </w:rPr>
        <w:t xml:space="preserve">Provision pour commissions (vendeur 5 % HT, créateur 3 pts HT).</w:t>
      </w:r>
    </w:p>
    <w:p>
      <w:pPr>
        <w:pStyle w:val="ListParagraph"/>
        <w:numPr>
          <w:ilvl w:val="0"/>
          <w:numId w:val="3"/>
        </w:numPr>
        <w:spacing w:after="60" w:line="260"/>
      </w:pPr>
      <w:r>
        <w:rPr>
          <w:rFonts w:ascii="Calibri" w:cs="Calibri" w:eastAsia="Calibri" w:hAnsi="Calibri"/>
          <w:sz w:val="20"/>
          <w:szCs w:val="20"/>
        </w:rPr>
        <w:t xml:space="preserve">Provision pour charges (audit APST, conseils externes).</w:t>
      </w:r>
    </w:p>
    <w:p>
      <w:pPr>
        <w:pStyle w:val="ListParagraph"/>
        <w:numPr>
          <w:ilvl w:val="0"/>
          <w:numId w:val="3"/>
        </w:numPr>
        <w:spacing w:after="60" w:line="260"/>
      </w:pPr>
      <w:r>
        <w:rPr>
          <w:rFonts w:ascii="Calibri" w:cs="Calibri" w:eastAsia="Calibri" w:hAnsi="Calibri"/>
          <w:sz w:val="20"/>
          <w:szCs w:val="20"/>
        </w:rPr>
        <w:t xml:space="preserve">Calcul TVA marge sur les voyages retournés du mois.</w:t>
      </w:r>
    </w:p>
    <w:p>
      <w:pPr>
        <w:pStyle w:val="ListParagraph"/>
        <w:numPr>
          <w:ilvl w:val="0"/>
          <w:numId w:val="3"/>
        </w:numPr>
        <w:spacing w:after="60" w:line="260"/>
      </w:pPr>
      <w:r>
        <w:rPr>
          <w:rFonts w:ascii="Calibri" w:cs="Calibri" w:eastAsia="Calibri" w:hAnsi="Calibri"/>
          <w:sz w:val="20"/>
          <w:szCs w:val="20"/>
        </w:rPr>
        <w:t xml:space="preserve">Validation préliminaire avec expert-comptable.</w:t>
      </w:r>
    </w:p>
    <w:p>
      <w:pPr>
        <w:spacing w:after="100" w:before="220"/>
      </w:pPr>
      <w:r>
        <w:rPr>
          <w:rFonts w:ascii="Calibri" w:cs="Calibri" w:eastAsia="Calibri" w:hAnsi="Calibri"/>
          <w:b/>
          <w:bCs/>
          <w:color w:val="E87722"/>
          <w:sz w:val="22"/>
          <w:szCs w:val="22"/>
        </w:rPr>
        <w:t xml:space="preserve">4.4. Mensuel — clôture validée</w:t>
      </w:r>
    </w:p>
    <w:p>
      <w:pPr>
        <w:pStyle w:val="ListParagraph"/>
        <w:numPr>
          <w:ilvl w:val="0"/>
          <w:numId w:val="2"/>
        </w:numPr>
        <w:spacing w:after="60" w:line="260"/>
      </w:pPr>
      <w:r>
        <w:rPr>
          <w:rFonts w:ascii="Calibri" w:cs="Calibri" w:eastAsia="Calibri" w:hAnsi="Calibri"/>
          <w:sz w:val="20"/>
          <w:szCs w:val="20"/>
        </w:rPr>
        <w:t xml:space="preserve">Comptes annuels mis à jour.</w:t>
      </w:r>
    </w:p>
    <w:p>
      <w:pPr>
        <w:pStyle w:val="ListParagraph"/>
        <w:numPr>
          <w:ilvl w:val="0"/>
          <w:numId w:val="2"/>
        </w:numPr>
        <w:spacing w:after="60" w:line="260"/>
      </w:pPr>
      <w:r>
        <w:rPr>
          <w:rFonts w:ascii="Calibri" w:cs="Calibri" w:eastAsia="Calibri" w:hAnsi="Calibri"/>
          <w:sz w:val="20"/>
          <w:szCs w:val="20"/>
        </w:rPr>
        <w:t xml:space="preserve">Reporting tableau de bord (cohérence Tableau de bord opérationnel).</w:t>
      </w:r>
    </w:p>
    <w:p>
      <w:pPr>
        <w:pStyle w:val="ListParagraph"/>
        <w:numPr>
          <w:ilvl w:val="0"/>
          <w:numId w:val="2"/>
        </w:numPr>
        <w:spacing w:after="60" w:line="260"/>
      </w:pPr>
      <w:r>
        <w:rPr>
          <w:rFonts w:ascii="Calibri" w:cs="Calibri" w:eastAsia="Calibri" w:hAnsi="Calibri"/>
          <w:sz w:val="20"/>
          <w:szCs w:val="20"/>
        </w:rPr>
        <w:t xml:space="preserve">Reporting investisseurs (cohérence Pacte associés Seed).</w:t>
      </w:r>
    </w:p>
    <w:p>
      <w:pPr>
        <w:pStyle w:val="ListParagraph"/>
        <w:numPr>
          <w:ilvl w:val="0"/>
          <w:numId w:val="2"/>
        </w:numPr>
        <w:spacing w:after="60" w:line="260"/>
      </w:pPr>
      <w:r>
        <w:rPr>
          <w:rFonts w:ascii="Calibri" w:cs="Calibri" w:eastAsia="Calibri" w:hAnsi="Calibri"/>
          <w:sz w:val="20"/>
          <w:szCs w:val="20"/>
        </w:rPr>
        <w:t xml:space="preserve">Mise à jour Plan trésorerie M0-M12 (cohérence pdg-eventy/02-finance/).</w:t>
      </w:r>
    </w:p>
    <w:p>
      <w:pPr>
        <w:pStyle w:val="ListParagraph"/>
        <w:numPr>
          <w:ilvl w:val="0"/>
          <w:numId w:val="2"/>
        </w:numPr>
        <w:spacing w:after="60" w:line="260"/>
      </w:pPr>
      <w:r>
        <w:rPr>
          <w:rFonts w:ascii="Calibri" w:cs="Calibri" w:eastAsia="Calibri" w:hAnsi="Calibri"/>
          <w:sz w:val="20"/>
          <w:szCs w:val="20"/>
        </w:rPr>
        <w:t xml:space="preserve">Verrouillage des écritures du mois clos.</w:t>
      </w:r>
    </w:p>
    <w:p>
      <w:pPr>
        <w:spacing w:after="160" w:before="240"/>
      </w:pPr>
      <w:r>
        <w:rPr>
          <w:rFonts w:ascii="Calibri" w:cs="Calibri" w:eastAsia="Calibri" w:hAnsi="Calibri"/>
          <w:b/>
          <w:bCs/>
          <w:color w:val="1F4E79"/>
          <w:sz w:val="32"/>
          <w:szCs w:val="32"/>
        </w:rPr>
        <w:t xml:space="preserve">5. Reporting financier</w:t>
      </w:r>
    </w:p>
    <w:p>
      <w:pPr>
        <w:spacing w:after="100" w:before="220"/>
      </w:pPr>
      <w:r>
        <w:rPr>
          <w:rFonts w:ascii="Calibri" w:cs="Calibri" w:eastAsia="Calibri" w:hAnsi="Calibri"/>
          <w:b/>
          <w:bCs/>
          <w:color w:val="E87722"/>
          <w:sz w:val="22"/>
          <w:szCs w:val="22"/>
        </w:rPr>
        <w:t xml:space="preserve">5.1. Reporting interne mensuel</w:t>
      </w:r>
    </w:p>
    <w:p>
      <w:pPr>
        <w:pStyle w:val="ListParagraph"/>
        <w:numPr>
          <w:ilvl w:val="0"/>
          <w:numId w:val="2"/>
        </w:numPr>
        <w:spacing w:after="60" w:line="260"/>
      </w:pPr>
      <w:r>
        <w:rPr>
          <w:rFonts w:ascii="Calibri" w:cs="Calibri" w:eastAsia="Calibri" w:hAnsi="Calibri"/>
          <w:sz w:val="20"/>
          <w:szCs w:val="20"/>
        </w:rPr>
        <w:t xml:space="preserve">CA mois M (réalisé vs prévisionnel).</w:t>
      </w:r>
    </w:p>
    <w:p>
      <w:pPr>
        <w:pStyle w:val="ListParagraph"/>
        <w:numPr>
          <w:ilvl w:val="0"/>
          <w:numId w:val="2"/>
        </w:numPr>
        <w:spacing w:after="60" w:line="260"/>
      </w:pPr>
      <w:r>
        <w:rPr>
          <w:rFonts w:ascii="Calibri" w:cs="Calibri" w:eastAsia="Calibri" w:hAnsi="Calibri"/>
          <w:sz w:val="20"/>
          <w:szCs w:val="20"/>
        </w:rPr>
        <w:t xml:space="preserve">Marge brute mois M (réalisé vs prévisionnel).</w:t>
      </w:r>
    </w:p>
    <w:p>
      <w:pPr>
        <w:pStyle w:val="ListParagraph"/>
        <w:numPr>
          <w:ilvl w:val="0"/>
          <w:numId w:val="2"/>
        </w:numPr>
        <w:spacing w:after="60" w:line="260"/>
      </w:pPr>
      <w:r>
        <w:rPr>
          <w:rFonts w:ascii="Calibri" w:cs="Calibri" w:eastAsia="Calibri" w:hAnsi="Calibri"/>
          <w:sz w:val="20"/>
          <w:szCs w:val="20"/>
        </w:rPr>
        <w:t xml:space="preserve">Charges mois M par grande catégorie.</w:t>
      </w:r>
    </w:p>
    <w:p>
      <w:pPr>
        <w:pStyle w:val="ListParagraph"/>
        <w:numPr>
          <w:ilvl w:val="0"/>
          <w:numId w:val="2"/>
        </w:numPr>
        <w:spacing w:after="60" w:line="260"/>
      </w:pPr>
      <w:r>
        <w:rPr>
          <w:rFonts w:ascii="Calibri" w:cs="Calibri" w:eastAsia="Calibri" w:hAnsi="Calibri"/>
          <w:sz w:val="20"/>
          <w:szCs w:val="20"/>
        </w:rPr>
        <w:t xml:space="preserve">Résultat net mois M.</w:t>
      </w:r>
    </w:p>
    <w:p>
      <w:pPr>
        <w:pStyle w:val="ListParagraph"/>
        <w:numPr>
          <w:ilvl w:val="0"/>
          <w:numId w:val="2"/>
        </w:numPr>
        <w:spacing w:after="60" w:line="260"/>
      </w:pPr>
      <w:r>
        <w:rPr>
          <w:rFonts w:ascii="Calibri" w:cs="Calibri" w:eastAsia="Calibri" w:hAnsi="Calibri"/>
          <w:sz w:val="20"/>
          <w:szCs w:val="20"/>
        </w:rPr>
        <w:t xml:space="preserve">Trésorerie disponible (compte courant).</w:t>
      </w:r>
    </w:p>
    <w:p>
      <w:pPr>
        <w:pStyle w:val="ListParagraph"/>
        <w:numPr>
          <w:ilvl w:val="0"/>
          <w:numId w:val="2"/>
        </w:numPr>
        <w:spacing w:after="60" w:line="260"/>
      </w:pPr>
      <w:r>
        <w:rPr>
          <w:rFonts w:ascii="Calibri" w:cs="Calibri" w:eastAsia="Calibri" w:hAnsi="Calibri"/>
          <w:sz w:val="20"/>
          <w:szCs w:val="20"/>
        </w:rPr>
        <w:t xml:space="preserve">Solde compte cantonné.</w:t>
      </w:r>
    </w:p>
    <w:p>
      <w:pPr>
        <w:pStyle w:val="ListParagraph"/>
        <w:numPr>
          <w:ilvl w:val="0"/>
          <w:numId w:val="2"/>
        </w:numPr>
        <w:spacing w:after="60" w:line="260"/>
      </w:pPr>
      <w:r>
        <w:rPr>
          <w:rFonts w:ascii="Calibri" w:cs="Calibri" w:eastAsia="Calibri" w:hAnsi="Calibri"/>
          <w:sz w:val="20"/>
          <w:szCs w:val="20"/>
        </w:rPr>
        <w:t xml:space="preserve">Indicateurs clés (NPS, voyageurs, conversions).</w:t>
      </w:r>
    </w:p>
    <w:p>
      <w:pPr>
        <w:spacing w:after="100" w:before="220"/>
      </w:pPr>
      <w:r>
        <w:rPr>
          <w:rFonts w:ascii="Calibri" w:cs="Calibri" w:eastAsia="Calibri" w:hAnsi="Calibri"/>
          <w:b/>
          <w:bCs/>
          <w:color w:val="E87722"/>
          <w:sz w:val="22"/>
          <w:szCs w:val="22"/>
        </w:rPr>
        <w:t xml:space="preserve">5.2. Reporting trimestriel APST</w:t>
      </w:r>
    </w:p>
    <w:p>
      <w:pPr>
        <w:pStyle w:val="ListParagraph"/>
        <w:numPr>
          <w:ilvl w:val="0"/>
          <w:numId w:val="2"/>
        </w:numPr>
        <w:spacing w:after="60" w:line="260"/>
      </w:pPr>
      <w:r>
        <w:rPr>
          <w:rFonts w:ascii="Calibri" w:cs="Calibri" w:eastAsia="Calibri" w:hAnsi="Calibri"/>
          <w:sz w:val="20"/>
          <w:szCs w:val="20"/>
        </w:rPr>
        <w:t xml:space="preserve">Cohérence Note expert-comptable.</w:t>
      </w:r>
    </w:p>
    <w:p>
      <w:pPr>
        <w:pStyle w:val="ListParagraph"/>
        <w:numPr>
          <w:ilvl w:val="0"/>
          <w:numId w:val="2"/>
        </w:numPr>
        <w:spacing w:after="60" w:line="260"/>
      </w:pPr>
      <w:r>
        <w:rPr>
          <w:rFonts w:ascii="Calibri" w:cs="Calibri" w:eastAsia="Calibri" w:hAnsi="Calibri"/>
          <w:sz w:val="20"/>
          <w:szCs w:val="20"/>
        </w:rPr>
        <w:t xml:space="preserve">Trésorerie en transit (compte cantonné — pic et solde fin de période).</w:t>
      </w:r>
    </w:p>
    <w:p>
      <w:pPr>
        <w:pStyle w:val="ListParagraph"/>
        <w:numPr>
          <w:ilvl w:val="0"/>
          <w:numId w:val="2"/>
        </w:numPr>
        <w:spacing w:after="60" w:line="260"/>
      </w:pPr>
      <w:r>
        <w:rPr>
          <w:rFonts w:ascii="Calibri" w:cs="Calibri" w:eastAsia="Calibri" w:hAnsi="Calibri"/>
          <w:sz w:val="20"/>
          <w:szCs w:val="20"/>
        </w:rPr>
        <w:t xml:space="preserve">Volumes opérationnels (voyageurs accueillis, voyages opérés).</w:t>
      </w:r>
    </w:p>
    <w:p>
      <w:pPr>
        <w:pStyle w:val="ListParagraph"/>
        <w:numPr>
          <w:ilvl w:val="0"/>
          <w:numId w:val="2"/>
        </w:numPr>
        <w:spacing w:after="60" w:line="260"/>
      </w:pPr>
      <w:r>
        <w:rPr>
          <w:rFonts w:ascii="Calibri" w:cs="Calibri" w:eastAsia="Calibri" w:hAnsi="Calibri"/>
          <w:sz w:val="20"/>
          <w:szCs w:val="20"/>
        </w:rPr>
        <w:t xml:space="preserve">Sinistralité (réclamations, litiges, indemnités versées).</w:t>
      </w:r>
    </w:p>
    <w:p>
      <w:pPr>
        <w:pStyle w:val="ListParagraph"/>
        <w:numPr>
          <w:ilvl w:val="0"/>
          <w:numId w:val="2"/>
        </w:numPr>
        <w:spacing w:after="60" w:line="260"/>
      </w:pPr>
      <w:r>
        <w:rPr>
          <w:rFonts w:ascii="Calibri" w:cs="Calibri" w:eastAsia="Calibri" w:hAnsi="Calibri"/>
          <w:sz w:val="20"/>
          <w:szCs w:val="20"/>
        </w:rPr>
        <w:t xml:space="preserve">Conformité opérationnelle.</w:t>
      </w:r>
    </w:p>
    <w:p>
      <w:pPr>
        <w:spacing w:after="100" w:before="220"/>
      </w:pPr>
      <w:r>
        <w:rPr>
          <w:rFonts w:ascii="Calibri" w:cs="Calibri" w:eastAsia="Calibri" w:hAnsi="Calibri"/>
          <w:b/>
          <w:bCs/>
          <w:color w:val="E87722"/>
          <w:sz w:val="22"/>
          <w:szCs w:val="22"/>
        </w:rPr>
        <w:t xml:space="preserve">5.3. Reporting annuel</w:t>
      </w:r>
    </w:p>
    <w:p>
      <w:pPr>
        <w:pStyle w:val="ListParagraph"/>
        <w:numPr>
          <w:ilvl w:val="0"/>
          <w:numId w:val="2"/>
        </w:numPr>
        <w:spacing w:after="60" w:line="260"/>
      </w:pPr>
      <w:r>
        <w:rPr>
          <w:rFonts w:ascii="Calibri" w:cs="Calibri" w:eastAsia="Calibri" w:hAnsi="Calibri"/>
          <w:sz w:val="20"/>
          <w:szCs w:val="20"/>
        </w:rPr>
        <w:t xml:space="preserve">Bilan, compte de résultat, annexe.</w:t>
      </w:r>
    </w:p>
    <w:p>
      <w:pPr>
        <w:pStyle w:val="ListParagraph"/>
        <w:numPr>
          <w:ilvl w:val="0"/>
          <w:numId w:val="2"/>
        </w:numPr>
        <w:spacing w:after="60" w:line="260"/>
      </w:pPr>
      <w:r>
        <w:rPr>
          <w:rFonts w:ascii="Calibri" w:cs="Calibri" w:eastAsia="Calibri" w:hAnsi="Calibri"/>
          <w:sz w:val="20"/>
          <w:szCs w:val="20"/>
        </w:rPr>
        <w:t xml:space="preserve">Rapport de gestion (cohérence document dédié).</w:t>
      </w:r>
    </w:p>
    <w:p>
      <w:pPr>
        <w:pStyle w:val="ListParagraph"/>
        <w:numPr>
          <w:ilvl w:val="0"/>
          <w:numId w:val="2"/>
        </w:numPr>
        <w:spacing w:after="60" w:line="260"/>
      </w:pPr>
      <w:r>
        <w:rPr>
          <w:rFonts w:ascii="Calibri" w:cs="Calibri" w:eastAsia="Calibri" w:hAnsi="Calibri"/>
          <w:sz w:val="20"/>
          <w:szCs w:val="20"/>
        </w:rPr>
        <w:t xml:space="preserve">Rapport spécial commissaire aux comptes (si nommé).</w:t>
      </w:r>
    </w:p>
    <w:p>
      <w:pPr>
        <w:pStyle w:val="ListParagraph"/>
        <w:numPr>
          <w:ilvl w:val="0"/>
          <w:numId w:val="2"/>
        </w:numPr>
        <w:spacing w:after="60" w:line="260"/>
      </w:pPr>
      <w:r>
        <w:rPr>
          <w:rFonts w:ascii="Calibri" w:cs="Calibri" w:eastAsia="Calibri" w:hAnsi="Calibri"/>
          <w:sz w:val="20"/>
          <w:szCs w:val="20"/>
        </w:rPr>
        <w:t xml:space="preserve">Reporting RSE (cohérence Politique RSE).</w:t>
      </w:r>
    </w:p>
    <w:p>
      <w:pPr>
        <w:pStyle w:val="ListParagraph"/>
        <w:numPr>
          <w:ilvl w:val="0"/>
          <w:numId w:val="2"/>
        </w:numPr>
        <w:spacing w:after="60" w:line="260"/>
      </w:pPr>
      <w:r>
        <w:rPr>
          <w:rFonts w:ascii="Calibri" w:cs="Calibri" w:eastAsia="Calibri" w:hAnsi="Calibri"/>
          <w:sz w:val="20"/>
          <w:szCs w:val="20"/>
        </w:rPr>
        <w:t xml:space="preserve">Reporting CSRD si seuils atteints (cible An 4-5).</w:t>
      </w:r>
    </w:p>
    <w:p>
      <w:pPr>
        <w:spacing w:after="160" w:before="240"/>
      </w:pPr>
      <w:r>
        <w:rPr>
          <w:rFonts w:ascii="Calibri" w:cs="Calibri" w:eastAsia="Calibri" w:hAnsi="Calibri"/>
          <w:b/>
          <w:bCs/>
          <w:color w:val="1F4E79"/>
          <w:sz w:val="32"/>
          <w:szCs w:val="32"/>
        </w:rPr>
        <w:t xml:space="preserve">6. Contrôles internes</w:t>
      </w:r>
    </w:p>
    <w:p>
      <w:pPr>
        <w:spacing w:after="100" w:before="220"/>
      </w:pPr>
      <w:r>
        <w:rPr>
          <w:rFonts w:ascii="Calibri" w:cs="Calibri" w:eastAsia="Calibri" w:hAnsi="Calibri"/>
          <w:b/>
          <w:bCs/>
          <w:color w:val="E87722"/>
          <w:sz w:val="22"/>
          <w:szCs w:val="22"/>
        </w:rPr>
        <w:t xml:space="preserve">6.1. Séparation des tâches (à terme)</w:t>
      </w:r>
    </w:p>
    <w:p>
      <w:pPr>
        <w:pStyle w:val="ListParagraph"/>
        <w:numPr>
          <w:ilvl w:val="0"/>
          <w:numId w:val="2"/>
        </w:numPr>
        <w:spacing w:after="60" w:line="260"/>
      </w:pPr>
      <w:r>
        <w:rPr>
          <w:rFonts w:ascii="Calibri" w:cs="Calibri" w:eastAsia="Calibri" w:hAnsi="Calibri"/>
          <w:sz w:val="20"/>
          <w:szCs w:val="20"/>
        </w:rPr>
        <w:t xml:space="preserve">An 1 : Président + expert-comptable (taille équipe limitée).</w:t>
      </w:r>
    </w:p>
    <w:p>
      <w:pPr>
        <w:pStyle w:val="ListParagraph"/>
        <w:numPr>
          <w:ilvl w:val="0"/>
          <w:numId w:val="2"/>
        </w:numPr>
        <w:spacing w:after="60" w:line="260"/>
      </w:pPr>
      <w:r>
        <w:rPr>
          <w:rFonts w:ascii="Calibri" w:cs="Calibri" w:eastAsia="Calibri" w:hAnsi="Calibri"/>
          <w:sz w:val="20"/>
          <w:szCs w:val="20"/>
        </w:rPr>
        <w:t xml:space="preserve">An 2-3 : recrutement comptable interne — séparation initiation / validation.</w:t>
      </w:r>
    </w:p>
    <w:p>
      <w:pPr>
        <w:pStyle w:val="ListParagraph"/>
        <w:numPr>
          <w:ilvl w:val="0"/>
          <w:numId w:val="2"/>
        </w:numPr>
        <w:spacing w:after="60" w:line="260"/>
      </w:pPr>
      <w:r>
        <w:rPr>
          <w:rFonts w:ascii="Calibri" w:cs="Calibri" w:eastAsia="Calibri" w:hAnsi="Calibri"/>
          <w:sz w:val="20"/>
          <w:szCs w:val="20"/>
        </w:rPr>
        <w:t xml:space="preserve">An 4+ : DAF + comptable interne — séparation complète des tâches.</w:t>
      </w:r>
    </w:p>
    <w:p>
      <w:pPr>
        <w:spacing w:after="100" w:before="220"/>
      </w:pPr>
      <w:r>
        <w:rPr>
          <w:rFonts w:ascii="Calibri" w:cs="Calibri" w:eastAsia="Calibri" w:hAnsi="Calibri"/>
          <w:b/>
          <w:bCs/>
          <w:color w:val="E87722"/>
          <w:sz w:val="22"/>
          <w:szCs w:val="22"/>
        </w:rPr>
        <w:t xml:space="preserve">6.2. Contrôles automatiques</w:t>
      </w:r>
    </w:p>
    <w:p>
      <w:pPr>
        <w:pStyle w:val="ListParagraph"/>
        <w:numPr>
          <w:ilvl w:val="0"/>
          <w:numId w:val="2"/>
        </w:numPr>
        <w:spacing w:after="60" w:line="260"/>
      </w:pPr>
      <w:r>
        <w:rPr>
          <w:rFonts w:ascii="Calibri" w:cs="Calibri" w:eastAsia="Calibri" w:hAnsi="Calibri"/>
          <w:sz w:val="20"/>
          <w:szCs w:val="20"/>
        </w:rPr>
        <w:t xml:space="preserve">Rapprochement automatique Stripe ↔ comptabilité.</w:t>
      </w:r>
    </w:p>
    <w:p>
      <w:pPr>
        <w:pStyle w:val="ListParagraph"/>
        <w:numPr>
          <w:ilvl w:val="0"/>
          <w:numId w:val="2"/>
        </w:numPr>
        <w:spacing w:after="60" w:line="260"/>
      </w:pPr>
      <w:r>
        <w:rPr>
          <w:rFonts w:ascii="Calibri" w:cs="Calibri" w:eastAsia="Calibri" w:hAnsi="Calibri"/>
          <w:sz w:val="20"/>
          <w:szCs w:val="20"/>
        </w:rPr>
        <w:t xml:space="preserve">Alertes solde compte cantonné anormal.</w:t>
      </w:r>
    </w:p>
    <w:p>
      <w:pPr>
        <w:pStyle w:val="ListParagraph"/>
        <w:numPr>
          <w:ilvl w:val="0"/>
          <w:numId w:val="2"/>
        </w:numPr>
        <w:spacing w:after="60" w:line="260"/>
      </w:pPr>
      <w:r>
        <w:rPr>
          <w:rFonts w:ascii="Calibri" w:cs="Calibri" w:eastAsia="Calibri" w:hAnsi="Calibri"/>
          <w:sz w:val="20"/>
          <w:szCs w:val="20"/>
        </w:rPr>
        <w:t xml:space="preserve">Alertes mouvements bancaires non rapprochés.</w:t>
      </w:r>
    </w:p>
    <w:p>
      <w:pPr>
        <w:pStyle w:val="ListParagraph"/>
        <w:numPr>
          <w:ilvl w:val="0"/>
          <w:numId w:val="2"/>
        </w:numPr>
        <w:spacing w:after="60" w:line="260"/>
      </w:pPr>
      <w:r>
        <w:rPr>
          <w:rFonts w:ascii="Calibri" w:cs="Calibri" w:eastAsia="Calibri" w:hAnsi="Calibri"/>
          <w:sz w:val="20"/>
          <w:szCs w:val="20"/>
        </w:rPr>
        <w:t xml:space="preserve">Alerte cohérence TVA marge / TVA classique.</w:t>
      </w:r>
    </w:p>
    <w:p>
      <w:pPr>
        <w:spacing w:after="100" w:before="220"/>
      </w:pPr>
      <w:r>
        <w:rPr>
          <w:rFonts w:ascii="Calibri" w:cs="Calibri" w:eastAsia="Calibri" w:hAnsi="Calibri"/>
          <w:b/>
          <w:bCs/>
          <w:color w:val="E87722"/>
          <w:sz w:val="22"/>
          <w:szCs w:val="22"/>
        </w:rPr>
        <w:t xml:space="preserve">6.3. Audits</w:t>
      </w:r>
    </w:p>
    <w:p>
      <w:pPr>
        <w:pStyle w:val="ListParagraph"/>
        <w:numPr>
          <w:ilvl w:val="0"/>
          <w:numId w:val="2"/>
        </w:numPr>
        <w:spacing w:after="60" w:line="260"/>
      </w:pPr>
      <w:r>
        <w:rPr>
          <w:rFonts w:ascii="Calibri" w:cs="Calibri" w:eastAsia="Calibri" w:hAnsi="Calibri"/>
          <w:sz w:val="20"/>
          <w:szCs w:val="20"/>
        </w:rPr>
        <w:t xml:space="preserve">Audit annuel obligatoire (CAC à partir des seuils L227-9-1) — cohérence PV AGOA.</w:t>
      </w:r>
    </w:p>
    <w:p>
      <w:pPr>
        <w:pStyle w:val="ListParagraph"/>
        <w:numPr>
          <w:ilvl w:val="0"/>
          <w:numId w:val="2"/>
        </w:numPr>
        <w:spacing w:after="60" w:line="260"/>
      </w:pPr>
      <w:r>
        <w:rPr>
          <w:rFonts w:ascii="Calibri" w:cs="Calibri" w:eastAsia="Calibri" w:hAnsi="Calibri"/>
          <w:sz w:val="20"/>
          <w:szCs w:val="20"/>
        </w:rPr>
        <w:t xml:space="preserve">Audit interne trimestriel (cohérence Plan d'audit interne).</w:t>
      </w:r>
    </w:p>
    <w:p>
      <w:pPr>
        <w:pStyle w:val="ListParagraph"/>
        <w:numPr>
          <w:ilvl w:val="0"/>
          <w:numId w:val="2"/>
        </w:numPr>
        <w:spacing w:after="60" w:line="260"/>
      </w:pPr>
      <w:r>
        <w:rPr>
          <w:rFonts w:ascii="Calibri" w:cs="Calibri" w:eastAsia="Calibri" w:hAnsi="Calibri"/>
          <w:sz w:val="20"/>
          <w:szCs w:val="20"/>
        </w:rPr>
        <w:t xml:space="preserve">Audits APST trimestriels.</w:t>
      </w:r>
    </w:p>
    <w:p>
      <w:pPr>
        <w:spacing w:after="160" w:before="240"/>
      </w:pPr>
      <w:r>
        <w:rPr>
          <w:rFonts w:ascii="Calibri" w:cs="Calibri" w:eastAsia="Calibri" w:hAnsi="Calibri"/>
          <w:b/>
          <w:bCs/>
          <w:color w:val="1F4E79"/>
          <w:sz w:val="32"/>
          <w:szCs w:val="32"/>
        </w:rPr>
        <w:t xml:space="preserve">7. Conservation des pièces</w:t>
      </w:r>
    </w:p>
    <w:p>
      <w:pPr>
        <w:pStyle w:val="ListParagraph"/>
        <w:numPr>
          <w:ilvl w:val="0"/>
          <w:numId w:val="2"/>
        </w:numPr>
        <w:spacing w:after="60" w:line="260"/>
      </w:pPr>
      <w:r>
        <w:rPr>
          <w:rFonts w:ascii="Calibri" w:cs="Calibri" w:eastAsia="Calibri" w:hAnsi="Calibri"/>
          <w:sz w:val="20"/>
          <w:szCs w:val="20"/>
        </w:rPr>
        <w:t xml:space="preserve">Pièces comptables : 10 ans (article L123-22 Code commerce).</w:t>
      </w:r>
    </w:p>
    <w:p>
      <w:pPr>
        <w:pStyle w:val="ListParagraph"/>
        <w:numPr>
          <w:ilvl w:val="0"/>
          <w:numId w:val="2"/>
        </w:numPr>
        <w:spacing w:after="60" w:line="260"/>
      </w:pPr>
      <w:r>
        <w:rPr>
          <w:rFonts w:ascii="Calibri" w:cs="Calibri" w:eastAsia="Calibri" w:hAnsi="Calibri"/>
          <w:sz w:val="20"/>
          <w:szCs w:val="20"/>
        </w:rPr>
        <w:t xml:space="preserve">Bulletins de paie : 5 ans (Code travail).</w:t>
      </w:r>
    </w:p>
    <w:p>
      <w:pPr>
        <w:pStyle w:val="ListParagraph"/>
        <w:numPr>
          <w:ilvl w:val="0"/>
          <w:numId w:val="2"/>
        </w:numPr>
        <w:spacing w:after="60" w:line="260"/>
      </w:pPr>
      <w:r>
        <w:rPr>
          <w:rFonts w:ascii="Calibri" w:cs="Calibri" w:eastAsia="Calibri" w:hAnsi="Calibri"/>
          <w:sz w:val="20"/>
          <w:szCs w:val="20"/>
        </w:rPr>
        <w:t xml:space="preserve">Documents fiscaux : 6 ans (Livre des procédures fiscales).</w:t>
      </w:r>
    </w:p>
    <w:p>
      <w:pPr>
        <w:pStyle w:val="ListParagraph"/>
        <w:numPr>
          <w:ilvl w:val="0"/>
          <w:numId w:val="2"/>
        </w:numPr>
        <w:spacing w:after="60" w:line="260"/>
      </w:pPr>
      <w:r>
        <w:rPr>
          <w:rFonts w:ascii="Calibri" w:cs="Calibri" w:eastAsia="Calibri" w:hAnsi="Calibri"/>
          <w:sz w:val="20"/>
          <w:szCs w:val="20"/>
        </w:rPr>
        <w:t xml:space="preserve">Contrats commerciaux : durée du contrat + 5 ans.</w:t>
      </w:r>
    </w:p>
    <w:p>
      <w:pPr>
        <w:pStyle w:val="ListParagraph"/>
        <w:numPr>
          <w:ilvl w:val="0"/>
          <w:numId w:val="2"/>
        </w:numPr>
        <w:spacing w:after="60" w:line="260"/>
      </w:pPr>
      <w:r>
        <w:rPr>
          <w:rFonts w:ascii="Calibri" w:cs="Calibri" w:eastAsia="Calibri" w:hAnsi="Calibri"/>
          <w:sz w:val="20"/>
          <w:szCs w:val="20"/>
        </w:rPr>
        <w:t xml:space="preserve">Données voyageurs : 5 ans après dernier voyage (RGPD), sauf comptabilité 10 ans.</w:t>
      </w:r>
    </w:p>
    <w:p>
      <w:pPr>
        <w:pStyle w:val="ListParagraph"/>
        <w:numPr>
          <w:ilvl w:val="0"/>
          <w:numId w:val="2"/>
        </w:numPr>
        <w:spacing w:after="60" w:line="260"/>
      </w:pPr>
      <w:r>
        <w:rPr>
          <w:rFonts w:ascii="Calibri" w:cs="Calibri" w:eastAsia="Calibri" w:hAnsi="Calibri"/>
          <w:sz w:val="20"/>
          <w:szCs w:val="20"/>
        </w:rPr>
        <w:t xml:space="preserve">Conservation cloud sécurisé France + sauvegarde mensuelle long terme.</w:t>
      </w:r>
    </w:p>
    <w:p>
      <w:pPr>
        <w:spacing w:after="160" w:before="240"/>
      </w:pPr>
      <w:r>
        <w:rPr>
          <w:rFonts w:ascii="Calibri" w:cs="Calibri" w:eastAsia="Calibri" w:hAnsi="Calibri"/>
          <w:b/>
          <w:bCs/>
          <w:color w:val="1F4E79"/>
          <w:sz w:val="32"/>
          <w:szCs w:val="32"/>
        </w:rPr>
        <w:t xml:space="preserve">8. Indicateurs financiers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clôture mensuelle (jours)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j</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clôture annuelle (jours)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Rapprochement bancaire à jour</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Hebdomadaire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Quotidien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brute / CA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10-14 %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12-15 %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nette / CA</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Trésorerie disponible (mois charges)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mois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mois</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Pic compte cantonné / garantie APST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paiement fournisseurs (LME)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25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j</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À valider par l'expert-comptable et mettre à jour annuellement.</w:t>
      </w:r>
    </w:p>
    <w:p>
      <w:pPr>
        <w:spacing w:after="100" w:line="280"/>
        <w:jc w:val="both"/>
      </w:pPr>
      <w:r>
        <w:rPr>
          <w:rFonts w:ascii="Calibri" w:cs="Calibri" w:eastAsia="Calibri" w:hAnsi="Calibri"/>
          <w:i/>
          <w:iCs/>
          <w:color w:val="555555"/>
          <w:sz w:val="18"/>
          <w:szCs w:val="18"/>
        </w:rPr>
        <w:t xml:space="preserve">Cohérence avec : Note expert-comptable, Guide TVA marge tourisme, Plan d'audit interne, Statuts SAS, Tableau de bord opérationnel, Plan de continuité d'activité, Politique d'achats responsables, Rapport de gestion annuel.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comptable et processus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comptable et processus comptable</dc:title>
  <dc:creator>David Eventy — Eventy Life SAS</dc:creator>
  <dc:description>Plan de comptes adapté tourisme et processus comptable mensuel.</dc:description>
  <cp:lastModifiedBy>Un-named</cp:lastModifiedBy>
  <cp:revision>1</cp:revision>
  <dcterms:created xsi:type="dcterms:W3CDTF">2026-05-02T02:53:04.162Z</dcterms:created>
  <dcterms:modified xsi:type="dcterms:W3CDTF">2026-05-02T02:53:04.162Z</dcterms:modified>
</cp:coreProperties>
</file>

<file path=docProps/custom.xml><?xml version="1.0" encoding="utf-8"?>
<Properties xmlns="http://schemas.openxmlformats.org/officeDocument/2006/custom-properties" xmlns:vt="http://schemas.openxmlformats.org/officeDocument/2006/docPropsVTypes"/>
</file>