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FORMATION ACCOMPAGNATEUR EVENTY LIFE</w:t>
            </w:r>
          </w:p>
          <w:p>
            <w:pPr>
              <w:spacing w:after="0"/>
              <w:jc w:val="center"/>
            </w:pPr>
            <w:r>
              <w:rPr>
                <w:rFonts w:ascii="Calibri" w:cs="Calibri" w:eastAsia="Calibri" w:hAnsi="Calibri"/>
                <w:i/>
                <w:iCs/>
                <w:color w:val="1F4E79"/>
                <w:sz w:val="18"/>
                <w:szCs w:val="18"/>
              </w:rPr>
              <w:t xml:space="preserve">Programme initial 1 jour + formation continue 21h/an</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de formation organise la montée en compétences des accompagnateurs Eventy Life — créateurs indépendants ou accompagnateurs dédiés. Il est conforme aux engagements pris dans la Charte qualité accompagnateur (Article 3) et assure le respect des standards qualité du modèle Eventy.</w:t>
      </w:r>
    </w:p>
    <w:p>
      <w:pPr>
        <w:spacing w:after="160" w:before="240"/>
      </w:pPr>
      <w:r>
        <w:rPr>
          <w:rFonts w:ascii="Calibri" w:cs="Calibri" w:eastAsia="Calibri" w:hAnsi="Calibri"/>
          <w:b/>
          <w:bCs/>
          <w:color w:val="1F4E79"/>
          <w:sz w:val="32"/>
          <w:szCs w:val="32"/>
        </w:rPr>
        <w:t xml:space="preserve">1. Objectifs pédagogiques</w:t>
      </w:r>
    </w:p>
    <w:p>
      <w:pPr>
        <w:spacing w:after="100" w:line="280"/>
        <w:jc w:val="both"/>
      </w:pPr>
      <w:r>
        <w:rPr>
          <w:rFonts w:ascii="Calibri" w:cs="Calibri" w:eastAsia="Calibri" w:hAnsi="Calibri"/>
          <w:color w:val="1A1A1A"/>
          <w:sz w:val="20"/>
          <w:szCs w:val="20"/>
        </w:rPr>
        <w:t xml:space="preserve">À l'issue du parcours de formation, l'accompagnateur Eventy doit être capable de :</w:t>
      </w:r>
    </w:p>
    <w:p>
      <w:pPr>
        <w:pStyle w:val="ListParagraph"/>
        <w:numPr>
          <w:ilvl w:val="0"/>
          <w:numId w:val="2"/>
        </w:numPr>
        <w:spacing w:after="60" w:line="260"/>
      </w:pPr>
      <w:r>
        <w:rPr>
          <w:rFonts w:ascii="Calibri" w:cs="Calibri" w:eastAsia="Calibri" w:hAnsi="Calibri"/>
          <w:sz w:val="20"/>
          <w:szCs w:val="20"/>
        </w:rPr>
        <w:t xml:space="preserve">Connaître l'écosystème Eventy (modèle économique distribué, charte qualité, manuel d'incident).</w:t>
      </w:r>
    </w:p>
    <w:p>
      <w:pPr>
        <w:pStyle w:val="ListParagraph"/>
        <w:numPr>
          <w:ilvl w:val="0"/>
          <w:numId w:val="2"/>
        </w:numPr>
        <w:spacing w:after="60" w:line="260"/>
      </w:pPr>
      <w:r>
        <w:rPr>
          <w:rFonts w:ascii="Calibri" w:cs="Calibri" w:eastAsia="Calibri" w:hAnsi="Calibri"/>
          <w:sz w:val="20"/>
          <w:szCs w:val="20"/>
        </w:rPr>
        <w:t xml:space="preserve">Maîtriser la plateforme technique (espace pro, reporting, gestion incidents).</w:t>
      </w:r>
    </w:p>
    <w:p>
      <w:pPr>
        <w:pStyle w:val="ListParagraph"/>
        <w:numPr>
          <w:ilvl w:val="0"/>
          <w:numId w:val="2"/>
        </w:numPr>
        <w:spacing w:after="60" w:line="260"/>
      </w:pPr>
      <w:r>
        <w:rPr>
          <w:rFonts w:ascii="Calibri" w:cs="Calibri" w:eastAsia="Calibri" w:hAnsi="Calibri"/>
          <w:sz w:val="20"/>
          <w:szCs w:val="20"/>
        </w:rPr>
        <w:t xml:space="preserve">Animer un groupe de 38 voyageurs avec bienveillance et professionnalisme.</w:t>
      </w:r>
    </w:p>
    <w:p>
      <w:pPr>
        <w:pStyle w:val="ListParagraph"/>
        <w:numPr>
          <w:ilvl w:val="0"/>
          <w:numId w:val="2"/>
        </w:numPr>
        <w:spacing w:after="60" w:line="260"/>
      </w:pPr>
      <w:r>
        <w:rPr>
          <w:rFonts w:ascii="Calibri" w:cs="Calibri" w:eastAsia="Calibri" w:hAnsi="Calibri"/>
          <w:sz w:val="20"/>
          <w:szCs w:val="20"/>
        </w:rPr>
        <w:t xml:space="preserve">Identifier et qualifier un incident voyage selon les 4 niveaux de gravité.</w:t>
      </w:r>
    </w:p>
    <w:p>
      <w:pPr>
        <w:pStyle w:val="ListParagraph"/>
        <w:numPr>
          <w:ilvl w:val="0"/>
          <w:numId w:val="2"/>
        </w:numPr>
        <w:spacing w:after="60" w:line="260"/>
      </w:pPr>
      <w:r>
        <w:rPr>
          <w:rFonts w:ascii="Calibri" w:cs="Calibri" w:eastAsia="Calibri" w:hAnsi="Calibri"/>
          <w:sz w:val="20"/>
          <w:szCs w:val="20"/>
        </w:rPr>
        <w:t xml:space="preserve">Appliquer les procédures opérationnelles d'urgence (rapatriement médical, hébergement de secours, retard transport).</w:t>
      </w:r>
    </w:p>
    <w:p>
      <w:pPr>
        <w:pStyle w:val="ListParagraph"/>
        <w:numPr>
          <w:ilvl w:val="0"/>
          <w:numId w:val="2"/>
        </w:numPr>
        <w:spacing w:after="60" w:line="260"/>
      </w:pPr>
      <w:r>
        <w:rPr>
          <w:rFonts w:ascii="Calibri" w:cs="Calibri" w:eastAsia="Calibri" w:hAnsi="Calibri"/>
          <w:sz w:val="20"/>
          <w:szCs w:val="20"/>
        </w:rPr>
        <w:t xml:space="preserve">Pratiquer les gestes de premiers secours (PSC1).</w:t>
      </w:r>
    </w:p>
    <w:p>
      <w:pPr>
        <w:pStyle w:val="ListParagraph"/>
        <w:numPr>
          <w:ilvl w:val="0"/>
          <w:numId w:val="2"/>
        </w:numPr>
        <w:spacing w:after="60" w:line="260"/>
      </w:pPr>
      <w:r>
        <w:rPr>
          <w:rFonts w:ascii="Calibri" w:cs="Calibri" w:eastAsia="Calibri" w:hAnsi="Calibri"/>
          <w:sz w:val="20"/>
          <w:szCs w:val="20"/>
        </w:rPr>
        <w:t xml:space="preserve">Communiquer en crise avec sang-froid (avec les voyageurs, les partenaires HRA, les autorités).</w:t>
      </w:r>
    </w:p>
    <w:p>
      <w:pPr>
        <w:spacing w:after="160" w:before="240"/>
      </w:pPr>
      <w:r>
        <w:rPr>
          <w:rFonts w:ascii="Calibri" w:cs="Calibri" w:eastAsia="Calibri" w:hAnsi="Calibri"/>
          <w:b/>
          <w:bCs/>
          <w:color w:val="1F4E79"/>
          <w:sz w:val="32"/>
          <w:szCs w:val="32"/>
        </w:rPr>
        <w:t xml:space="preserve">2. Formation initiale — 1 journée</w:t>
      </w:r>
    </w:p>
    <w:p>
      <w:pPr>
        <w:spacing w:after="100" w:before="220"/>
      </w:pPr>
      <w:r>
        <w:rPr>
          <w:rFonts w:ascii="Calibri" w:cs="Calibri" w:eastAsia="Calibri" w:hAnsi="Calibri"/>
          <w:b/>
          <w:bCs/>
          <w:color w:val="E87722"/>
          <w:sz w:val="22"/>
          <w:szCs w:val="22"/>
        </w:rPr>
        <w:t xml:space="preserve">2.1. Programme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Horaires</w:t>
            </w:r>
          </w:p>
        </w:tc>
        <w:tc>
          <w:tcPr>
            <w:tcW w:type="dxa" w:w="4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Module</w:t>
            </w:r>
          </w:p>
        </w:tc>
        <w:tc>
          <w:tcPr>
            <w:tcW w:type="dxa" w:w="3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Animateur</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09h00-09h30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Accueil et présentation des participants</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opérations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09h30-10h30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Vision et modèle Eventy Life — manifeste « rassembleurs »</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 (visio possible)</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10h30-12h30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Charte qualité accompagnateur — chaque article décortiqué</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opérations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12h30-13h30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Déjeuner partagé · networking</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13h30-15h00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Manuel d'incident voyage — 4 niveaux et procédures</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opérations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15h00-15h15</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Pause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15h15-16h45</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technique Eventy — démonstration et exercices pratiques</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CTO délégué</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16h45-17h30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Ligne d'urgence 24/7 — script et mise en situation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support</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17h30-18h00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Questions/réponses · validation des connaissances · clôture</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opérations</w:t>
            </w:r>
          </w:p>
        </w:tc>
      </w:tr>
    </w:tbl>
    <w:p>
      <w:pPr>
        <w:spacing w:after="100" w:before="220"/>
      </w:pPr>
      <w:r>
        <w:rPr>
          <w:rFonts w:ascii="Calibri" w:cs="Calibri" w:eastAsia="Calibri" w:hAnsi="Calibri"/>
          <w:b/>
          <w:bCs/>
          <w:color w:val="E87722"/>
          <w:sz w:val="22"/>
          <w:szCs w:val="22"/>
        </w:rPr>
        <w:t xml:space="preserve">2.2. Supports remis à l'issue</w:t>
      </w:r>
    </w:p>
    <w:p>
      <w:pPr>
        <w:pStyle w:val="ListParagraph"/>
        <w:numPr>
          <w:ilvl w:val="0"/>
          <w:numId w:val="3"/>
        </w:numPr>
        <w:spacing w:after="60" w:line="260"/>
      </w:pPr>
      <w:r>
        <w:rPr>
          <w:rFonts w:ascii="Calibri" w:cs="Calibri" w:eastAsia="Calibri" w:hAnsi="Calibri"/>
          <w:sz w:val="20"/>
          <w:szCs w:val="20"/>
        </w:rPr>
        <w:t xml:space="preserve">Charte qualité accompagnateur (PDF imprimable + version numérique).</w:t>
      </w:r>
    </w:p>
    <w:p>
      <w:pPr>
        <w:pStyle w:val="ListParagraph"/>
        <w:numPr>
          <w:ilvl w:val="0"/>
          <w:numId w:val="3"/>
        </w:numPr>
        <w:spacing w:after="60" w:line="260"/>
      </w:pPr>
      <w:r>
        <w:rPr>
          <w:rFonts w:ascii="Calibri" w:cs="Calibri" w:eastAsia="Calibri" w:hAnsi="Calibri"/>
          <w:sz w:val="20"/>
          <w:szCs w:val="20"/>
        </w:rPr>
        <w:t xml:space="preserve">Manuel d'incident voyage (PDF imprimable, à conserver dans la trousse).</w:t>
      </w:r>
    </w:p>
    <w:p>
      <w:pPr>
        <w:pStyle w:val="ListParagraph"/>
        <w:numPr>
          <w:ilvl w:val="0"/>
          <w:numId w:val="3"/>
        </w:numPr>
        <w:spacing w:after="60" w:line="260"/>
      </w:pPr>
      <w:r>
        <w:rPr>
          <w:rFonts w:ascii="Calibri" w:cs="Calibri" w:eastAsia="Calibri" w:hAnsi="Calibri"/>
          <w:sz w:val="20"/>
          <w:szCs w:val="20"/>
        </w:rPr>
        <w:t xml:space="preserve">Guide de la plateforme technique (PDF + tutoriels vidéo).</w:t>
      </w:r>
    </w:p>
    <w:p>
      <w:pPr>
        <w:pStyle w:val="ListParagraph"/>
        <w:numPr>
          <w:ilvl w:val="0"/>
          <w:numId w:val="3"/>
        </w:numPr>
        <w:spacing w:after="60" w:line="260"/>
      </w:pPr>
      <w:r>
        <w:rPr>
          <w:rFonts w:ascii="Calibri" w:cs="Calibri" w:eastAsia="Calibri" w:hAnsi="Calibri"/>
          <w:sz w:val="20"/>
          <w:szCs w:val="20"/>
        </w:rPr>
        <w:t xml:space="preserve">Liste des contacts d'urgence Eventy.</w:t>
      </w:r>
    </w:p>
    <w:p>
      <w:pPr>
        <w:pStyle w:val="ListParagraph"/>
        <w:numPr>
          <w:ilvl w:val="0"/>
          <w:numId w:val="3"/>
        </w:numPr>
        <w:spacing w:after="60" w:line="260"/>
      </w:pPr>
      <w:r>
        <w:rPr>
          <w:rFonts w:ascii="Calibri" w:cs="Calibri" w:eastAsia="Calibri" w:hAnsi="Calibri"/>
          <w:sz w:val="20"/>
          <w:szCs w:val="20"/>
        </w:rPr>
        <w:t xml:space="preserve">Trousse opérationnelle de base (téléphone pro, carte bancaire d'entreprise, kit premiers secours).</w:t>
      </w:r>
    </w:p>
    <w:p>
      <w:pPr>
        <w:spacing w:after="100" w:before="220"/>
      </w:pPr>
      <w:r>
        <w:rPr>
          <w:rFonts w:ascii="Calibri" w:cs="Calibri" w:eastAsia="Calibri" w:hAnsi="Calibri"/>
          <w:b/>
          <w:bCs/>
          <w:color w:val="E87722"/>
          <w:sz w:val="22"/>
          <w:szCs w:val="22"/>
        </w:rPr>
        <w:t xml:space="preserve">2.3. Validation</w:t>
      </w:r>
    </w:p>
    <w:p>
      <w:pPr>
        <w:spacing w:after="100" w:line="280"/>
        <w:jc w:val="both"/>
      </w:pPr>
      <w:r>
        <w:rPr>
          <w:rFonts w:ascii="Calibri" w:cs="Calibri" w:eastAsia="Calibri" w:hAnsi="Calibri"/>
          <w:color w:val="1A1A1A"/>
          <w:sz w:val="20"/>
          <w:szCs w:val="20"/>
        </w:rPr>
        <w:t xml:space="preserve">La formation initiale est validée par :</w:t>
      </w:r>
    </w:p>
    <w:p>
      <w:pPr>
        <w:pStyle w:val="ListParagraph"/>
        <w:numPr>
          <w:ilvl w:val="0"/>
          <w:numId w:val="3"/>
        </w:numPr>
        <w:spacing w:after="60" w:line="260"/>
      </w:pPr>
      <w:r>
        <w:rPr>
          <w:rFonts w:ascii="Calibri" w:cs="Calibri" w:eastAsia="Calibri" w:hAnsi="Calibri"/>
          <w:sz w:val="20"/>
          <w:szCs w:val="20"/>
        </w:rPr>
        <w:t xml:space="preserve">Présence effective sur l'intégralité du programme (8 heures).</w:t>
      </w:r>
    </w:p>
    <w:p>
      <w:pPr>
        <w:pStyle w:val="ListParagraph"/>
        <w:numPr>
          <w:ilvl w:val="0"/>
          <w:numId w:val="3"/>
        </w:numPr>
        <w:spacing w:after="60" w:line="260"/>
      </w:pPr>
      <w:r>
        <w:rPr>
          <w:rFonts w:ascii="Calibri" w:cs="Calibri" w:eastAsia="Calibri" w:hAnsi="Calibri"/>
          <w:sz w:val="20"/>
          <w:szCs w:val="20"/>
        </w:rPr>
        <w:t xml:space="preserve">Réussite à un quiz de validation (20 questions sur la charte, le manuel d'incident et la plateforme).</w:t>
      </w:r>
    </w:p>
    <w:p>
      <w:pPr>
        <w:pStyle w:val="ListParagraph"/>
        <w:numPr>
          <w:ilvl w:val="0"/>
          <w:numId w:val="3"/>
        </w:numPr>
        <w:spacing w:after="60" w:line="260"/>
      </w:pPr>
      <w:r>
        <w:rPr>
          <w:rFonts w:ascii="Calibri" w:cs="Calibri" w:eastAsia="Calibri" w:hAnsi="Calibri"/>
          <w:sz w:val="20"/>
          <w:szCs w:val="20"/>
        </w:rPr>
        <w:t xml:space="preserve">Validation orale par le Responsable opérations sur les compétences observées.</w:t>
      </w:r>
    </w:p>
    <w:p>
      <w:pPr>
        <w:spacing w:after="160" w:before="240"/>
      </w:pPr>
      <w:r>
        <w:rPr>
          <w:rFonts w:ascii="Calibri" w:cs="Calibri" w:eastAsia="Calibri" w:hAnsi="Calibri"/>
          <w:b/>
          <w:bCs/>
          <w:color w:val="1F4E79"/>
          <w:sz w:val="32"/>
          <w:szCs w:val="32"/>
        </w:rPr>
        <w:t xml:space="preserve">3. Première mission en binôme (recommandée)</w:t>
      </w:r>
    </w:p>
    <w:p>
      <w:pPr>
        <w:spacing w:after="100" w:before="220"/>
      </w:pPr>
      <w:r>
        <w:rPr>
          <w:rFonts w:ascii="Calibri" w:cs="Calibri" w:eastAsia="Calibri" w:hAnsi="Calibri"/>
          <w:b/>
          <w:bCs/>
          <w:color w:val="E87722"/>
          <w:sz w:val="22"/>
          <w:szCs w:val="22"/>
        </w:rPr>
        <w:t xml:space="preserve">3.1. Principe</w:t>
      </w:r>
    </w:p>
    <w:p>
      <w:pPr>
        <w:spacing w:after="100" w:line="280"/>
        <w:jc w:val="both"/>
      </w:pPr>
      <w:r>
        <w:rPr>
          <w:rFonts w:ascii="Calibri" w:cs="Calibri" w:eastAsia="Calibri" w:hAnsi="Calibri"/>
          <w:color w:val="1A1A1A"/>
          <w:sz w:val="20"/>
          <w:szCs w:val="20"/>
        </w:rPr>
        <w:t xml:space="preserve">Dans la mesure du possible, la première mission de l'accompagnateur nouvellement formé se fait en binôme avec un accompagnateur expérimenté. Le nouveau apprend par observation et participation guidée. Cela rassure les voyageurs et accélère la montée en compétences.</w:t>
      </w:r>
    </w:p>
    <w:p>
      <w:pPr>
        <w:spacing w:after="100" w:before="220"/>
      </w:pPr>
      <w:r>
        <w:rPr>
          <w:rFonts w:ascii="Calibri" w:cs="Calibri" w:eastAsia="Calibri" w:hAnsi="Calibri"/>
          <w:b/>
          <w:bCs/>
          <w:color w:val="E87722"/>
          <w:sz w:val="22"/>
          <w:szCs w:val="22"/>
        </w:rPr>
        <w:t xml:space="preserve">3.2. Objectifs</w:t>
      </w:r>
    </w:p>
    <w:p>
      <w:pPr>
        <w:pStyle w:val="ListParagraph"/>
        <w:numPr>
          <w:ilvl w:val="0"/>
          <w:numId w:val="3"/>
        </w:numPr>
        <w:spacing w:after="60" w:line="260"/>
      </w:pPr>
      <w:r>
        <w:rPr>
          <w:rFonts w:ascii="Calibri" w:cs="Calibri" w:eastAsia="Calibri" w:hAnsi="Calibri"/>
          <w:sz w:val="20"/>
          <w:szCs w:val="20"/>
        </w:rPr>
        <w:t xml:space="preserve">Observer le comportement et les pratiques d'un accompagnateur expérimenté.</w:t>
      </w:r>
    </w:p>
    <w:p>
      <w:pPr>
        <w:pStyle w:val="ListParagraph"/>
        <w:numPr>
          <w:ilvl w:val="0"/>
          <w:numId w:val="3"/>
        </w:numPr>
        <w:spacing w:after="60" w:line="260"/>
      </w:pPr>
      <w:r>
        <w:rPr>
          <w:rFonts w:ascii="Calibri" w:cs="Calibri" w:eastAsia="Calibri" w:hAnsi="Calibri"/>
          <w:sz w:val="20"/>
          <w:szCs w:val="20"/>
        </w:rPr>
        <w:t xml:space="preserve">Prendre en charge progressivement des micro-missions (animation d'un repas, présentation d'une activité).</w:t>
      </w:r>
    </w:p>
    <w:p>
      <w:pPr>
        <w:pStyle w:val="ListParagraph"/>
        <w:numPr>
          <w:ilvl w:val="0"/>
          <w:numId w:val="3"/>
        </w:numPr>
        <w:spacing w:after="60" w:line="260"/>
      </w:pPr>
      <w:r>
        <w:rPr>
          <w:rFonts w:ascii="Calibri" w:cs="Calibri" w:eastAsia="Calibri" w:hAnsi="Calibri"/>
          <w:sz w:val="20"/>
          <w:szCs w:val="20"/>
        </w:rPr>
        <w:t xml:space="preserve">Bénéficier d'un retour d'expérience direct et personnalisé.</w:t>
      </w:r>
    </w:p>
    <w:p>
      <w:pPr>
        <w:pStyle w:val="ListParagraph"/>
        <w:numPr>
          <w:ilvl w:val="0"/>
          <w:numId w:val="3"/>
        </w:numPr>
        <w:spacing w:after="60" w:line="260"/>
      </w:pPr>
      <w:r>
        <w:rPr>
          <w:rFonts w:ascii="Calibri" w:cs="Calibri" w:eastAsia="Calibri" w:hAnsi="Calibri"/>
          <w:sz w:val="20"/>
          <w:szCs w:val="20"/>
        </w:rPr>
        <w:t xml:space="preserve">Construire un réseau professionnel au sein de l'équipe Eventy.</w:t>
      </w:r>
    </w:p>
    <w:p>
      <w:pPr>
        <w:spacing w:after="100" w:before="220"/>
      </w:pPr>
      <w:r>
        <w:rPr>
          <w:rFonts w:ascii="Calibri" w:cs="Calibri" w:eastAsia="Calibri" w:hAnsi="Calibri"/>
          <w:b/>
          <w:bCs/>
          <w:color w:val="E87722"/>
          <w:sz w:val="22"/>
          <w:szCs w:val="22"/>
        </w:rPr>
        <w:t xml:space="preserve">3.3. Évaluation post-binôme</w:t>
      </w:r>
    </w:p>
    <w:p>
      <w:pPr>
        <w:pStyle w:val="ListParagraph"/>
        <w:numPr>
          <w:ilvl w:val="0"/>
          <w:numId w:val="3"/>
        </w:numPr>
        <w:spacing w:after="60" w:line="260"/>
      </w:pPr>
      <w:r>
        <w:rPr>
          <w:rFonts w:ascii="Calibri" w:cs="Calibri" w:eastAsia="Calibri" w:hAnsi="Calibri"/>
          <w:sz w:val="20"/>
          <w:szCs w:val="20"/>
        </w:rPr>
        <w:t xml:space="preserve">Compte-rendu écrit de l'accompagnateur expérimenté sur la prise de poste du nouveau.</w:t>
      </w:r>
    </w:p>
    <w:p>
      <w:pPr>
        <w:pStyle w:val="ListParagraph"/>
        <w:numPr>
          <w:ilvl w:val="0"/>
          <w:numId w:val="3"/>
        </w:numPr>
        <w:spacing w:after="60" w:line="260"/>
      </w:pPr>
      <w:r>
        <w:rPr>
          <w:rFonts w:ascii="Calibri" w:cs="Calibri" w:eastAsia="Calibri" w:hAnsi="Calibri"/>
          <w:sz w:val="20"/>
          <w:szCs w:val="20"/>
        </w:rPr>
        <w:t xml:space="preserve">Échange de feedback bilatéral.</w:t>
      </w:r>
    </w:p>
    <w:p>
      <w:pPr>
        <w:pStyle w:val="ListParagraph"/>
        <w:numPr>
          <w:ilvl w:val="0"/>
          <w:numId w:val="3"/>
        </w:numPr>
        <w:spacing w:after="60" w:line="260"/>
      </w:pPr>
      <w:r>
        <w:rPr>
          <w:rFonts w:ascii="Calibri" w:cs="Calibri" w:eastAsia="Calibri" w:hAnsi="Calibri"/>
          <w:sz w:val="20"/>
          <w:szCs w:val="20"/>
        </w:rPr>
        <w:t xml:space="preserve">Décision finale du Responsable opérations sur l'autorisation de prise de mission solo.</w:t>
      </w:r>
    </w:p>
    <w:p>
      <w:pPr>
        <w:spacing w:after="160" w:before="240"/>
      </w:pPr>
      <w:r>
        <w:rPr>
          <w:rFonts w:ascii="Calibri" w:cs="Calibri" w:eastAsia="Calibri" w:hAnsi="Calibri"/>
          <w:b/>
          <w:bCs/>
          <w:color w:val="1F4E79"/>
          <w:sz w:val="32"/>
          <w:szCs w:val="32"/>
        </w:rPr>
        <w:t xml:space="preserve">4. Formation continue — minimum 21 heures par an</w:t>
      </w:r>
    </w:p>
    <w:p>
      <w:pPr>
        <w:spacing w:after="100" w:before="220"/>
      </w:pPr>
      <w:r>
        <w:rPr>
          <w:rFonts w:ascii="Calibri" w:cs="Calibri" w:eastAsia="Calibri" w:hAnsi="Calibri"/>
          <w:b/>
          <w:bCs/>
          <w:color w:val="E87722"/>
          <w:sz w:val="22"/>
          <w:szCs w:val="22"/>
        </w:rPr>
        <w:t xml:space="preserve">4.1. Modules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Module</w:t>
            </w:r>
          </w:p>
        </w:tc>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Durée typique</w:t>
            </w:r>
          </w:p>
        </w:tc>
        <w:tc>
          <w:tcPr>
            <w:tcW w:type="dxa" w:w="3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Format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Recyclage Manuel d'incident voyage</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heures/an</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Visio · semestriel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Recyclage PSC1 (premiers secours)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 heures/3 ans</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Présentiel · organisme agréé</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continue droit du tourisme</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heures/an</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Visio · annuel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RGPD et données personnelles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 heures/an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Visio · annuel</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animation de groupe</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heures/an</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Présentiel ou visio</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langue étrangère (perfectionnement)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Variable selon besoin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partenaire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Module nouvelle destination (par destination)</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 heures par destination</w:t>
            </w:r>
          </w:p>
        </w:tc>
        <w:tc>
          <w:tcPr>
            <w:tcW w:type="dxa" w:w="3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Visio + documentation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Retours d'expérience inter-accompagnateurs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heure trimestrielle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Visio collective</w:t>
            </w:r>
          </w:p>
        </w:tc>
      </w:tr>
    </w:tbl>
    <w:p>
      <w:pPr>
        <w:spacing w:after="100" w:before="220"/>
      </w:pPr>
      <w:r>
        <w:rPr>
          <w:rFonts w:ascii="Calibri" w:cs="Calibri" w:eastAsia="Calibri" w:hAnsi="Calibri"/>
          <w:b/>
          <w:bCs/>
          <w:color w:val="E87722"/>
          <w:sz w:val="22"/>
          <w:szCs w:val="22"/>
        </w:rPr>
        <w:t xml:space="preserve">4.2. Volume minimum annuel</w:t>
      </w:r>
    </w:p>
    <w:p>
      <w:pPr>
        <w:spacing w:after="100" w:line="280"/>
        <w:jc w:val="both"/>
      </w:pPr>
      <w:r>
        <w:rPr>
          <w:rFonts w:ascii="Calibri" w:cs="Calibri" w:eastAsia="Calibri" w:hAnsi="Calibri"/>
          <w:color w:val="1A1A1A"/>
          <w:sz w:val="20"/>
          <w:szCs w:val="20"/>
        </w:rPr>
        <w:t xml:space="preserve">L'accompagnateur s'engage à suivre un minimum de 21 heures de formation continue par an. Eventy Life prend en charge financièrement les modules officiels. Les modules suivis sont tracés dans le compte personnel de l'accompagnateur.</w:t>
      </w:r>
    </w:p>
    <w:p>
      <w:pPr>
        <w:spacing w:after="100" w:before="220"/>
      </w:pPr>
      <w:r>
        <w:rPr>
          <w:rFonts w:ascii="Calibri" w:cs="Calibri" w:eastAsia="Calibri" w:hAnsi="Calibri"/>
          <w:b/>
          <w:bCs/>
          <w:color w:val="E87722"/>
          <w:sz w:val="22"/>
          <w:szCs w:val="22"/>
        </w:rPr>
        <w:t xml:space="preserve">4.3. Intervenants</w:t>
      </w:r>
    </w:p>
    <w:p>
      <w:pPr>
        <w:pStyle w:val="ListParagraph"/>
        <w:numPr>
          <w:ilvl w:val="0"/>
          <w:numId w:val="3"/>
        </w:numPr>
        <w:spacing w:after="60" w:line="260"/>
      </w:pPr>
      <w:r>
        <w:rPr>
          <w:rFonts w:ascii="Calibri" w:cs="Calibri" w:eastAsia="Calibri" w:hAnsi="Calibri"/>
          <w:sz w:val="20"/>
          <w:szCs w:val="20"/>
        </w:rPr>
        <w:t xml:space="preserve">Responsable opérations Eventy.</w:t>
      </w:r>
    </w:p>
    <w:p>
      <w:pPr>
        <w:pStyle w:val="ListParagraph"/>
        <w:numPr>
          <w:ilvl w:val="0"/>
          <w:numId w:val="3"/>
        </w:numPr>
        <w:spacing w:after="60" w:line="260"/>
      </w:pPr>
      <w:r>
        <w:rPr>
          <w:rFonts w:ascii="Calibri" w:cs="Calibri" w:eastAsia="Calibri" w:hAnsi="Calibri"/>
          <w:sz w:val="20"/>
          <w:szCs w:val="20"/>
        </w:rPr>
        <w:t xml:space="preserve">Avocat tourisme partenaire (modules juridiques).</w:t>
      </w:r>
    </w:p>
    <w:p>
      <w:pPr>
        <w:pStyle w:val="ListParagraph"/>
        <w:numPr>
          <w:ilvl w:val="0"/>
          <w:numId w:val="3"/>
        </w:numPr>
        <w:spacing w:after="60" w:line="260"/>
      </w:pPr>
      <w:r>
        <w:rPr>
          <w:rFonts w:ascii="Calibri" w:cs="Calibri" w:eastAsia="Calibri" w:hAnsi="Calibri"/>
          <w:sz w:val="20"/>
          <w:szCs w:val="20"/>
        </w:rPr>
        <w:t xml:space="preserve">Expert-comptable spécialisé tourisme (modules fiscaux, le cas échéant).</w:t>
      </w:r>
    </w:p>
    <w:p>
      <w:pPr>
        <w:pStyle w:val="ListParagraph"/>
        <w:numPr>
          <w:ilvl w:val="0"/>
          <w:numId w:val="3"/>
        </w:numPr>
        <w:spacing w:after="60" w:line="260"/>
      </w:pPr>
      <w:r>
        <w:rPr>
          <w:rFonts w:ascii="Calibri" w:cs="Calibri" w:eastAsia="Calibri" w:hAnsi="Calibri"/>
          <w:sz w:val="20"/>
          <w:szCs w:val="20"/>
        </w:rPr>
        <w:t xml:space="preserve">Organismes de formation agréés (PSC1, langues).</w:t>
      </w:r>
    </w:p>
    <w:p>
      <w:pPr>
        <w:pStyle w:val="ListParagraph"/>
        <w:numPr>
          <w:ilvl w:val="0"/>
          <w:numId w:val="3"/>
        </w:numPr>
        <w:spacing w:after="60" w:line="260"/>
      </w:pPr>
      <w:r>
        <w:rPr>
          <w:rFonts w:ascii="Calibri" w:cs="Calibri" w:eastAsia="Calibri" w:hAnsi="Calibri"/>
          <w:sz w:val="20"/>
          <w:szCs w:val="20"/>
        </w:rPr>
        <w:t xml:space="preserve">Pairs accompagnateurs expérimentés (retours d'expérience).</w:t>
      </w:r>
    </w:p>
    <w:p>
      <w:pPr>
        <w:spacing w:after="160" w:before="240"/>
      </w:pPr>
      <w:r>
        <w:rPr>
          <w:rFonts w:ascii="Calibri" w:cs="Calibri" w:eastAsia="Calibri" w:hAnsi="Calibri"/>
          <w:b/>
          <w:bCs/>
          <w:color w:val="1F4E79"/>
          <w:sz w:val="32"/>
          <w:szCs w:val="32"/>
        </w:rPr>
        <w:t xml:space="preserve">5. Évaluation continue et évolution</w:t>
      </w:r>
    </w:p>
    <w:p>
      <w:pPr>
        <w:spacing w:after="100" w:before="220"/>
      </w:pPr>
      <w:r>
        <w:rPr>
          <w:rFonts w:ascii="Calibri" w:cs="Calibri" w:eastAsia="Calibri" w:hAnsi="Calibri"/>
          <w:b/>
          <w:bCs/>
          <w:color w:val="E87722"/>
          <w:sz w:val="22"/>
          <w:szCs w:val="22"/>
        </w:rPr>
        <w:t xml:space="preserve">5.1. Suivi annuel</w:t>
      </w:r>
    </w:p>
    <w:p>
      <w:pPr>
        <w:pStyle w:val="ListParagraph"/>
        <w:numPr>
          <w:ilvl w:val="0"/>
          <w:numId w:val="3"/>
        </w:numPr>
        <w:spacing w:after="60" w:line="260"/>
      </w:pPr>
      <w:r>
        <w:rPr>
          <w:rFonts w:ascii="Calibri" w:cs="Calibri" w:eastAsia="Calibri" w:hAnsi="Calibri"/>
          <w:sz w:val="20"/>
          <w:szCs w:val="20"/>
        </w:rPr>
        <w:t xml:space="preserve">Bilan annuel des compétences avec le Responsable opérations.</w:t>
      </w:r>
    </w:p>
    <w:p>
      <w:pPr>
        <w:pStyle w:val="ListParagraph"/>
        <w:numPr>
          <w:ilvl w:val="0"/>
          <w:numId w:val="3"/>
        </w:numPr>
        <w:spacing w:after="60" w:line="260"/>
      </w:pPr>
      <w:r>
        <w:rPr>
          <w:rFonts w:ascii="Calibri" w:cs="Calibri" w:eastAsia="Calibri" w:hAnsi="Calibri"/>
          <w:sz w:val="20"/>
          <w:szCs w:val="20"/>
        </w:rPr>
        <w:t xml:space="preserve">Revue des notes voyageurs sur l'année écoulée.</w:t>
      </w:r>
    </w:p>
    <w:p>
      <w:pPr>
        <w:pStyle w:val="ListParagraph"/>
        <w:numPr>
          <w:ilvl w:val="0"/>
          <w:numId w:val="3"/>
        </w:numPr>
        <w:spacing w:after="60" w:line="260"/>
      </w:pPr>
      <w:r>
        <w:rPr>
          <w:rFonts w:ascii="Calibri" w:cs="Calibri" w:eastAsia="Calibri" w:hAnsi="Calibri"/>
          <w:sz w:val="20"/>
          <w:szCs w:val="20"/>
        </w:rPr>
        <w:t xml:space="preserve">Plan de formation personnalisé pour l'année suivante.</w:t>
      </w:r>
    </w:p>
    <w:p>
      <w:pPr>
        <w:spacing w:after="100" w:before="220"/>
      </w:pPr>
      <w:r>
        <w:rPr>
          <w:rFonts w:ascii="Calibri" w:cs="Calibri" w:eastAsia="Calibri" w:hAnsi="Calibri"/>
          <w:b/>
          <w:bCs/>
          <w:color w:val="E87722"/>
          <w:sz w:val="22"/>
          <w:szCs w:val="22"/>
        </w:rPr>
        <w:t xml:space="preserve">5.2. Évolution professionnelle</w:t>
      </w:r>
    </w:p>
    <w:p>
      <w:pPr>
        <w:pStyle w:val="ListParagraph"/>
        <w:numPr>
          <w:ilvl w:val="0"/>
          <w:numId w:val="3"/>
        </w:numPr>
        <w:spacing w:after="60" w:line="260"/>
      </w:pPr>
      <w:r>
        <w:rPr>
          <w:rFonts w:ascii="Calibri" w:cs="Calibri" w:eastAsia="Calibri" w:hAnsi="Calibri"/>
          <w:sz w:val="20"/>
          <w:szCs w:val="20"/>
        </w:rPr>
        <w:t xml:space="preserve">Accès à des missions premium (séminaires B2B, voyages haut de gamme) pour les accompagnateurs notés ≥ 4,5/5.</w:t>
      </w:r>
    </w:p>
    <w:p>
      <w:pPr>
        <w:pStyle w:val="ListParagraph"/>
        <w:numPr>
          <w:ilvl w:val="0"/>
          <w:numId w:val="3"/>
        </w:numPr>
        <w:spacing w:after="60" w:line="260"/>
      </w:pPr>
      <w:r>
        <w:rPr>
          <w:rFonts w:ascii="Calibri" w:cs="Calibri" w:eastAsia="Calibri" w:hAnsi="Calibri"/>
          <w:sz w:val="20"/>
          <w:szCs w:val="20"/>
        </w:rPr>
        <w:t xml:space="preserve">Possibilité de devenir formateur Eventy après 2 ans d'expérience et 50 voyages.</w:t>
      </w:r>
    </w:p>
    <w:p>
      <w:pPr>
        <w:pStyle w:val="ListParagraph"/>
        <w:numPr>
          <w:ilvl w:val="0"/>
          <w:numId w:val="3"/>
        </w:numPr>
        <w:spacing w:after="60" w:line="260"/>
      </w:pPr>
      <w:r>
        <w:rPr>
          <w:rFonts w:ascii="Calibri" w:cs="Calibri" w:eastAsia="Calibri" w:hAnsi="Calibri"/>
          <w:sz w:val="20"/>
          <w:szCs w:val="20"/>
        </w:rPr>
        <w:t xml:space="preserve">Possibilité d'évoluer vers un poste interne (Responsable opérations adjoint, formateur).</w:t>
      </w:r>
    </w:p>
    <w:p>
      <w:pPr>
        <w:pStyle w:val="ListParagraph"/>
        <w:numPr>
          <w:ilvl w:val="0"/>
          <w:numId w:val="3"/>
        </w:numPr>
        <w:spacing w:after="60" w:line="260"/>
      </w:pPr>
      <w:r>
        <w:rPr>
          <w:rFonts w:ascii="Calibri" w:cs="Calibri" w:eastAsia="Calibri" w:hAnsi="Calibri"/>
          <w:sz w:val="20"/>
          <w:szCs w:val="20"/>
        </w:rPr>
        <w:t xml:space="preserve">Possibilité de cumuler avec un rôle de Créateur (conception de voyages).</w:t>
      </w:r>
    </w:p>
    <w:p>
      <w:pPr>
        <w:spacing w:after="160" w:before="240"/>
      </w:pPr>
      <w:r>
        <w:rPr>
          <w:rFonts w:ascii="Calibri" w:cs="Calibri" w:eastAsia="Calibri" w:hAnsi="Calibri"/>
          <w:b/>
          <w:bCs/>
          <w:color w:val="1F4E79"/>
          <w:sz w:val="32"/>
          <w:szCs w:val="32"/>
        </w:rPr>
        <w:t xml:space="preserve">6. Coût et financement</w:t>
      </w:r>
    </w:p>
    <w:p>
      <w:pPr>
        <w:pStyle w:val="ListParagraph"/>
        <w:numPr>
          <w:ilvl w:val="0"/>
          <w:numId w:val="3"/>
        </w:numPr>
        <w:spacing w:after="60" w:line="260"/>
      </w:pPr>
      <w:r>
        <w:rPr>
          <w:rFonts w:ascii="Calibri" w:cs="Calibri" w:eastAsia="Calibri" w:hAnsi="Calibri"/>
          <w:sz w:val="20"/>
          <w:szCs w:val="20"/>
        </w:rPr>
        <w:t xml:space="preserve">Formation initiale (1 journée) : prise en charge intégrale par Eventy Life.</w:t>
      </w:r>
    </w:p>
    <w:p>
      <w:pPr>
        <w:pStyle w:val="ListParagraph"/>
        <w:numPr>
          <w:ilvl w:val="0"/>
          <w:numId w:val="3"/>
        </w:numPr>
        <w:spacing w:after="60" w:line="260"/>
      </w:pPr>
      <w:r>
        <w:rPr>
          <w:rFonts w:ascii="Calibri" w:cs="Calibri" w:eastAsia="Calibri" w:hAnsi="Calibri"/>
          <w:sz w:val="20"/>
          <w:szCs w:val="20"/>
        </w:rPr>
        <w:t xml:space="preserve">Recyclage PSC1 triennal : prise en charge intégrale par Eventy Life.</w:t>
      </w:r>
    </w:p>
    <w:p>
      <w:pPr>
        <w:pStyle w:val="ListParagraph"/>
        <w:numPr>
          <w:ilvl w:val="0"/>
          <w:numId w:val="3"/>
        </w:numPr>
        <w:spacing w:after="60" w:line="260"/>
      </w:pPr>
      <w:r>
        <w:rPr>
          <w:rFonts w:ascii="Calibri" w:cs="Calibri" w:eastAsia="Calibri" w:hAnsi="Calibri"/>
          <w:sz w:val="20"/>
          <w:szCs w:val="20"/>
        </w:rPr>
        <w:t xml:space="preserve">Modules continus officiels Eventy (manuel d'incident, droit, RGPD) : pris en charge.</w:t>
      </w:r>
    </w:p>
    <w:p>
      <w:pPr>
        <w:pStyle w:val="ListParagraph"/>
        <w:numPr>
          <w:ilvl w:val="0"/>
          <w:numId w:val="3"/>
        </w:numPr>
        <w:spacing w:after="60" w:line="260"/>
      </w:pPr>
      <w:r>
        <w:rPr>
          <w:rFonts w:ascii="Calibri" w:cs="Calibri" w:eastAsia="Calibri" w:hAnsi="Calibri"/>
          <w:sz w:val="20"/>
          <w:szCs w:val="20"/>
        </w:rPr>
        <w:t xml:space="preserve">Modules d'évolution (langues, animation) : pris en charge à 50 % à hauteur de 500 €/an/accompagnateur.</w:t>
      </w:r>
    </w:p>
    <w:p>
      <w:pPr>
        <w:pStyle w:val="ListParagraph"/>
        <w:numPr>
          <w:ilvl w:val="0"/>
          <w:numId w:val="3"/>
        </w:numPr>
        <w:spacing w:after="60" w:line="260"/>
      </w:pPr>
      <w:r>
        <w:rPr>
          <w:rFonts w:ascii="Calibri" w:cs="Calibri" w:eastAsia="Calibri" w:hAnsi="Calibri"/>
          <w:sz w:val="20"/>
          <w:szCs w:val="20"/>
        </w:rPr>
        <w:t xml:space="preserve">Modules personnels supplémentaires : à la charge de l'accompagnateur (auto-entrepreneur).</w:t>
      </w:r>
    </w:p>
    <w:p>
      <w:pPr>
        <w:pStyle w:val="ListParagraph"/>
        <w:numPr>
          <w:ilvl w:val="0"/>
          <w:numId w:val="3"/>
        </w:numPr>
        <w:spacing w:after="60" w:line="260"/>
      </w:pPr>
      <w:r>
        <w:rPr>
          <w:rFonts w:ascii="Calibri" w:cs="Calibri" w:eastAsia="Calibri" w:hAnsi="Calibri"/>
          <w:sz w:val="20"/>
          <w:szCs w:val="20"/>
        </w:rPr>
        <w:t xml:space="preserve">Possibilité de mobiliser le CPF (Compte Personnel de Formation) pour les modules certifiants.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opérationnel — Version 1.0 — 30 avril 2026. Mise à jour annuelle.</w:t>
      </w:r>
    </w:p>
    <w:p>
      <w:pPr>
        <w:spacing w:after="100" w:line="280"/>
        <w:jc w:val="both"/>
      </w:pPr>
      <w:r>
        <w:rPr>
          <w:rFonts w:ascii="Calibri" w:cs="Calibri" w:eastAsia="Calibri" w:hAnsi="Calibri"/>
          <w:i/>
          <w:iCs/>
          <w:color w:val="555555"/>
          <w:sz w:val="18"/>
          <w:szCs w:val="18"/>
        </w:rPr>
        <w:t xml:space="preserve">Document de référence : Charte qualité accompagnateur · Manuel d'incident voyage · Annexe Q du dossier APST.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formation accompagnateur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formation accompagnateur</dc:title>
  <dc:creator>David Eventy — Eventy Life SAS</dc:creator>
  <dc:description>Programme de formation initiale et continue pour les accompagnateurs Eventy.</dc:description>
  <cp:lastModifiedBy>Un-named</cp:lastModifiedBy>
  <cp:revision>1</cp:revision>
  <dcterms:created xsi:type="dcterms:W3CDTF">2026-04-30T08:53:54.983Z</dcterms:created>
  <dcterms:modified xsi:type="dcterms:W3CDTF">2026-04-30T08:53:54.983Z</dcterms:modified>
</cp:coreProperties>
</file>

<file path=docProps/custom.xml><?xml version="1.0" encoding="utf-8"?>
<Properties xmlns="http://schemas.openxmlformats.org/officeDocument/2006/custom-properties" xmlns:vt="http://schemas.openxmlformats.org/officeDocument/2006/docPropsVTypes"/>
</file>