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CHARTE D'ENGAGEMENT CARBONE EVENTY LIFE</w:t>
            </w:r>
          </w:p>
          <w:p>
            <w:pPr>
              <w:spacing w:after="0"/>
              <w:jc w:val="center"/>
            </w:pPr>
            <w:r>
              <w:rPr>
                <w:rFonts w:ascii="Calibri" w:cs="Calibri" w:eastAsia="Calibri" w:hAnsi="Calibri"/>
                <w:i/>
                <w:iCs/>
                <w:color w:val="1F4E79"/>
                <w:sz w:val="18"/>
                <w:szCs w:val="18"/>
              </w:rPr>
              <w:t xml:space="preserve">Mesurer, réduire, contribuer — feuille de route bas-carbone du voyage de groupe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charte formalise l'engagement carbone d'EVENTY LIFE SAS sur l'ensemble de son activité d'opérateur de voyages de groupe. Elle complète la Politique RSE Eventy (pilier environnemental) en précisant la méthodologie de mesure, la trajectoire de réduction et les modalités de contribution carbone.</w:t>
      </w:r>
    </w:p>
    <w:p>
      <w:pPr>
        <w:spacing w:after="100" w:line="280"/>
        <w:jc w:val="both"/>
      </w:pPr>
      <w:r>
        <w:rPr>
          <w:rFonts w:ascii="Calibri" w:cs="Calibri" w:eastAsia="Calibri" w:hAnsi="Calibri"/>
          <w:i/>
          <w:iCs/>
          <w:color w:val="1A1A1A"/>
          <w:sz w:val="20"/>
          <w:szCs w:val="20"/>
        </w:rPr>
        <w:t xml:space="preserve">Eventy reconnaît que l'industrie touristique contribue significativement aux émissions de gaz à effet de serre (estimation GIEC : 8-11 % des émissions mondiales en cycle de vie). Plutôt que d'éluder ce sujet, Eventy choisit de le regarder en face, de mesurer, de réduire ce qui peut l'être structurellement, et de contribuer pour le résiduel.</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Accord de Paris (2015) — limitation du réchauffement à 1,5 °C.</w:t>
      </w:r>
    </w:p>
    <w:p>
      <w:pPr>
        <w:pStyle w:val="ListParagraph"/>
        <w:numPr>
          <w:ilvl w:val="0"/>
          <w:numId w:val="2"/>
        </w:numPr>
        <w:spacing w:after="60" w:line="260"/>
      </w:pPr>
      <w:r>
        <w:rPr>
          <w:rFonts w:ascii="Calibri" w:cs="Calibri" w:eastAsia="Calibri" w:hAnsi="Calibri"/>
          <w:sz w:val="20"/>
          <w:szCs w:val="20"/>
        </w:rPr>
        <w:t xml:space="preserve">Stratégie Nationale Bas-Carbone (SNBC) française.</w:t>
      </w:r>
    </w:p>
    <w:p>
      <w:pPr>
        <w:pStyle w:val="ListParagraph"/>
        <w:numPr>
          <w:ilvl w:val="0"/>
          <w:numId w:val="2"/>
        </w:numPr>
        <w:spacing w:after="60" w:line="260"/>
      </w:pPr>
      <w:r>
        <w:rPr>
          <w:rFonts w:ascii="Calibri" w:cs="Calibri" w:eastAsia="Calibri" w:hAnsi="Calibri"/>
          <w:sz w:val="20"/>
          <w:szCs w:val="20"/>
        </w:rPr>
        <w:t xml:space="preserve">Loi Climat et Résilience (22 août 2021).</w:t>
      </w:r>
    </w:p>
    <w:p>
      <w:pPr>
        <w:pStyle w:val="ListParagraph"/>
        <w:numPr>
          <w:ilvl w:val="0"/>
          <w:numId w:val="2"/>
        </w:numPr>
        <w:spacing w:after="60" w:line="260"/>
      </w:pPr>
      <w:r>
        <w:rPr>
          <w:rFonts w:ascii="Calibri" w:cs="Calibri" w:eastAsia="Calibri" w:hAnsi="Calibri"/>
          <w:sz w:val="20"/>
          <w:szCs w:val="20"/>
        </w:rPr>
        <w:t xml:space="preserve">Méthodologie ADEME Bilan Carbone — cadre référent.</w:t>
      </w:r>
    </w:p>
    <w:p>
      <w:pPr>
        <w:pStyle w:val="ListParagraph"/>
        <w:numPr>
          <w:ilvl w:val="0"/>
          <w:numId w:val="2"/>
        </w:numPr>
        <w:spacing w:after="60" w:line="260"/>
      </w:pPr>
      <w:r>
        <w:rPr>
          <w:rFonts w:ascii="Calibri" w:cs="Calibri" w:eastAsia="Calibri" w:hAnsi="Calibri"/>
          <w:sz w:val="20"/>
          <w:szCs w:val="20"/>
        </w:rPr>
        <w:t xml:space="preserve">Norme ISO 14064 — quantification des gaz à effet de serre.</w:t>
      </w:r>
    </w:p>
    <w:p>
      <w:pPr>
        <w:pStyle w:val="ListParagraph"/>
        <w:numPr>
          <w:ilvl w:val="0"/>
          <w:numId w:val="2"/>
        </w:numPr>
        <w:spacing w:after="60" w:line="260"/>
      </w:pPr>
      <w:r>
        <w:rPr>
          <w:rFonts w:ascii="Calibri" w:cs="Calibri" w:eastAsia="Calibri" w:hAnsi="Calibri"/>
          <w:sz w:val="20"/>
          <w:szCs w:val="20"/>
        </w:rPr>
        <w:t xml:space="preserve">GHG Protocol — Scope 1 / 2 / 3.</w:t>
      </w:r>
    </w:p>
    <w:p>
      <w:pPr>
        <w:pStyle w:val="ListParagraph"/>
        <w:numPr>
          <w:ilvl w:val="0"/>
          <w:numId w:val="2"/>
        </w:numPr>
        <w:spacing w:after="60" w:line="260"/>
      </w:pPr>
      <w:r>
        <w:rPr>
          <w:rFonts w:ascii="Calibri" w:cs="Calibri" w:eastAsia="Calibri" w:hAnsi="Calibri"/>
          <w:sz w:val="20"/>
          <w:szCs w:val="20"/>
        </w:rPr>
        <w:t xml:space="preserve">Référentiels secteur tourisme : ATR (Acteurs du Tourisme Durable), MyClimate, Greenly.</w:t>
      </w:r>
    </w:p>
    <w:p>
      <w:pPr>
        <w:spacing w:after="160" w:before="240"/>
      </w:pPr>
      <w:r>
        <w:rPr>
          <w:rFonts w:ascii="Calibri" w:cs="Calibri" w:eastAsia="Calibri" w:hAnsi="Calibri"/>
          <w:b/>
          <w:bCs/>
          <w:color w:val="1F4E79"/>
          <w:sz w:val="32"/>
          <w:szCs w:val="32"/>
        </w:rPr>
        <w:t xml:space="preserve">2. Périmètre du Bilan Carbone Eventy</w:t>
      </w:r>
    </w:p>
    <w:p>
      <w:pPr>
        <w:spacing w:after="100" w:before="220"/>
      </w:pPr>
      <w:r>
        <w:rPr>
          <w:rFonts w:ascii="Calibri" w:cs="Calibri" w:eastAsia="Calibri" w:hAnsi="Calibri"/>
          <w:b/>
          <w:bCs/>
          <w:color w:val="E87722"/>
          <w:sz w:val="22"/>
          <w:szCs w:val="22"/>
        </w:rPr>
        <w:t xml:space="preserve">2.1. Scope 1 — émissions directes</w:t>
      </w:r>
    </w:p>
    <w:p>
      <w:pPr>
        <w:pStyle w:val="ListParagraph"/>
        <w:numPr>
          <w:ilvl w:val="0"/>
          <w:numId w:val="2"/>
        </w:numPr>
        <w:spacing w:after="60" w:line="260"/>
      </w:pPr>
      <w:r>
        <w:rPr>
          <w:rFonts w:ascii="Calibri" w:cs="Calibri" w:eastAsia="Calibri" w:hAnsi="Calibri"/>
          <w:sz w:val="20"/>
          <w:szCs w:val="20"/>
        </w:rPr>
        <w:t xml:space="preserve">Aucune émission directe significative — Eventy n'opère pas de flotte propre, ne possède pas de chaudière fioul/gaz.</w:t>
      </w:r>
    </w:p>
    <w:p>
      <w:pPr>
        <w:pStyle w:val="ListParagraph"/>
        <w:numPr>
          <w:ilvl w:val="0"/>
          <w:numId w:val="2"/>
        </w:numPr>
        <w:spacing w:after="60" w:line="260"/>
      </w:pPr>
      <w:r>
        <w:rPr>
          <w:rFonts w:ascii="Calibri" w:cs="Calibri" w:eastAsia="Calibri" w:hAnsi="Calibri"/>
          <w:sz w:val="20"/>
          <w:szCs w:val="20"/>
        </w:rPr>
        <w:t xml:space="preserve">Estimation indicative : &lt; 1 % des émissions totales.</w:t>
      </w:r>
    </w:p>
    <w:p>
      <w:pPr>
        <w:spacing w:after="100" w:before="220"/>
      </w:pPr>
      <w:r>
        <w:rPr>
          <w:rFonts w:ascii="Calibri" w:cs="Calibri" w:eastAsia="Calibri" w:hAnsi="Calibri"/>
          <w:b/>
          <w:bCs/>
          <w:color w:val="E87722"/>
          <w:sz w:val="22"/>
          <w:szCs w:val="22"/>
        </w:rPr>
        <w:t xml:space="preserve">2.2. Scope 2 — émissions indirectes énergétiques</w:t>
      </w:r>
    </w:p>
    <w:p>
      <w:pPr>
        <w:pStyle w:val="ListParagraph"/>
        <w:numPr>
          <w:ilvl w:val="0"/>
          <w:numId w:val="2"/>
        </w:numPr>
        <w:spacing w:after="60" w:line="260"/>
      </w:pPr>
      <w:r>
        <w:rPr>
          <w:rFonts w:ascii="Calibri" w:cs="Calibri" w:eastAsia="Calibri" w:hAnsi="Calibri"/>
          <w:sz w:val="20"/>
          <w:szCs w:val="20"/>
        </w:rPr>
        <w:t xml:space="preserve">Électricité des bureaux (consommation maîtrisée — peu de bureaux, télétravail).</w:t>
      </w:r>
    </w:p>
    <w:p>
      <w:pPr>
        <w:pStyle w:val="ListParagraph"/>
        <w:numPr>
          <w:ilvl w:val="0"/>
          <w:numId w:val="2"/>
        </w:numPr>
        <w:spacing w:after="60" w:line="260"/>
      </w:pPr>
      <w:r>
        <w:rPr>
          <w:rFonts w:ascii="Calibri" w:cs="Calibri" w:eastAsia="Calibri" w:hAnsi="Calibri"/>
          <w:sz w:val="20"/>
          <w:szCs w:val="20"/>
        </w:rPr>
        <w:t xml:space="preserve">Cible : approvisionnement 100 % énergie renouvelable d'ici An 2 (EDF Vert ou équivalent).</w:t>
      </w:r>
    </w:p>
    <w:p>
      <w:pPr>
        <w:pStyle w:val="ListParagraph"/>
        <w:numPr>
          <w:ilvl w:val="0"/>
          <w:numId w:val="2"/>
        </w:numPr>
        <w:spacing w:after="60" w:line="260"/>
      </w:pPr>
      <w:r>
        <w:rPr>
          <w:rFonts w:ascii="Calibri" w:cs="Calibri" w:eastAsia="Calibri" w:hAnsi="Calibri"/>
          <w:sz w:val="20"/>
          <w:szCs w:val="20"/>
        </w:rPr>
        <w:t xml:space="preserve">Estimation indicative : &lt; 2 % des émissions totales.</w:t>
      </w:r>
    </w:p>
    <w:p>
      <w:pPr>
        <w:spacing w:after="100" w:before="220"/>
      </w:pPr>
      <w:r>
        <w:rPr>
          <w:rFonts w:ascii="Calibri" w:cs="Calibri" w:eastAsia="Calibri" w:hAnsi="Calibri"/>
          <w:b/>
          <w:bCs/>
          <w:color w:val="E87722"/>
          <w:sz w:val="22"/>
          <w:szCs w:val="22"/>
        </w:rPr>
        <w:t xml:space="preserve">2.3. Scope 3 — émissions indirectes de la chaîne de valeur</w:t>
      </w:r>
    </w:p>
    <w:p>
      <w:pPr>
        <w:spacing w:after="100" w:line="280"/>
        <w:jc w:val="both"/>
      </w:pPr>
      <w:r>
        <w:rPr>
          <w:rFonts w:ascii="Calibri" w:cs="Calibri" w:eastAsia="Calibri" w:hAnsi="Calibri"/>
          <w:color w:val="1A1A1A"/>
          <w:sz w:val="20"/>
          <w:szCs w:val="20"/>
        </w:rPr>
        <w:t xml:space="preserve">La majorité (&gt; 95 %) des émissions Eventy provient du Scope 3, principalement :</w:t>
      </w:r>
    </w:p>
    <w:p>
      <w:pPr>
        <w:pStyle w:val="ListParagraph"/>
        <w:numPr>
          <w:ilvl w:val="0"/>
          <w:numId w:val="2"/>
        </w:numPr>
        <w:spacing w:after="60" w:line="260"/>
      </w:pPr>
      <w:r>
        <w:rPr>
          <w:rFonts w:ascii="Calibri" w:cs="Calibri" w:eastAsia="Calibri" w:hAnsi="Calibri"/>
          <w:sz w:val="20"/>
          <w:szCs w:val="20"/>
        </w:rPr>
        <w:t xml:space="preserve">Transport des voyageurs (autocar, avion, train) — poste majeur.</w:t>
      </w:r>
    </w:p>
    <w:p>
      <w:pPr>
        <w:pStyle w:val="ListParagraph"/>
        <w:numPr>
          <w:ilvl w:val="0"/>
          <w:numId w:val="2"/>
        </w:numPr>
        <w:spacing w:after="60" w:line="260"/>
      </w:pPr>
      <w:r>
        <w:rPr>
          <w:rFonts w:ascii="Calibri" w:cs="Calibri" w:eastAsia="Calibri" w:hAnsi="Calibri"/>
          <w:sz w:val="20"/>
          <w:szCs w:val="20"/>
        </w:rPr>
        <w:t xml:space="preserve">Hébergement (énergie des hôtels).</w:t>
      </w:r>
    </w:p>
    <w:p>
      <w:pPr>
        <w:pStyle w:val="ListParagraph"/>
        <w:numPr>
          <w:ilvl w:val="0"/>
          <w:numId w:val="2"/>
        </w:numPr>
        <w:spacing w:after="60" w:line="260"/>
      </w:pPr>
      <w:r>
        <w:rPr>
          <w:rFonts w:ascii="Calibri" w:cs="Calibri" w:eastAsia="Calibri" w:hAnsi="Calibri"/>
          <w:sz w:val="20"/>
          <w:szCs w:val="20"/>
        </w:rPr>
        <w:t xml:space="preserve">Restauration (cycle alimentaire des repas servis).</w:t>
      </w:r>
    </w:p>
    <w:p>
      <w:pPr>
        <w:pStyle w:val="ListParagraph"/>
        <w:numPr>
          <w:ilvl w:val="0"/>
          <w:numId w:val="2"/>
        </w:numPr>
        <w:spacing w:after="60" w:line="260"/>
      </w:pPr>
      <w:r>
        <w:rPr>
          <w:rFonts w:ascii="Calibri" w:cs="Calibri" w:eastAsia="Calibri" w:hAnsi="Calibri"/>
          <w:sz w:val="20"/>
          <w:szCs w:val="20"/>
        </w:rPr>
        <w:t xml:space="preserve">Activités (transport sur place, énergie des sites).</w:t>
      </w:r>
    </w:p>
    <w:p>
      <w:pPr>
        <w:pStyle w:val="ListParagraph"/>
        <w:numPr>
          <w:ilvl w:val="0"/>
          <w:numId w:val="2"/>
        </w:numPr>
        <w:spacing w:after="60" w:line="260"/>
      </w:pPr>
      <w:r>
        <w:rPr>
          <w:rFonts w:ascii="Calibri" w:cs="Calibri" w:eastAsia="Calibri" w:hAnsi="Calibri"/>
          <w:sz w:val="20"/>
          <w:szCs w:val="20"/>
        </w:rPr>
        <w:t xml:space="preserve">Dans une moindre mesure : déplacements équipe, hébergement plateforme numérique, consommables siège.</w:t>
      </w:r>
    </w:p>
    <w:p>
      <w:pPr>
        <w:spacing w:after="160" w:before="240"/>
      </w:pPr>
      <w:r>
        <w:rPr>
          <w:rFonts w:ascii="Calibri" w:cs="Calibri" w:eastAsia="Calibri" w:hAnsi="Calibri"/>
          <w:b/>
          <w:bCs/>
          <w:color w:val="1F4E79"/>
          <w:sz w:val="32"/>
          <w:szCs w:val="32"/>
        </w:rPr>
        <w:t xml:space="preserve">3. Méthodologie de mesure</w:t>
      </w:r>
    </w:p>
    <w:p>
      <w:pPr>
        <w:spacing w:after="100" w:before="220"/>
      </w:pPr>
      <w:r>
        <w:rPr>
          <w:rFonts w:ascii="Calibri" w:cs="Calibri" w:eastAsia="Calibri" w:hAnsi="Calibri"/>
          <w:b/>
          <w:bCs/>
          <w:color w:val="E87722"/>
          <w:sz w:val="22"/>
          <w:szCs w:val="22"/>
        </w:rPr>
        <w:t xml:space="preserve">3.1. Mesure par voyage</w:t>
      </w:r>
    </w:p>
    <w:p>
      <w:pPr>
        <w:pStyle w:val="ListParagraph"/>
        <w:numPr>
          <w:ilvl w:val="0"/>
          <w:numId w:val="2"/>
        </w:numPr>
        <w:spacing w:after="60" w:line="260"/>
      </w:pPr>
      <w:r>
        <w:rPr>
          <w:rFonts w:ascii="Calibri" w:cs="Calibri" w:eastAsia="Calibri" w:hAnsi="Calibri"/>
          <w:sz w:val="20"/>
          <w:szCs w:val="20"/>
        </w:rPr>
        <w:t xml:space="preserve">Calcul automatisé pour chaque voyage opéré, dès An 1.</w:t>
      </w:r>
    </w:p>
    <w:p>
      <w:pPr>
        <w:pStyle w:val="ListParagraph"/>
        <w:numPr>
          <w:ilvl w:val="0"/>
          <w:numId w:val="2"/>
        </w:numPr>
        <w:spacing w:after="60" w:line="260"/>
      </w:pPr>
      <w:r>
        <w:rPr>
          <w:rFonts w:ascii="Calibri" w:cs="Calibri" w:eastAsia="Calibri" w:hAnsi="Calibri"/>
          <w:sz w:val="20"/>
          <w:szCs w:val="20"/>
        </w:rPr>
        <w:t xml:space="preserve">Données collectées : km parcourus, mode de transport, type d'hébergement (étoiles, classification énergétique), nombre de repas, nature des repas, activités.</w:t>
      </w:r>
    </w:p>
    <w:p>
      <w:pPr>
        <w:pStyle w:val="ListParagraph"/>
        <w:numPr>
          <w:ilvl w:val="0"/>
          <w:numId w:val="2"/>
        </w:numPr>
        <w:spacing w:after="60" w:line="260"/>
      </w:pPr>
      <w:r>
        <w:rPr>
          <w:rFonts w:ascii="Calibri" w:cs="Calibri" w:eastAsia="Calibri" w:hAnsi="Calibri"/>
          <w:sz w:val="20"/>
          <w:szCs w:val="20"/>
        </w:rPr>
        <w:t xml:space="preserve">Facteurs d'émission ADEME (mis à jour annuellement).</w:t>
      </w:r>
    </w:p>
    <w:p>
      <w:pPr>
        <w:pStyle w:val="ListParagraph"/>
        <w:numPr>
          <w:ilvl w:val="0"/>
          <w:numId w:val="2"/>
        </w:numPr>
        <w:spacing w:after="60" w:line="260"/>
      </w:pPr>
      <w:r>
        <w:rPr>
          <w:rFonts w:ascii="Calibri" w:cs="Calibri" w:eastAsia="Calibri" w:hAnsi="Calibri"/>
          <w:sz w:val="20"/>
          <w:szCs w:val="20"/>
        </w:rPr>
        <w:t xml:space="preserve">Restitution sur la fiche voyage : émissions estimées par voyageur.</w:t>
      </w:r>
    </w:p>
    <w:p>
      <w:pPr>
        <w:spacing w:after="100" w:before="220"/>
      </w:pPr>
      <w:r>
        <w:rPr>
          <w:rFonts w:ascii="Calibri" w:cs="Calibri" w:eastAsia="Calibri" w:hAnsi="Calibri"/>
          <w:b/>
          <w:bCs/>
          <w:color w:val="E87722"/>
          <w:sz w:val="22"/>
          <w:szCs w:val="22"/>
        </w:rPr>
        <w:t xml:space="preserve">3.2. Bilan annuel consolidé</w:t>
      </w:r>
    </w:p>
    <w:p>
      <w:pPr>
        <w:pStyle w:val="ListParagraph"/>
        <w:numPr>
          <w:ilvl w:val="0"/>
          <w:numId w:val="2"/>
        </w:numPr>
        <w:spacing w:after="60" w:line="260"/>
      </w:pPr>
      <w:r>
        <w:rPr>
          <w:rFonts w:ascii="Calibri" w:cs="Calibri" w:eastAsia="Calibri" w:hAnsi="Calibri"/>
          <w:sz w:val="20"/>
          <w:szCs w:val="20"/>
        </w:rPr>
        <w:t xml:space="preserve">Bilan Carbone complet réalisé chaque année (avec accompagnement cabinet partenaire dès An 2).</w:t>
      </w:r>
    </w:p>
    <w:p>
      <w:pPr>
        <w:pStyle w:val="ListParagraph"/>
        <w:numPr>
          <w:ilvl w:val="0"/>
          <w:numId w:val="2"/>
        </w:numPr>
        <w:spacing w:after="60" w:line="260"/>
      </w:pPr>
      <w:r>
        <w:rPr>
          <w:rFonts w:ascii="Calibri" w:cs="Calibri" w:eastAsia="Calibri" w:hAnsi="Calibri"/>
          <w:sz w:val="20"/>
          <w:szCs w:val="20"/>
        </w:rPr>
        <w:t xml:space="preserve">Publication transparente sur eventylife.fr/rse.</w:t>
      </w:r>
    </w:p>
    <w:p>
      <w:pPr>
        <w:pStyle w:val="ListParagraph"/>
        <w:numPr>
          <w:ilvl w:val="0"/>
          <w:numId w:val="2"/>
        </w:numPr>
        <w:spacing w:after="60" w:line="260"/>
      </w:pPr>
      <w:r>
        <w:rPr>
          <w:rFonts w:ascii="Calibri" w:cs="Calibri" w:eastAsia="Calibri" w:hAnsi="Calibri"/>
          <w:sz w:val="20"/>
          <w:szCs w:val="20"/>
        </w:rPr>
        <w:t xml:space="preserve">Reporting investisseurs et APST.</w:t>
      </w:r>
    </w:p>
    <w:p>
      <w:pPr>
        <w:spacing w:after="160" w:before="240"/>
      </w:pPr>
      <w:r>
        <w:rPr>
          <w:rFonts w:ascii="Calibri" w:cs="Calibri" w:eastAsia="Calibri" w:hAnsi="Calibri"/>
          <w:b/>
          <w:bCs/>
          <w:color w:val="1F4E79"/>
          <w:sz w:val="32"/>
          <w:szCs w:val="32"/>
        </w:rPr>
        <w:t xml:space="preserve">4. Trajectoire de réduction (engagements chiffrés)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1 (réf.)</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3</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An 5</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Émissions / voyageur (kg CO2eq)</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[Réf.]</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−15 %</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−30 %</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 transport bas-carbone (autocar, train)</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Part vols dans transport voyageurs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15 %</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8 %</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3 %</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HRA partenaires audit énergétique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60 %</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Repas avec produits locaux/saison</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60 %</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80 %</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Plateforme numérique 100 % énergie renouvelable</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Oui</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Bureaux énergie renouvelable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Cible An 2</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5. Plan d'action — réduire ce qui peut l'être</w:t>
      </w:r>
    </w:p>
    <w:p>
      <w:pPr>
        <w:spacing w:after="100" w:before="220"/>
      </w:pPr>
      <w:r>
        <w:rPr>
          <w:rFonts w:ascii="Calibri" w:cs="Calibri" w:eastAsia="Calibri" w:hAnsi="Calibri"/>
          <w:b/>
          <w:bCs/>
          <w:color w:val="E87722"/>
          <w:sz w:val="22"/>
          <w:szCs w:val="22"/>
        </w:rPr>
        <w:t xml:space="preserve">5.1. Transport voyageurs (poste prioritaire)</w:t>
      </w:r>
    </w:p>
    <w:p>
      <w:pPr>
        <w:pStyle w:val="ListParagraph"/>
        <w:numPr>
          <w:ilvl w:val="0"/>
          <w:numId w:val="2"/>
        </w:numPr>
        <w:spacing w:after="60" w:line="260"/>
      </w:pPr>
      <w:r>
        <w:rPr>
          <w:rFonts w:ascii="Calibri" w:cs="Calibri" w:eastAsia="Calibri" w:hAnsi="Calibri"/>
          <w:sz w:val="20"/>
          <w:szCs w:val="20"/>
        </w:rPr>
        <w:t xml:space="preserve">Privilégier l'autocar pour les destinations &lt; 1 500 km (4× moins émetteur que l'avion par voyageur).</w:t>
      </w:r>
    </w:p>
    <w:p>
      <w:pPr>
        <w:pStyle w:val="ListParagraph"/>
        <w:numPr>
          <w:ilvl w:val="0"/>
          <w:numId w:val="2"/>
        </w:numPr>
        <w:spacing w:after="60" w:line="260"/>
      </w:pPr>
      <w:r>
        <w:rPr>
          <w:rFonts w:ascii="Calibri" w:cs="Calibri" w:eastAsia="Calibri" w:hAnsi="Calibri"/>
          <w:sz w:val="20"/>
          <w:szCs w:val="20"/>
        </w:rPr>
        <w:t xml:space="preserve">Promouvoir le train pour destinations européennes desservies (4× moins émetteur que l'avion).</w:t>
      </w:r>
    </w:p>
    <w:p>
      <w:pPr>
        <w:pStyle w:val="ListParagraph"/>
        <w:numPr>
          <w:ilvl w:val="0"/>
          <w:numId w:val="2"/>
        </w:numPr>
        <w:spacing w:after="60" w:line="260"/>
      </w:pPr>
      <w:r>
        <w:rPr>
          <w:rFonts w:ascii="Calibri" w:cs="Calibri" w:eastAsia="Calibri" w:hAnsi="Calibri"/>
          <w:sz w:val="20"/>
          <w:szCs w:val="20"/>
        </w:rPr>
        <w:t xml:space="preserve">Refuser les vols court-courriers &lt; 4 h sur destinations accessibles autrement.</w:t>
      </w:r>
    </w:p>
    <w:p>
      <w:pPr>
        <w:pStyle w:val="ListParagraph"/>
        <w:numPr>
          <w:ilvl w:val="0"/>
          <w:numId w:val="2"/>
        </w:numPr>
        <w:spacing w:after="60" w:line="260"/>
      </w:pPr>
      <w:r>
        <w:rPr>
          <w:rFonts w:ascii="Calibri" w:cs="Calibri" w:eastAsia="Calibri" w:hAnsi="Calibri"/>
          <w:sz w:val="20"/>
          <w:szCs w:val="20"/>
        </w:rPr>
        <w:t xml:space="preserve">Pour vols nécessaires : favoriser compagnies fuel-efficient, vols directs.</w:t>
      </w:r>
    </w:p>
    <w:p>
      <w:pPr>
        <w:pStyle w:val="ListParagraph"/>
        <w:numPr>
          <w:ilvl w:val="0"/>
          <w:numId w:val="2"/>
        </w:numPr>
        <w:spacing w:after="60" w:line="260"/>
      </w:pPr>
      <w:r>
        <w:rPr>
          <w:rFonts w:ascii="Calibri" w:cs="Calibri" w:eastAsia="Calibri" w:hAnsi="Calibri"/>
          <w:sz w:val="20"/>
          <w:szCs w:val="20"/>
        </w:rPr>
        <w:t xml:space="preserve">Optimiser le taux de remplissage des autocars (≥ 85 % cible An 2).</w:t>
      </w:r>
    </w:p>
    <w:p>
      <w:pPr>
        <w:pStyle w:val="ListParagraph"/>
        <w:numPr>
          <w:ilvl w:val="0"/>
          <w:numId w:val="2"/>
        </w:numPr>
        <w:spacing w:after="60" w:line="260"/>
      </w:pPr>
      <w:r>
        <w:rPr>
          <w:rFonts w:ascii="Calibri" w:cs="Calibri" w:eastAsia="Calibri" w:hAnsi="Calibri"/>
          <w:sz w:val="20"/>
          <w:szCs w:val="20"/>
        </w:rPr>
        <w:t xml:space="preserve">Étudier le passage à l'autocar électrique / au biocarburant à partir d'An 3.</w:t>
      </w:r>
    </w:p>
    <w:p>
      <w:pPr>
        <w:spacing w:after="100" w:before="220"/>
      </w:pPr>
      <w:r>
        <w:rPr>
          <w:rFonts w:ascii="Calibri" w:cs="Calibri" w:eastAsia="Calibri" w:hAnsi="Calibri"/>
          <w:b/>
          <w:bCs/>
          <w:color w:val="E87722"/>
          <w:sz w:val="22"/>
          <w:szCs w:val="22"/>
        </w:rPr>
        <w:t xml:space="preserve">5.2. Hébergement</w:t>
      </w:r>
    </w:p>
    <w:p>
      <w:pPr>
        <w:pStyle w:val="ListParagraph"/>
        <w:numPr>
          <w:ilvl w:val="0"/>
          <w:numId w:val="2"/>
        </w:numPr>
        <w:spacing w:after="60" w:line="260"/>
      </w:pPr>
      <w:r>
        <w:rPr>
          <w:rFonts w:ascii="Calibri" w:cs="Calibri" w:eastAsia="Calibri" w:hAnsi="Calibri"/>
          <w:sz w:val="20"/>
          <w:szCs w:val="20"/>
        </w:rPr>
        <w:t xml:space="preserve">Privilégier les HRA disposant d'un classement énergétique (Clef Verte, Écolabel européen, Green Globe).</w:t>
      </w:r>
    </w:p>
    <w:p>
      <w:pPr>
        <w:pStyle w:val="ListParagraph"/>
        <w:numPr>
          <w:ilvl w:val="0"/>
          <w:numId w:val="2"/>
        </w:numPr>
        <w:spacing w:after="60" w:line="260"/>
      </w:pPr>
      <w:r>
        <w:rPr>
          <w:rFonts w:ascii="Calibri" w:cs="Calibri" w:eastAsia="Calibri" w:hAnsi="Calibri"/>
          <w:sz w:val="20"/>
          <w:szCs w:val="20"/>
        </w:rPr>
        <w:t xml:space="preserve">Inscrire des critères environnementaux dans la procédure d'audit qualité HRA (cohérence Charte fournisseurs).</w:t>
      </w:r>
    </w:p>
    <w:p>
      <w:pPr>
        <w:pStyle w:val="ListParagraph"/>
        <w:numPr>
          <w:ilvl w:val="0"/>
          <w:numId w:val="2"/>
        </w:numPr>
        <w:spacing w:after="60" w:line="260"/>
      </w:pPr>
      <w:r>
        <w:rPr>
          <w:rFonts w:ascii="Calibri" w:cs="Calibri" w:eastAsia="Calibri" w:hAnsi="Calibri"/>
          <w:sz w:val="20"/>
          <w:szCs w:val="20"/>
        </w:rPr>
        <w:t xml:space="preserve">Refuser les hébergements aux pratiques manifestement énergivores (climatisation toujours active dans pays tempéré, etc.).</w:t>
      </w:r>
    </w:p>
    <w:p>
      <w:pPr>
        <w:pStyle w:val="ListParagraph"/>
        <w:numPr>
          <w:ilvl w:val="0"/>
          <w:numId w:val="2"/>
        </w:numPr>
        <w:spacing w:after="60" w:line="260"/>
      </w:pPr>
      <w:r>
        <w:rPr>
          <w:rFonts w:ascii="Calibri" w:cs="Calibri" w:eastAsia="Calibri" w:hAnsi="Calibri"/>
          <w:sz w:val="20"/>
          <w:szCs w:val="20"/>
        </w:rPr>
        <w:t xml:space="preserve">Encourager les HRA partenaires à passer en énergie renouvelable (programme d'accompagnement An 2-3).</w:t>
      </w:r>
    </w:p>
    <w:p>
      <w:pPr>
        <w:spacing w:after="100" w:before="220"/>
      </w:pPr>
      <w:r>
        <w:rPr>
          <w:rFonts w:ascii="Calibri" w:cs="Calibri" w:eastAsia="Calibri" w:hAnsi="Calibri"/>
          <w:b/>
          <w:bCs/>
          <w:color w:val="E87722"/>
          <w:sz w:val="22"/>
          <w:szCs w:val="22"/>
        </w:rPr>
        <w:t xml:space="preserve">5.3. Restauration</w:t>
      </w:r>
    </w:p>
    <w:p>
      <w:pPr>
        <w:pStyle w:val="ListParagraph"/>
        <w:numPr>
          <w:ilvl w:val="0"/>
          <w:numId w:val="2"/>
        </w:numPr>
        <w:spacing w:after="60" w:line="260"/>
      </w:pPr>
      <w:r>
        <w:rPr>
          <w:rFonts w:ascii="Calibri" w:cs="Calibri" w:eastAsia="Calibri" w:hAnsi="Calibri"/>
          <w:sz w:val="20"/>
          <w:szCs w:val="20"/>
        </w:rPr>
        <w:t xml:space="preserve">Privilégier les restaurants travaillant en circuit court (rayon &lt; 100 km).</w:t>
      </w:r>
    </w:p>
    <w:p>
      <w:pPr>
        <w:pStyle w:val="ListParagraph"/>
        <w:numPr>
          <w:ilvl w:val="0"/>
          <w:numId w:val="2"/>
        </w:numPr>
        <w:spacing w:after="60" w:line="260"/>
      </w:pPr>
      <w:r>
        <w:rPr>
          <w:rFonts w:ascii="Calibri" w:cs="Calibri" w:eastAsia="Calibri" w:hAnsi="Calibri"/>
          <w:sz w:val="20"/>
          <w:szCs w:val="20"/>
        </w:rPr>
        <w:t xml:space="preserve">Encourager les menus alternatifs (option végétarienne / végétalienne systématique).</w:t>
      </w:r>
    </w:p>
    <w:p>
      <w:pPr>
        <w:pStyle w:val="ListParagraph"/>
        <w:numPr>
          <w:ilvl w:val="0"/>
          <w:numId w:val="2"/>
        </w:numPr>
        <w:spacing w:after="60" w:line="260"/>
      </w:pPr>
      <w:r>
        <w:rPr>
          <w:rFonts w:ascii="Calibri" w:cs="Calibri" w:eastAsia="Calibri" w:hAnsi="Calibri"/>
          <w:sz w:val="20"/>
          <w:szCs w:val="20"/>
        </w:rPr>
        <w:t xml:space="preserve">Lutter contre le gaspillage (portionnement adapté, dons aux associations).</w:t>
      </w:r>
    </w:p>
    <w:p>
      <w:pPr>
        <w:pStyle w:val="ListParagraph"/>
        <w:numPr>
          <w:ilvl w:val="0"/>
          <w:numId w:val="2"/>
        </w:numPr>
        <w:spacing w:after="60" w:line="260"/>
      </w:pPr>
      <w:r>
        <w:rPr>
          <w:rFonts w:ascii="Calibri" w:cs="Calibri" w:eastAsia="Calibri" w:hAnsi="Calibri"/>
          <w:sz w:val="20"/>
          <w:szCs w:val="20"/>
        </w:rPr>
        <w:t xml:space="preserve">Limiter les viandes rouges importées (préférer volaille, poisson local, légumes).</w:t>
      </w:r>
    </w:p>
    <w:p>
      <w:pPr>
        <w:spacing w:after="100" w:before="220"/>
      </w:pPr>
      <w:r>
        <w:rPr>
          <w:rFonts w:ascii="Calibri" w:cs="Calibri" w:eastAsia="Calibri" w:hAnsi="Calibri"/>
          <w:b/>
          <w:bCs/>
          <w:color w:val="E87722"/>
          <w:sz w:val="22"/>
          <w:szCs w:val="22"/>
        </w:rPr>
        <w:t xml:space="preserve">5.4. Activités</w:t>
      </w:r>
    </w:p>
    <w:p>
      <w:pPr>
        <w:pStyle w:val="ListParagraph"/>
        <w:numPr>
          <w:ilvl w:val="0"/>
          <w:numId w:val="2"/>
        </w:numPr>
        <w:spacing w:after="60" w:line="260"/>
      </w:pPr>
      <w:r>
        <w:rPr>
          <w:rFonts w:ascii="Calibri" w:cs="Calibri" w:eastAsia="Calibri" w:hAnsi="Calibri"/>
          <w:sz w:val="20"/>
          <w:szCs w:val="20"/>
        </w:rPr>
        <w:t xml:space="preserve">Privilégier les activités à faible empreinte (visites pédestres, vélo, randonnée).</w:t>
      </w:r>
    </w:p>
    <w:p>
      <w:pPr>
        <w:pStyle w:val="ListParagraph"/>
        <w:numPr>
          <w:ilvl w:val="0"/>
          <w:numId w:val="2"/>
        </w:numPr>
        <w:spacing w:after="60" w:line="260"/>
      </w:pPr>
      <w:r>
        <w:rPr>
          <w:rFonts w:ascii="Calibri" w:cs="Calibri" w:eastAsia="Calibri" w:hAnsi="Calibri"/>
          <w:sz w:val="20"/>
          <w:szCs w:val="20"/>
        </w:rPr>
        <w:t xml:space="preserve">Limiter les activités énergivores (jet-ski, quad, hélicoptère — uniquement sur demande spécifique avec information transparente).</w:t>
      </w:r>
    </w:p>
    <w:p>
      <w:pPr>
        <w:pStyle w:val="ListParagraph"/>
        <w:numPr>
          <w:ilvl w:val="0"/>
          <w:numId w:val="2"/>
        </w:numPr>
        <w:spacing w:after="60" w:line="260"/>
      </w:pPr>
      <w:r>
        <w:rPr>
          <w:rFonts w:ascii="Calibri" w:cs="Calibri" w:eastAsia="Calibri" w:hAnsi="Calibri"/>
          <w:sz w:val="20"/>
          <w:szCs w:val="20"/>
        </w:rPr>
        <w:t xml:space="preserve">Inclure une activité « engagement local » par voyage (rencontre artisan, visite ferme, action environnementale).</w:t>
      </w:r>
    </w:p>
    <w:p>
      <w:pPr>
        <w:spacing w:after="100" w:before="220"/>
      </w:pPr>
      <w:r>
        <w:rPr>
          <w:rFonts w:ascii="Calibri" w:cs="Calibri" w:eastAsia="Calibri" w:hAnsi="Calibri"/>
          <w:b/>
          <w:bCs/>
          <w:color w:val="E87722"/>
          <w:sz w:val="22"/>
          <w:szCs w:val="22"/>
        </w:rPr>
        <w:t xml:space="preserve">5.5. Plateforme numérique</w:t>
      </w:r>
    </w:p>
    <w:p>
      <w:pPr>
        <w:pStyle w:val="ListParagraph"/>
        <w:numPr>
          <w:ilvl w:val="0"/>
          <w:numId w:val="2"/>
        </w:numPr>
        <w:spacing w:after="60" w:line="260"/>
      </w:pPr>
      <w:r>
        <w:rPr>
          <w:rFonts w:ascii="Calibri" w:cs="Calibri" w:eastAsia="Calibri" w:hAnsi="Calibri"/>
          <w:sz w:val="20"/>
          <w:szCs w:val="20"/>
        </w:rPr>
        <w:t xml:space="preserve">Hébergement Scaleway France (data centers refroidissement adiabatique, mix énergétique faible carbone).</w:t>
      </w:r>
    </w:p>
    <w:p>
      <w:pPr>
        <w:pStyle w:val="ListParagraph"/>
        <w:numPr>
          <w:ilvl w:val="0"/>
          <w:numId w:val="2"/>
        </w:numPr>
        <w:spacing w:after="60" w:line="260"/>
      </w:pPr>
      <w:r>
        <w:rPr>
          <w:rFonts w:ascii="Calibri" w:cs="Calibri" w:eastAsia="Calibri" w:hAnsi="Calibri"/>
          <w:sz w:val="20"/>
          <w:szCs w:val="20"/>
        </w:rPr>
        <w:t xml:space="preserve">Optimisation de la consommation des pages (poids ≤ 1 Mo, pas de vidéos auto-play, images compressées WebP/AVIF).</w:t>
      </w:r>
    </w:p>
    <w:p>
      <w:pPr>
        <w:pStyle w:val="ListParagraph"/>
        <w:numPr>
          <w:ilvl w:val="0"/>
          <w:numId w:val="2"/>
        </w:numPr>
        <w:spacing w:after="60" w:line="260"/>
      </w:pPr>
      <w:r>
        <w:rPr>
          <w:rFonts w:ascii="Calibri" w:cs="Calibri" w:eastAsia="Calibri" w:hAnsi="Calibri"/>
          <w:sz w:val="20"/>
          <w:szCs w:val="20"/>
        </w:rPr>
        <w:t xml:space="preserve">Pas de cryptomonnaie, pas de NFT, pas d'IA générative gourmande sans nécessité.</w:t>
      </w:r>
    </w:p>
    <w:p>
      <w:pPr>
        <w:pStyle w:val="ListParagraph"/>
        <w:numPr>
          <w:ilvl w:val="0"/>
          <w:numId w:val="2"/>
        </w:numPr>
        <w:spacing w:after="60" w:line="260"/>
      </w:pPr>
      <w:r>
        <w:rPr>
          <w:rFonts w:ascii="Calibri" w:cs="Calibri" w:eastAsia="Calibri" w:hAnsi="Calibri"/>
          <w:sz w:val="20"/>
          <w:szCs w:val="20"/>
        </w:rPr>
        <w:t xml:space="preserve">Cible 1by1 GHG / page chargée.</w:t>
      </w:r>
    </w:p>
    <w:p>
      <w:pPr>
        <w:spacing w:after="100" w:before="220"/>
      </w:pPr>
      <w:r>
        <w:rPr>
          <w:rFonts w:ascii="Calibri" w:cs="Calibri" w:eastAsia="Calibri" w:hAnsi="Calibri"/>
          <w:b/>
          <w:bCs/>
          <w:color w:val="E87722"/>
          <w:sz w:val="22"/>
          <w:szCs w:val="22"/>
        </w:rPr>
        <w:t xml:space="preserve">5.6. Équipe et bureaux</w:t>
      </w:r>
    </w:p>
    <w:p>
      <w:pPr>
        <w:pStyle w:val="ListParagraph"/>
        <w:numPr>
          <w:ilvl w:val="0"/>
          <w:numId w:val="2"/>
        </w:numPr>
        <w:spacing w:after="60" w:line="260"/>
      </w:pPr>
      <w:r>
        <w:rPr>
          <w:rFonts w:ascii="Calibri" w:cs="Calibri" w:eastAsia="Calibri" w:hAnsi="Calibri"/>
          <w:sz w:val="20"/>
          <w:szCs w:val="20"/>
        </w:rPr>
        <w:t xml:space="preserve">Télétravail prioritaire (cohérence Charte télétravail) — réduit les déplacements quotidiens.</w:t>
      </w:r>
    </w:p>
    <w:p>
      <w:pPr>
        <w:pStyle w:val="ListParagraph"/>
        <w:numPr>
          <w:ilvl w:val="0"/>
          <w:numId w:val="2"/>
        </w:numPr>
        <w:spacing w:after="60" w:line="260"/>
      </w:pPr>
      <w:r>
        <w:rPr>
          <w:rFonts w:ascii="Calibri" w:cs="Calibri" w:eastAsia="Calibri" w:hAnsi="Calibri"/>
          <w:sz w:val="20"/>
          <w:szCs w:val="20"/>
        </w:rPr>
        <w:t xml:space="preserve">Bureaux compacts, optimisés (flex office, mutualisation).</w:t>
      </w:r>
    </w:p>
    <w:p>
      <w:pPr>
        <w:pStyle w:val="ListParagraph"/>
        <w:numPr>
          <w:ilvl w:val="0"/>
          <w:numId w:val="2"/>
        </w:numPr>
        <w:spacing w:after="60" w:line="260"/>
      </w:pPr>
      <w:r>
        <w:rPr>
          <w:rFonts w:ascii="Calibri" w:cs="Calibri" w:eastAsia="Calibri" w:hAnsi="Calibri"/>
          <w:sz w:val="20"/>
          <w:szCs w:val="20"/>
        </w:rPr>
        <w:t xml:space="preserve">Déplacements professionnels en train si trajet &lt; 4 h, vols évités, visioconférence privilégiée.</w:t>
      </w:r>
    </w:p>
    <w:p>
      <w:pPr>
        <w:pStyle w:val="ListParagraph"/>
        <w:numPr>
          <w:ilvl w:val="0"/>
          <w:numId w:val="2"/>
        </w:numPr>
        <w:spacing w:after="60" w:line="260"/>
      </w:pPr>
      <w:r>
        <w:rPr>
          <w:rFonts w:ascii="Calibri" w:cs="Calibri" w:eastAsia="Calibri" w:hAnsi="Calibri"/>
          <w:sz w:val="20"/>
          <w:szCs w:val="20"/>
        </w:rPr>
        <w:t xml:space="preserve">Forfait mobilité durable pour collaborateurs (vélo, covoiturage).</w:t>
      </w:r>
    </w:p>
    <w:p>
      <w:pPr>
        <w:spacing w:after="160" w:before="240"/>
      </w:pPr>
      <w:r>
        <w:rPr>
          <w:rFonts w:ascii="Calibri" w:cs="Calibri" w:eastAsia="Calibri" w:hAnsi="Calibri"/>
          <w:b/>
          <w:bCs/>
          <w:color w:val="1F4E79"/>
          <w:sz w:val="32"/>
          <w:szCs w:val="32"/>
        </w:rPr>
        <w:t xml:space="preserve">6. Contribution carbone (compensation responsable)</w:t>
      </w:r>
    </w:p>
    <w:p>
      <w:pPr>
        <w:spacing w:after="100" w:before="220"/>
      </w:pPr>
      <w:r>
        <w:rPr>
          <w:rFonts w:ascii="Calibri" w:cs="Calibri" w:eastAsia="Calibri" w:hAnsi="Calibri"/>
          <w:b/>
          <w:bCs/>
          <w:color w:val="E87722"/>
          <w:sz w:val="22"/>
          <w:szCs w:val="22"/>
        </w:rPr>
        <w:t xml:space="preserve">6.1. Principes</w:t>
      </w:r>
    </w:p>
    <w:p>
      <w:pPr>
        <w:pStyle w:val="ListParagraph"/>
        <w:numPr>
          <w:ilvl w:val="0"/>
          <w:numId w:val="2"/>
        </w:numPr>
        <w:spacing w:after="60" w:line="260"/>
      </w:pPr>
      <w:r>
        <w:rPr>
          <w:rFonts w:ascii="Calibri" w:cs="Calibri" w:eastAsia="Calibri" w:hAnsi="Calibri"/>
          <w:sz w:val="20"/>
          <w:szCs w:val="20"/>
        </w:rPr>
        <w:t xml:space="preserve">Eventy refuse l'effet « blanchiment » du tout-compensation : l'objectif premier est de réduire.</w:t>
      </w:r>
    </w:p>
    <w:p>
      <w:pPr>
        <w:pStyle w:val="ListParagraph"/>
        <w:numPr>
          <w:ilvl w:val="0"/>
          <w:numId w:val="2"/>
        </w:numPr>
        <w:spacing w:after="60" w:line="260"/>
      </w:pPr>
      <w:r>
        <w:rPr>
          <w:rFonts w:ascii="Calibri" w:cs="Calibri" w:eastAsia="Calibri" w:hAnsi="Calibri"/>
          <w:sz w:val="20"/>
          <w:szCs w:val="20"/>
        </w:rPr>
        <w:t xml:space="preserve">La compensation est une démarche complémentaire, transparente, vérifiée.</w:t>
      </w:r>
    </w:p>
    <w:p>
      <w:pPr>
        <w:pStyle w:val="ListParagraph"/>
        <w:numPr>
          <w:ilvl w:val="0"/>
          <w:numId w:val="2"/>
        </w:numPr>
        <w:spacing w:after="60" w:line="260"/>
      </w:pPr>
      <w:r>
        <w:rPr>
          <w:rFonts w:ascii="Calibri" w:cs="Calibri" w:eastAsia="Calibri" w:hAnsi="Calibri"/>
          <w:sz w:val="20"/>
          <w:szCs w:val="20"/>
        </w:rPr>
        <w:t xml:space="preserve">Choix de projets vérifiés par standards reconnus (Verra, Gold Standard, Label Bas-Carbone français).</w:t>
      </w:r>
    </w:p>
    <w:p>
      <w:pPr>
        <w:spacing w:after="100" w:before="220"/>
      </w:pPr>
      <w:r>
        <w:rPr>
          <w:rFonts w:ascii="Calibri" w:cs="Calibri" w:eastAsia="Calibri" w:hAnsi="Calibri"/>
          <w:b/>
          <w:bCs/>
          <w:color w:val="E87722"/>
          <w:sz w:val="22"/>
          <w:szCs w:val="22"/>
        </w:rPr>
        <w:t xml:space="preserve">6.2. Modalités</w:t>
      </w:r>
    </w:p>
    <w:p>
      <w:pPr>
        <w:pStyle w:val="ListParagraph"/>
        <w:numPr>
          <w:ilvl w:val="0"/>
          <w:numId w:val="2"/>
        </w:numPr>
        <w:spacing w:after="60" w:line="260"/>
      </w:pPr>
      <w:r>
        <w:rPr>
          <w:rFonts w:ascii="Calibri" w:cs="Calibri" w:eastAsia="Calibri" w:hAnsi="Calibri"/>
          <w:sz w:val="20"/>
          <w:szCs w:val="20"/>
        </w:rPr>
        <w:t xml:space="preserve">À compter d'An 2 : compensation des émissions résiduelles non réductibles (Scope 1 + 2 + déplacements équipe).</w:t>
      </w:r>
    </w:p>
    <w:p>
      <w:pPr>
        <w:pStyle w:val="ListParagraph"/>
        <w:numPr>
          <w:ilvl w:val="0"/>
          <w:numId w:val="2"/>
        </w:numPr>
        <w:spacing w:after="60" w:line="260"/>
      </w:pPr>
      <w:r>
        <w:rPr>
          <w:rFonts w:ascii="Calibri" w:cs="Calibri" w:eastAsia="Calibri" w:hAnsi="Calibri"/>
          <w:sz w:val="20"/>
          <w:szCs w:val="20"/>
        </w:rPr>
        <w:t xml:space="preserve">À compter d'An 3 : option voyageur de compensation du voyage (en supplément volontaire au tarif, transparent).</w:t>
      </w:r>
    </w:p>
    <w:p>
      <w:pPr>
        <w:pStyle w:val="ListParagraph"/>
        <w:numPr>
          <w:ilvl w:val="0"/>
          <w:numId w:val="2"/>
        </w:numPr>
        <w:spacing w:after="60" w:line="260"/>
      </w:pPr>
      <w:r>
        <w:rPr>
          <w:rFonts w:ascii="Calibri" w:cs="Calibri" w:eastAsia="Calibri" w:hAnsi="Calibri"/>
          <w:sz w:val="20"/>
          <w:szCs w:val="20"/>
        </w:rPr>
        <w:t xml:space="preserve">Tarification transparente : prix tonne CO2eq publié, pas de marge cachée.</w:t>
      </w:r>
    </w:p>
    <w:p>
      <w:pPr>
        <w:pStyle w:val="ListParagraph"/>
        <w:numPr>
          <w:ilvl w:val="0"/>
          <w:numId w:val="2"/>
        </w:numPr>
        <w:spacing w:after="60" w:line="260"/>
      </w:pPr>
      <w:r>
        <w:rPr>
          <w:rFonts w:ascii="Calibri" w:cs="Calibri" w:eastAsia="Calibri" w:hAnsi="Calibri"/>
          <w:sz w:val="20"/>
          <w:szCs w:val="20"/>
        </w:rPr>
        <w:t xml:space="preserve">Privilégier les projets français (Label Bas-Carbone agriculture, forêt, sols).</w:t>
      </w:r>
    </w:p>
    <w:p>
      <w:pPr>
        <w:spacing w:after="100" w:before="220"/>
      </w:pPr>
      <w:r>
        <w:rPr>
          <w:rFonts w:ascii="Calibri" w:cs="Calibri" w:eastAsia="Calibri" w:hAnsi="Calibri"/>
          <w:b/>
          <w:bCs/>
          <w:color w:val="E87722"/>
          <w:sz w:val="22"/>
          <w:szCs w:val="22"/>
        </w:rPr>
        <w:t xml:space="preserve">6.3. Engagement de transparence</w:t>
      </w:r>
    </w:p>
    <w:p>
      <w:pPr>
        <w:pStyle w:val="ListParagraph"/>
        <w:numPr>
          <w:ilvl w:val="0"/>
          <w:numId w:val="2"/>
        </w:numPr>
        <w:spacing w:after="60" w:line="260"/>
      </w:pPr>
      <w:r>
        <w:rPr>
          <w:rFonts w:ascii="Calibri" w:cs="Calibri" w:eastAsia="Calibri" w:hAnsi="Calibri"/>
          <w:sz w:val="20"/>
          <w:szCs w:val="20"/>
        </w:rPr>
        <w:t xml:space="preserve">Publication annuelle du tonnage compensé et des projets soutenus.</w:t>
      </w:r>
    </w:p>
    <w:p>
      <w:pPr>
        <w:pStyle w:val="ListParagraph"/>
        <w:numPr>
          <w:ilvl w:val="0"/>
          <w:numId w:val="2"/>
        </w:numPr>
        <w:spacing w:after="60" w:line="260"/>
      </w:pPr>
      <w:r>
        <w:rPr>
          <w:rFonts w:ascii="Calibri" w:cs="Calibri" w:eastAsia="Calibri" w:hAnsi="Calibri"/>
          <w:sz w:val="20"/>
          <w:szCs w:val="20"/>
        </w:rPr>
        <w:t xml:space="preserve">Liens publics vers les certificats.</w:t>
      </w:r>
    </w:p>
    <w:p>
      <w:pPr>
        <w:pStyle w:val="ListParagraph"/>
        <w:numPr>
          <w:ilvl w:val="0"/>
          <w:numId w:val="2"/>
        </w:numPr>
        <w:spacing w:after="60" w:line="260"/>
      </w:pPr>
      <w:r>
        <w:rPr>
          <w:rFonts w:ascii="Calibri" w:cs="Calibri" w:eastAsia="Calibri" w:hAnsi="Calibri"/>
          <w:sz w:val="20"/>
          <w:szCs w:val="20"/>
        </w:rPr>
        <w:t xml:space="preserve">Pas de communication marketing « voyage neutre en carbone » avant An 5 (rigueur conceptuelle).</w:t>
      </w:r>
    </w:p>
    <w:p>
      <w:pPr>
        <w:spacing w:after="160" w:before="240"/>
      </w:pPr>
      <w:r>
        <w:rPr>
          <w:rFonts w:ascii="Calibri" w:cs="Calibri" w:eastAsia="Calibri" w:hAnsi="Calibri"/>
          <w:b/>
          <w:bCs/>
          <w:color w:val="1F4E79"/>
          <w:sz w:val="32"/>
          <w:szCs w:val="32"/>
        </w:rPr>
        <w:t xml:space="preserve">7. Communication et sensibilisation</w:t>
      </w:r>
    </w:p>
    <w:p>
      <w:pPr>
        <w:pStyle w:val="ListParagraph"/>
        <w:numPr>
          <w:ilvl w:val="0"/>
          <w:numId w:val="2"/>
        </w:numPr>
        <w:spacing w:after="60" w:line="260"/>
      </w:pPr>
      <w:r>
        <w:rPr>
          <w:rFonts w:ascii="Calibri" w:cs="Calibri" w:eastAsia="Calibri" w:hAnsi="Calibri"/>
          <w:sz w:val="20"/>
          <w:szCs w:val="20"/>
        </w:rPr>
        <w:t xml:space="preserve">Information précontractuelle voyageur : émissions estimées du voyage choisi.</w:t>
      </w:r>
    </w:p>
    <w:p>
      <w:pPr>
        <w:pStyle w:val="ListParagraph"/>
        <w:numPr>
          <w:ilvl w:val="0"/>
          <w:numId w:val="2"/>
        </w:numPr>
        <w:spacing w:after="60" w:line="260"/>
      </w:pPr>
      <w:r>
        <w:rPr>
          <w:rFonts w:ascii="Calibri" w:cs="Calibri" w:eastAsia="Calibri" w:hAnsi="Calibri"/>
          <w:sz w:val="20"/>
          <w:szCs w:val="20"/>
        </w:rPr>
        <w:t xml:space="preserve">Roadbook voyageur : éco-gestes simples sur place (eau, énergie, déchets).</w:t>
      </w:r>
    </w:p>
    <w:p>
      <w:pPr>
        <w:pStyle w:val="ListParagraph"/>
        <w:numPr>
          <w:ilvl w:val="0"/>
          <w:numId w:val="2"/>
        </w:numPr>
        <w:spacing w:after="60" w:line="260"/>
      </w:pPr>
      <w:r>
        <w:rPr>
          <w:rFonts w:ascii="Calibri" w:cs="Calibri" w:eastAsia="Calibri" w:hAnsi="Calibri"/>
          <w:sz w:val="20"/>
          <w:szCs w:val="20"/>
        </w:rPr>
        <w:t xml:space="preserve">Onboarding équipe : module sensibilisation carbone (1h) la première semaine.</w:t>
      </w:r>
    </w:p>
    <w:p>
      <w:pPr>
        <w:pStyle w:val="ListParagraph"/>
        <w:numPr>
          <w:ilvl w:val="0"/>
          <w:numId w:val="2"/>
        </w:numPr>
        <w:spacing w:after="60" w:line="260"/>
      </w:pPr>
      <w:r>
        <w:rPr>
          <w:rFonts w:ascii="Calibri" w:cs="Calibri" w:eastAsia="Calibri" w:hAnsi="Calibri"/>
          <w:sz w:val="20"/>
          <w:szCs w:val="20"/>
        </w:rPr>
        <w:t xml:space="preserve">Newsletter mensuelle : un sujet RSE/carbone tous les trimestres.</w:t>
      </w:r>
    </w:p>
    <w:p>
      <w:pPr>
        <w:pStyle w:val="ListParagraph"/>
        <w:numPr>
          <w:ilvl w:val="0"/>
          <w:numId w:val="2"/>
        </w:numPr>
        <w:spacing w:after="60" w:line="260"/>
      </w:pPr>
      <w:r>
        <w:rPr>
          <w:rFonts w:ascii="Calibri" w:cs="Calibri" w:eastAsia="Calibri" w:hAnsi="Calibri"/>
          <w:sz w:val="20"/>
          <w:szCs w:val="20"/>
        </w:rPr>
        <w:t xml:space="preserve">Page eventylife.fr/rse mise à jour avec bilans détaillés.</w:t>
      </w:r>
    </w:p>
    <w:p>
      <w:pPr>
        <w:spacing w:after="160" w:before="240"/>
      </w:pPr>
      <w:r>
        <w:rPr>
          <w:rFonts w:ascii="Calibri" w:cs="Calibri" w:eastAsia="Calibri" w:hAnsi="Calibri"/>
          <w:b/>
          <w:bCs/>
          <w:color w:val="1F4E79"/>
          <w:sz w:val="32"/>
          <w:szCs w:val="32"/>
        </w:rPr>
        <w:t xml:space="preserve">8. Gouvernance et reporting</w:t>
      </w:r>
    </w:p>
    <w:p>
      <w:pPr>
        <w:pStyle w:val="ListParagraph"/>
        <w:numPr>
          <w:ilvl w:val="0"/>
          <w:numId w:val="2"/>
        </w:numPr>
        <w:spacing w:after="60" w:line="260"/>
      </w:pPr>
      <w:r>
        <w:rPr>
          <w:rFonts w:ascii="Calibri" w:cs="Calibri" w:eastAsia="Calibri" w:hAnsi="Calibri"/>
          <w:sz w:val="20"/>
          <w:szCs w:val="20"/>
        </w:rPr>
        <w:t xml:space="preserve">Référent RSE désigné en An 2 (rattaché au Président).</w:t>
      </w:r>
    </w:p>
    <w:p>
      <w:pPr>
        <w:pStyle w:val="ListParagraph"/>
        <w:numPr>
          <w:ilvl w:val="0"/>
          <w:numId w:val="2"/>
        </w:numPr>
        <w:spacing w:after="60" w:line="260"/>
      </w:pPr>
      <w:r>
        <w:rPr>
          <w:rFonts w:ascii="Calibri" w:cs="Calibri" w:eastAsia="Calibri" w:hAnsi="Calibri"/>
          <w:sz w:val="20"/>
          <w:szCs w:val="20"/>
        </w:rPr>
        <w:t xml:space="preserve">Comité RSE trimestriel (Président + référent + un voyageur Famille volontaire).</w:t>
      </w:r>
    </w:p>
    <w:p>
      <w:pPr>
        <w:pStyle w:val="ListParagraph"/>
        <w:numPr>
          <w:ilvl w:val="0"/>
          <w:numId w:val="2"/>
        </w:numPr>
        <w:spacing w:after="60" w:line="260"/>
      </w:pPr>
      <w:r>
        <w:rPr>
          <w:rFonts w:ascii="Calibri" w:cs="Calibri" w:eastAsia="Calibri" w:hAnsi="Calibri"/>
          <w:sz w:val="20"/>
          <w:szCs w:val="20"/>
        </w:rPr>
        <w:t xml:space="preserve">Rapport annuel intégré aux comptes (annexé au rapport de gestion).</w:t>
      </w:r>
    </w:p>
    <w:p>
      <w:pPr>
        <w:pStyle w:val="ListParagraph"/>
        <w:numPr>
          <w:ilvl w:val="0"/>
          <w:numId w:val="2"/>
        </w:numPr>
        <w:spacing w:after="60" w:line="260"/>
      </w:pPr>
      <w:r>
        <w:rPr>
          <w:rFonts w:ascii="Calibri" w:cs="Calibri" w:eastAsia="Calibri" w:hAnsi="Calibri"/>
          <w:sz w:val="20"/>
          <w:szCs w:val="20"/>
        </w:rPr>
        <w:t xml:space="preserve">Ouverture progressive du reporting (cible CSRD si seuils atteints en An 4-5).</w:t>
      </w:r>
    </w:p>
    <w:p>
      <w:pPr>
        <w:spacing w:after="160" w:before="240"/>
      </w:pPr>
      <w:r>
        <w:rPr>
          <w:rFonts w:ascii="Calibri" w:cs="Calibri" w:eastAsia="Calibri" w:hAnsi="Calibri"/>
          <w:b/>
          <w:bCs/>
          <w:color w:val="1F4E79"/>
          <w:sz w:val="32"/>
          <w:szCs w:val="32"/>
        </w:rPr>
        <w:t xml:space="preserve">9. Engagements opposables Eventy</w:t>
      </w:r>
    </w:p>
    <w:p>
      <w:pPr>
        <w:spacing w:after="100" w:line="280"/>
        <w:jc w:val="both"/>
      </w:pPr>
      <w:r>
        <w:rPr>
          <w:rFonts w:ascii="Calibri" w:cs="Calibri" w:eastAsia="Calibri" w:hAnsi="Calibri"/>
          <w:color w:val="1A1A1A"/>
          <w:sz w:val="20"/>
          <w:szCs w:val="20"/>
        </w:rPr>
        <w:t xml:space="preserve">Eventy s'engage formellement à :</w:t>
      </w:r>
    </w:p>
    <w:p>
      <w:pPr>
        <w:pStyle w:val="ListParagraph"/>
        <w:numPr>
          <w:ilvl w:val="0"/>
          <w:numId w:val="2"/>
        </w:numPr>
        <w:spacing w:after="60" w:line="260"/>
      </w:pPr>
      <w:r>
        <w:rPr>
          <w:rFonts w:ascii="Calibri" w:cs="Calibri" w:eastAsia="Calibri" w:hAnsi="Calibri"/>
          <w:sz w:val="20"/>
          <w:szCs w:val="20"/>
        </w:rPr>
        <w:t xml:space="preserve">Mesurer chaque voyage en émissions CO2eq dès An 1.</w:t>
      </w:r>
    </w:p>
    <w:p>
      <w:pPr>
        <w:pStyle w:val="ListParagraph"/>
        <w:numPr>
          <w:ilvl w:val="0"/>
          <w:numId w:val="2"/>
        </w:numPr>
        <w:spacing w:after="60" w:line="260"/>
      </w:pPr>
      <w:r>
        <w:rPr>
          <w:rFonts w:ascii="Calibri" w:cs="Calibri" w:eastAsia="Calibri" w:hAnsi="Calibri"/>
          <w:sz w:val="20"/>
          <w:szCs w:val="20"/>
        </w:rPr>
        <w:t xml:space="preserve">Publier un Bilan Carbone annuel et public dès An 2.</w:t>
      </w:r>
    </w:p>
    <w:p>
      <w:pPr>
        <w:pStyle w:val="ListParagraph"/>
        <w:numPr>
          <w:ilvl w:val="0"/>
          <w:numId w:val="2"/>
        </w:numPr>
        <w:spacing w:after="60" w:line="260"/>
      </w:pPr>
      <w:r>
        <w:rPr>
          <w:rFonts w:ascii="Calibri" w:cs="Calibri" w:eastAsia="Calibri" w:hAnsi="Calibri"/>
          <w:sz w:val="20"/>
          <w:szCs w:val="20"/>
        </w:rPr>
        <w:t xml:space="preserve">Atteindre une réduction de 30 % des émissions / voyageur d'ici An 5 (vs An 1).</w:t>
      </w:r>
    </w:p>
    <w:p>
      <w:pPr>
        <w:pStyle w:val="ListParagraph"/>
        <w:numPr>
          <w:ilvl w:val="0"/>
          <w:numId w:val="2"/>
        </w:numPr>
        <w:spacing w:after="60" w:line="260"/>
      </w:pPr>
      <w:r>
        <w:rPr>
          <w:rFonts w:ascii="Calibri" w:cs="Calibri" w:eastAsia="Calibri" w:hAnsi="Calibri"/>
          <w:sz w:val="20"/>
          <w:szCs w:val="20"/>
        </w:rPr>
        <w:t xml:space="preserve">Refuser le greenwashing — pas de promesse non démontrée, pas de label sans audit.</w:t>
      </w:r>
    </w:p>
    <w:p>
      <w:pPr>
        <w:pStyle w:val="ListParagraph"/>
        <w:numPr>
          <w:ilvl w:val="0"/>
          <w:numId w:val="2"/>
        </w:numPr>
        <w:spacing w:after="60" w:line="260"/>
      </w:pPr>
      <w:r>
        <w:rPr>
          <w:rFonts w:ascii="Calibri" w:cs="Calibri" w:eastAsia="Calibri" w:hAnsi="Calibri"/>
          <w:sz w:val="20"/>
          <w:szCs w:val="20"/>
        </w:rPr>
        <w:t xml:space="preserve">Compenser le résiduel non réductible dès An 2 sur projets vérifiés.</w:t>
      </w:r>
    </w:p>
    <w:p>
      <w:pPr>
        <w:pStyle w:val="ListParagraph"/>
        <w:numPr>
          <w:ilvl w:val="0"/>
          <w:numId w:val="2"/>
        </w:numPr>
        <w:spacing w:after="60" w:line="260"/>
      </w:pPr>
      <w:r>
        <w:rPr>
          <w:rFonts w:ascii="Calibri" w:cs="Calibri" w:eastAsia="Calibri" w:hAnsi="Calibri"/>
          <w:sz w:val="20"/>
          <w:szCs w:val="20"/>
        </w:rPr>
        <w:t xml:space="preserve">Informer chaque voyageur des émissions estimées de son voyage.</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Politique RSE, Charte fournisseurs, Procédure audit qualité HRA, Politique d'achats responsables, Plan de mobilité durable.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Charte engagement carbone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Charte d'engagement carbone</dc:title>
  <dc:creator>David Eventy — Eventy Life SAS</dc:creator>
  <dc:description>Charte d'engagement carbone Eventy Life — méthodologie, trajectoire, contribution.</dc:description>
  <cp:lastModifiedBy>Un-named</cp:lastModifiedBy>
  <cp:revision>1</cp:revision>
  <dcterms:created xsi:type="dcterms:W3CDTF">2026-05-01T22:38:12.958Z</dcterms:created>
  <dcterms:modified xsi:type="dcterms:W3CDTF">2026-05-01T22:38:12.959Z</dcterms:modified>
</cp:coreProperties>
</file>

<file path=docProps/custom.xml><?xml version="1.0" encoding="utf-8"?>
<Properties xmlns="http://schemas.openxmlformats.org/officeDocument/2006/custom-properties" xmlns:vt="http://schemas.openxmlformats.org/officeDocument/2006/docPropsVTypes"/>
</file>