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DE CONFIDENTIALITÉ</w:t>
            </w:r>
          </w:p>
          <w:p>
            <w:pPr>
              <w:spacing w:after="0"/>
              <w:jc w:val="center"/>
            </w:pPr>
            <w:r>
              <w:rPr>
                <w:rFonts w:ascii="Calibri" w:cs="Calibri" w:eastAsia="Calibri" w:hAnsi="Calibri"/>
                <w:i/>
                <w:iCs/>
                <w:color w:val="1F4E79"/>
                <w:sz w:val="18"/>
                <w:szCs w:val="18"/>
              </w:rPr>
              <w:t xml:space="preserve">Conforme au règlement (UE) 2016/679 (RGPD) et à la loi n° 78-17 modifiée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EVENTY LIFE SAS attache une importance fondamentale à la protection des données personnelles de ses voyageurs, partenaires et utilisateurs du site eventylife.fr. La présente politique de confidentialité décrit, en application du règlement (UE) 2016/679 dit RGPD et de la loi n° 78-17 du 6 janvier 1978 modifiée, les conditions dans lesquelles les données personnelles sont collectées, traitées, conservées et protégées.</w:t>
      </w:r>
    </w:p>
    <w:p>
      <w:pPr>
        <w:spacing w:after="100" w:before="220"/>
      </w:pPr>
      <w:r>
        <w:rPr>
          <w:rFonts w:ascii="Calibri" w:cs="Calibri" w:eastAsia="Calibri" w:hAnsi="Calibri"/>
          <w:b/>
          <w:bCs/>
          <w:color w:val="E87722"/>
          <w:sz w:val="22"/>
          <w:szCs w:val="22"/>
        </w:rPr>
        <w:t xml:space="preserve">1. Responsable de traitement</w:t>
      </w:r>
    </w:p>
    <w:p>
      <w:pPr>
        <w:spacing w:after="100" w:line="280"/>
        <w:jc w:val="both"/>
      </w:pPr>
      <w:r>
        <w:rPr>
          <w:rFonts w:ascii="Calibri" w:cs="Calibri" w:eastAsia="Calibri" w:hAnsi="Calibri"/>
          <w:color w:val="1A1A1A"/>
          <w:sz w:val="20"/>
          <w:szCs w:val="20"/>
        </w:rPr>
        <w:t xml:space="preserve">EVENTY LIFE SAS, [adresse], immatriculée au RCS de [ville] sous le numéro [SIREN], représentée par M. David Eventy, Président, est responsable de traitement au sens de l'article 4 (7) du RGPD.</w:t>
      </w:r>
    </w:p>
    <w:p>
      <w:pPr>
        <w:spacing w:after="100" w:before="220"/>
      </w:pPr>
      <w:r>
        <w:rPr>
          <w:rFonts w:ascii="Calibri" w:cs="Calibri" w:eastAsia="Calibri" w:hAnsi="Calibri"/>
          <w:b/>
          <w:bCs/>
          <w:color w:val="E87722"/>
          <w:sz w:val="22"/>
          <w:szCs w:val="22"/>
        </w:rPr>
        <w:t xml:space="preserve">2. Délégué à la Protection des Données (DPO)</w:t>
      </w:r>
    </w:p>
    <w:p>
      <w:pPr>
        <w:spacing w:after="100" w:line="280"/>
        <w:jc w:val="both"/>
      </w:pPr>
      <w:r>
        <w:rPr>
          <w:rFonts w:ascii="Calibri" w:cs="Calibri" w:eastAsia="Calibri" w:hAnsi="Calibri"/>
          <w:color w:val="1A1A1A"/>
          <w:sz w:val="20"/>
          <w:szCs w:val="20"/>
        </w:rPr>
        <w:t xml:space="preserve">Eventy Life désigne un Délégué à la Protection des Données externe dans les six (6) mois suivant son lancement commercial. Le DPO peut être contacté à dpo@eventylife.fr ou par courrier au siège social, à l'attention du DPO. Il est l'interlocuteur unique pour toute question relative au traitement des données personnelles et à l'exercice des droits du voyageur.</w:t>
      </w:r>
    </w:p>
    <w:p>
      <w:pPr>
        <w:spacing w:after="100" w:before="220"/>
      </w:pPr>
      <w:r>
        <w:rPr>
          <w:rFonts w:ascii="Calibri" w:cs="Calibri" w:eastAsia="Calibri" w:hAnsi="Calibri"/>
          <w:b/>
          <w:bCs/>
          <w:color w:val="E87722"/>
          <w:sz w:val="22"/>
          <w:szCs w:val="22"/>
        </w:rPr>
        <w:t xml:space="preserve">3. Catégories de données collectées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Catégorie</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Exemples de données collectées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d'identification</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 prénom, date de naissance, adresse postale, numéro de téléphone, adresse email</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contractuelles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Numéro de réservation, voyage choisi, dates, montants payés, historique des achats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de paiement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Néant directement (délégation intégrale à Stripe — PCI-DSS) ; seuls les jetons de paiement sont conservés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techniques</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IP, type de navigateur, système d'exploitation, pages visitées, cookies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médicales (le cas échéant)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Allergènes alimentaires, conditions médicales signalées par le voyageur (consentement explicite)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spéciales (PMR)</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Besoins d'accessibilité signalés (consentement explicite)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de communication</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Échanges avec le service client, réclamations, retours de satisfaction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de marketing (avec consentement)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Préférences de destinations, historique d'ouverture des emails, opt-in newsletter</w:t>
            </w:r>
          </w:p>
        </w:tc>
      </w:tr>
    </w:tbl>
    <w:p>
      <w:pPr>
        <w:spacing w:after="100" w:before="220"/>
      </w:pPr>
      <w:r>
        <w:rPr>
          <w:rFonts w:ascii="Calibri" w:cs="Calibri" w:eastAsia="Calibri" w:hAnsi="Calibri"/>
          <w:b/>
          <w:bCs/>
          <w:color w:val="E87722"/>
          <w:sz w:val="22"/>
          <w:szCs w:val="22"/>
        </w:rPr>
        <w:t xml:space="preserve">4. Finalités des traitements et bases légales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Finalité</w:t>
            </w:r>
          </w:p>
        </w:tc>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Base légale (RGPD)</w:t>
            </w:r>
          </w:p>
        </w:tc>
        <w:tc>
          <w:tcPr>
            <w:tcW w:type="dxa" w:w="2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Durée de conservation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Exécution du Contrat de voyage</w:t>
            </w:r>
          </w:p>
        </w:tc>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6 (1) (b) — exécution contractuelle</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ans après la dernière transaction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Information précontractuelle</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6 (1) (b) — mesures précontractuelles</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ans après la dernière interaction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Gestion administrative et comptable</w:t>
            </w:r>
          </w:p>
        </w:tc>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6 (1) (c) — obligation légale (Code commerce, Code fiscal)</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 ans (durée légale comptable)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Sécurité des paiements et lutte contre la fraude</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6 (1) (f) — intérêt légitime</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 mois après la transaction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Satisfaction post-voyage et qualité</w:t>
            </w:r>
          </w:p>
        </w:tc>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6 (1) (f) — intérêt légitime</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ans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Communication marketing</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6 (1) (a) — consentement explicite</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ans à compter du dernier contact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Données médicales et accessibilité</w:t>
            </w:r>
          </w:p>
        </w:tc>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9 (2) (a) — consentement explicite + intérêt vital</w:t>
            </w:r>
          </w:p>
        </w:tc>
        <w:tc>
          <w:tcPr>
            <w:tcW w:type="dxa" w:w="2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 du voyage uniquement, suppression sous 30 jours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Réponse aux réclamations</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 6 (1) (b) + (c)</w:t>
            </w:r>
          </w:p>
        </w:tc>
        <w:tc>
          <w:tcPr>
            <w:tcW w:type="dxa" w:w="2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Durée de la réclamation + 5 ans archivage</w:t>
            </w:r>
          </w:p>
        </w:tc>
      </w:tr>
    </w:tbl>
    <w:p>
      <w:pPr>
        <w:spacing w:after="100" w:before="220"/>
      </w:pPr>
      <w:r>
        <w:rPr>
          <w:rFonts w:ascii="Calibri" w:cs="Calibri" w:eastAsia="Calibri" w:hAnsi="Calibri"/>
          <w:b/>
          <w:bCs/>
          <w:color w:val="E87722"/>
          <w:sz w:val="22"/>
          <w:szCs w:val="22"/>
        </w:rPr>
        <w:t xml:space="preserve">5. Destinataires des données</w:t>
      </w:r>
    </w:p>
    <w:p>
      <w:pPr>
        <w:spacing w:after="100" w:line="280"/>
        <w:jc w:val="both"/>
      </w:pPr>
      <w:r>
        <w:rPr>
          <w:rFonts w:ascii="Calibri" w:cs="Calibri" w:eastAsia="Calibri" w:hAnsi="Calibri"/>
          <w:color w:val="1A1A1A"/>
          <w:sz w:val="20"/>
          <w:szCs w:val="20"/>
        </w:rPr>
        <w:t xml:space="preserve">Les données personnelles ne sont communiquées qu'aux destinataires strictement nécessaires à l'exécution du Contrat ou au respect des obligations légales :</w:t>
      </w:r>
    </w:p>
    <w:p>
      <w:pPr>
        <w:pStyle w:val="ListParagraph"/>
        <w:numPr>
          <w:ilvl w:val="0"/>
          <w:numId w:val="2"/>
        </w:numPr>
        <w:spacing w:after="60" w:line="260"/>
      </w:pPr>
      <w:r>
        <w:rPr>
          <w:rFonts w:ascii="Calibri" w:cs="Calibri" w:eastAsia="Calibri" w:hAnsi="Calibri"/>
          <w:sz w:val="20"/>
          <w:szCs w:val="20"/>
        </w:rPr>
        <w:t xml:space="preserve">Personnel interne d'Eventy habilité (équipe opérations, support, finance, conformité).</w:t>
      </w:r>
    </w:p>
    <w:p>
      <w:pPr>
        <w:pStyle w:val="ListParagraph"/>
        <w:numPr>
          <w:ilvl w:val="0"/>
          <w:numId w:val="2"/>
        </w:numPr>
        <w:spacing w:after="60" w:line="260"/>
      </w:pPr>
      <w:r>
        <w:rPr>
          <w:rFonts w:ascii="Calibri" w:cs="Calibri" w:eastAsia="Calibri" w:hAnsi="Calibri"/>
          <w:sz w:val="20"/>
          <w:szCs w:val="20"/>
        </w:rPr>
        <w:t xml:space="preserve">Partenaires HRA — uniquement les données nécessaires à l'exécution de la prestation (nom, allergènes, accessibilité). Engagement de confidentialité contractuel.</w:t>
      </w:r>
    </w:p>
    <w:p>
      <w:pPr>
        <w:pStyle w:val="ListParagraph"/>
        <w:numPr>
          <w:ilvl w:val="0"/>
          <w:numId w:val="2"/>
        </w:numPr>
        <w:spacing w:after="60" w:line="260"/>
      </w:pPr>
      <w:r>
        <w:rPr>
          <w:rFonts w:ascii="Calibri" w:cs="Calibri" w:eastAsia="Calibri" w:hAnsi="Calibri"/>
          <w:sz w:val="20"/>
          <w:szCs w:val="20"/>
        </w:rPr>
        <w:t xml:space="preserve">Transporteurs (autocaristes, compagnies aériennes) — données minimales (nom, prénom, numéro réservation).</w:t>
      </w:r>
    </w:p>
    <w:p>
      <w:pPr>
        <w:pStyle w:val="ListParagraph"/>
        <w:numPr>
          <w:ilvl w:val="0"/>
          <w:numId w:val="2"/>
        </w:numPr>
        <w:spacing w:after="60" w:line="260"/>
      </w:pPr>
      <w:r>
        <w:rPr>
          <w:rFonts w:ascii="Calibri" w:cs="Calibri" w:eastAsia="Calibri" w:hAnsi="Calibri"/>
          <w:sz w:val="20"/>
          <w:szCs w:val="20"/>
        </w:rPr>
        <w:t xml:space="preserve">Accompagnateurs Eventy désignés (sous-traitants au sens de l'article 28 du RGPD) — accès limité à la durée du voyage.</w:t>
      </w:r>
    </w:p>
    <w:p>
      <w:pPr>
        <w:pStyle w:val="ListParagraph"/>
        <w:numPr>
          <w:ilvl w:val="0"/>
          <w:numId w:val="2"/>
        </w:numPr>
        <w:spacing w:after="60" w:line="260"/>
      </w:pPr>
      <w:r>
        <w:rPr>
          <w:rFonts w:ascii="Calibri" w:cs="Calibri" w:eastAsia="Calibri" w:hAnsi="Calibri"/>
          <w:sz w:val="20"/>
          <w:szCs w:val="20"/>
        </w:rPr>
        <w:t xml:space="preserve">Stripe (sous-traitant ultime du paiement) — strictement les jetons de paiement, sous certification PCI-DSS niveau 1.</w:t>
      </w:r>
    </w:p>
    <w:p>
      <w:pPr>
        <w:pStyle w:val="ListParagraph"/>
        <w:numPr>
          <w:ilvl w:val="0"/>
          <w:numId w:val="2"/>
        </w:numPr>
        <w:spacing w:after="60" w:line="260"/>
      </w:pPr>
      <w:r>
        <w:rPr>
          <w:rFonts w:ascii="Calibri" w:cs="Calibri" w:eastAsia="Calibri" w:hAnsi="Calibri"/>
          <w:sz w:val="20"/>
          <w:szCs w:val="20"/>
        </w:rPr>
        <w:t xml:space="preserve">Assureur Pack Sérénité (sous-traitant) — uniquement en cas de sinistre.</w:t>
      </w:r>
    </w:p>
    <w:p>
      <w:pPr>
        <w:pStyle w:val="ListParagraph"/>
        <w:numPr>
          <w:ilvl w:val="0"/>
          <w:numId w:val="2"/>
        </w:numPr>
        <w:spacing w:after="60" w:line="260"/>
      </w:pPr>
      <w:r>
        <w:rPr>
          <w:rFonts w:ascii="Calibri" w:cs="Calibri" w:eastAsia="Calibri" w:hAnsi="Calibri"/>
          <w:sz w:val="20"/>
          <w:szCs w:val="20"/>
        </w:rPr>
        <w:t xml:space="preserve">Administrations et autorités compétentes — sur réquisition légale uniquement (juge, DGCCRF, administration fiscale, etc.).</w:t>
      </w:r>
    </w:p>
    <w:p>
      <w:pPr>
        <w:spacing w:after="100" w:line="280"/>
        <w:jc w:val="both"/>
      </w:pPr>
      <w:r>
        <w:rPr>
          <w:rFonts w:ascii="Calibri" w:cs="Calibri" w:eastAsia="Calibri" w:hAnsi="Calibri"/>
          <w:color w:val="1A1A1A"/>
          <w:sz w:val="20"/>
          <w:szCs w:val="20"/>
        </w:rPr>
        <w:t xml:space="preserve">Aucune donnée n'est vendue, louée ou cédée à des tiers à des fins commerciales sans consentement explicite et révocable du voyageur.</w:t>
      </w:r>
    </w:p>
    <w:p>
      <w:pPr>
        <w:spacing w:after="100" w:before="220"/>
      </w:pPr>
      <w:r>
        <w:rPr>
          <w:rFonts w:ascii="Calibri" w:cs="Calibri" w:eastAsia="Calibri" w:hAnsi="Calibri"/>
          <w:b/>
          <w:bCs/>
          <w:color w:val="E87722"/>
          <w:sz w:val="22"/>
          <w:szCs w:val="22"/>
        </w:rPr>
        <w:t xml:space="preserve">6. Transferts hors Union Européenne</w:t>
      </w:r>
    </w:p>
    <w:p>
      <w:pPr>
        <w:spacing w:after="100" w:line="280"/>
        <w:jc w:val="both"/>
      </w:pPr>
      <w:r>
        <w:rPr>
          <w:rFonts w:ascii="Calibri" w:cs="Calibri" w:eastAsia="Calibri" w:hAnsi="Calibri"/>
          <w:color w:val="1A1A1A"/>
          <w:sz w:val="20"/>
          <w:szCs w:val="20"/>
        </w:rPr>
        <w:t xml:space="preserve">Les données personnelles des voyageurs sont hébergées en France (Scaleway, datacenters parisiens) et ne font l'objet d'aucun transfert hors Union Européenne, à l'exception :</w:t>
      </w:r>
    </w:p>
    <w:p>
      <w:pPr>
        <w:pStyle w:val="ListParagraph"/>
        <w:numPr>
          <w:ilvl w:val="0"/>
          <w:numId w:val="2"/>
        </w:numPr>
        <w:spacing w:after="60" w:line="260"/>
      </w:pPr>
      <w:r>
        <w:rPr>
          <w:rFonts w:ascii="Calibri" w:cs="Calibri" w:eastAsia="Calibri" w:hAnsi="Calibri"/>
          <w:sz w:val="20"/>
          <w:szCs w:val="20"/>
        </w:rPr>
        <w:t xml:space="preserve">Des transferts strictement nécessaires à l'exécution du voyage à destination d'un pays tiers (informations communiquées aux partenaires HRA locaux).</w:t>
      </w:r>
    </w:p>
    <w:p>
      <w:pPr>
        <w:pStyle w:val="ListParagraph"/>
        <w:numPr>
          <w:ilvl w:val="0"/>
          <w:numId w:val="2"/>
        </w:numPr>
        <w:spacing w:after="60" w:line="260"/>
      </w:pPr>
      <w:r>
        <w:rPr>
          <w:rFonts w:ascii="Calibri" w:cs="Calibri" w:eastAsia="Calibri" w:hAnsi="Calibri"/>
          <w:sz w:val="20"/>
          <w:szCs w:val="20"/>
        </w:rPr>
        <w:t xml:space="preserve">De Stripe (États-Unis) pour les jetons de paiement, sous décision d'adéquation Data Privacy Framework (DPF) ou clauses contractuelles types.</w:t>
      </w:r>
    </w:p>
    <w:p>
      <w:pPr>
        <w:pStyle w:val="ListParagraph"/>
        <w:numPr>
          <w:ilvl w:val="0"/>
          <w:numId w:val="2"/>
        </w:numPr>
        <w:spacing w:after="60" w:line="260"/>
      </w:pPr>
      <w:r>
        <w:rPr>
          <w:rFonts w:ascii="Calibri" w:cs="Calibri" w:eastAsia="Calibri" w:hAnsi="Calibri"/>
          <w:sz w:val="20"/>
          <w:szCs w:val="20"/>
        </w:rPr>
        <w:t xml:space="preserve">De Vercel (États-Unis) pour le front-end public — pas de données voyageur sensible (uniquement contenus marketing publics).</w:t>
      </w:r>
    </w:p>
    <w:p>
      <w:pPr>
        <w:spacing w:after="100" w:before="220"/>
      </w:pPr>
      <w:r>
        <w:rPr>
          <w:rFonts w:ascii="Calibri" w:cs="Calibri" w:eastAsia="Calibri" w:hAnsi="Calibri"/>
          <w:b/>
          <w:bCs/>
          <w:color w:val="E87722"/>
          <w:sz w:val="22"/>
          <w:szCs w:val="22"/>
        </w:rPr>
        <w:t xml:space="preserve">7. Droits du voyageur</w:t>
      </w:r>
    </w:p>
    <w:p>
      <w:pPr>
        <w:spacing w:after="100" w:line="280"/>
        <w:jc w:val="both"/>
      </w:pPr>
      <w:r>
        <w:rPr>
          <w:rFonts w:ascii="Calibri" w:cs="Calibri" w:eastAsia="Calibri" w:hAnsi="Calibri"/>
          <w:color w:val="1A1A1A"/>
          <w:sz w:val="20"/>
          <w:szCs w:val="20"/>
        </w:rPr>
        <w:t xml:space="preserve">Conformément aux articles 15 à 22 du RGPD, le voyageur dispose des droits suivants :</w:t>
      </w:r>
    </w:p>
    <w:p>
      <w:pPr>
        <w:pStyle w:val="ListParagraph"/>
        <w:numPr>
          <w:ilvl w:val="0"/>
          <w:numId w:val="2"/>
        </w:numPr>
        <w:spacing w:after="60" w:line="260"/>
      </w:pPr>
      <w:r>
        <w:rPr>
          <w:rFonts w:ascii="Calibri" w:cs="Calibri" w:eastAsia="Calibri" w:hAnsi="Calibri"/>
          <w:sz w:val="20"/>
          <w:szCs w:val="20"/>
        </w:rPr>
        <w:t xml:space="preserve">Droit d'accès — obtenir la copie de ses données personnelles.</w:t>
      </w:r>
    </w:p>
    <w:p>
      <w:pPr>
        <w:pStyle w:val="ListParagraph"/>
        <w:numPr>
          <w:ilvl w:val="0"/>
          <w:numId w:val="2"/>
        </w:numPr>
        <w:spacing w:after="60" w:line="260"/>
      </w:pPr>
      <w:r>
        <w:rPr>
          <w:rFonts w:ascii="Calibri" w:cs="Calibri" w:eastAsia="Calibri" w:hAnsi="Calibri"/>
          <w:sz w:val="20"/>
          <w:szCs w:val="20"/>
        </w:rPr>
        <w:t xml:space="preserve">Droit de rectification — corriger des données inexactes ou incomplètes.</w:t>
      </w:r>
    </w:p>
    <w:p>
      <w:pPr>
        <w:pStyle w:val="ListParagraph"/>
        <w:numPr>
          <w:ilvl w:val="0"/>
          <w:numId w:val="2"/>
        </w:numPr>
        <w:spacing w:after="60" w:line="260"/>
      </w:pPr>
      <w:r>
        <w:rPr>
          <w:rFonts w:ascii="Calibri" w:cs="Calibri" w:eastAsia="Calibri" w:hAnsi="Calibri"/>
          <w:sz w:val="20"/>
          <w:szCs w:val="20"/>
        </w:rPr>
        <w:t xml:space="preserve">Droit à l'effacement (« droit à l'oubli ») — sous réserve des obligations légales de conservation comptable.</w:t>
      </w:r>
    </w:p>
    <w:p>
      <w:pPr>
        <w:pStyle w:val="ListParagraph"/>
        <w:numPr>
          <w:ilvl w:val="0"/>
          <w:numId w:val="2"/>
        </w:numPr>
        <w:spacing w:after="60" w:line="260"/>
      </w:pPr>
      <w:r>
        <w:rPr>
          <w:rFonts w:ascii="Calibri" w:cs="Calibri" w:eastAsia="Calibri" w:hAnsi="Calibri"/>
          <w:sz w:val="20"/>
          <w:szCs w:val="20"/>
        </w:rPr>
        <w:t xml:space="preserve">Droit à la limitation du traitement.</w:t>
      </w:r>
    </w:p>
    <w:p>
      <w:pPr>
        <w:pStyle w:val="ListParagraph"/>
        <w:numPr>
          <w:ilvl w:val="0"/>
          <w:numId w:val="2"/>
        </w:numPr>
        <w:spacing w:after="60" w:line="260"/>
      </w:pPr>
      <w:r>
        <w:rPr>
          <w:rFonts w:ascii="Calibri" w:cs="Calibri" w:eastAsia="Calibri" w:hAnsi="Calibri"/>
          <w:sz w:val="20"/>
          <w:szCs w:val="20"/>
        </w:rPr>
        <w:t xml:space="preserve">Droit à la portabilité — récupérer ses données dans un format structuré, couramment utilisé et lisible par machine.</w:t>
      </w:r>
    </w:p>
    <w:p>
      <w:pPr>
        <w:pStyle w:val="ListParagraph"/>
        <w:numPr>
          <w:ilvl w:val="0"/>
          <w:numId w:val="2"/>
        </w:numPr>
        <w:spacing w:after="60" w:line="260"/>
      </w:pPr>
      <w:r>
        <w:rPr>
          <w:rFonts w:ascii="Calibri" w:cs="Calibri" w:eastAsia="Calibri" w:hAnsi="Calibri"/>
          <w:sz w:val="20"/>
          <w:szCs w:val="20"/>
        </w:rPr>
        <w:t xml:space="preserve">Droit d'opposition — au traitement de ses données pour motifs légitimes ou à des fins de prospection.</w:t>
      </w:r>
    </w:p>
    <w:p>
      <w:pPr>
        <w:pStyle w:val="ListParagraph"/>
        <w:numPr>
          <w:ilvl w:val="0"/>
          <w:numId w:val="2"/>
        </w:numPr>
        <w:spacing w:after="60" w:line="260"/>
      </w:pPr>
      <w:r>
        <w:rPr>
          <w:rFonts w:ascii="Calibri" w:cs="Calibri" w:eastAsia="Calibri" w:hAnsi="Calibri"/>
          <w:sz w:val="20"/>
          <w:szCs w:val="20"/>
        </w:rPr>
        <w:t xml:space="preserve">Droit de retirer son consentement à tout moment, sans remettre en cause la licéité du traitement antérieur.</w:t>
      </w:r>
    </w:p>
    <w:p>
      <w:pPr>
        <w:pStyle w:val="ListParagraph"/>
        <w:numPr>
          <w:ilvl w:val="0"/>
          <w:numId w:val="2"/>
        </w:numPr>
        <w:spacing w:after="60" w:line="260"/>
      </w:pPr>
      <w:r>
        <w:rPr>
          <w:rFonts w:ascii="Calibri" w:cs="Calibri" w:eastAsia="Calibri" w:hAnsi="Calibri"/>
          <w:sz w:val="20"/>
          <w:szCs w:val="20"/>
        </w:rPr>
        <w:t xml:space="preserve">Droit de définir des directives post-mortem sur le sort de ses données.</w:t>
      </w:r>
    </w:p>
    <w:p>
      <w:pPr>
        <w:spacing w:after="100" w:line="280"/>
        <w:jc w:val="both"/>
      </w:pPr>
      <w:r>
        <w:rPr>
          <w:rFonts w:ascii="Calibri" w:cs="Calibri" w:eastAsia="Calibri" w:hAnsi="Calibri"/>
          <w:color w:val="1A1A1A"/>
          <w:sz w:val="20"/>
          <w:szCs w:val="20"/>
        </w:rPr>
        <w:t xml:space="preserve">Ces droits s'exercent par simple demande à dpo@eventylife.fr ou par courrier au siège social. Eventy s'engage à répondre dans un délai d'un (1) mois maximum, prolongeable de deux (2) mois en cas de complexité justifiée. La justification d'identité peut être demandée si un doute raisonnable existe sur l'identité du demandeur.</w:t>
      </w:r>
    </w:p>
    <w:p>
      <w:pPr>
        <w:spacing w:after="100" w:before="220"/>
      </w:pPr>
      <w:r>
        <w:rPr>
          <w:rFonts w:ascii="Calibri" w:cs="Calibri" w:eastAsia="Calibri" w:hAnsi="Calibri"/>
          <w:b/>
          <w:bCs/>
          <w:color w:val="E87722"/>
          <w:sz w:val="22"/>
          <w:szCs w:val="22"/>
        </w:rPr>
        <w:t xml:space="preserve">8. Réclamation auprès de la CNIL</w:t>
      </w:r>
    </w:p>
    <w:p>
      <w:pPr>
        <w:spacing w:after="100" w:line="280"/>
        <w:jc w:val="both"/>
      </w:pPr>
      <w:r>
        <w:rPr>
          <w:rFonts w:ascii="Calibri" w:cs="Calibri" w:eastAsia="Calibri" w:hAnsi="Calibri"/>
          <w:color w:val="1A1A1A"/>
          <w:sz w:val="20"/>
          <w:szCs w:val="20"/>
        </w:rPr>
        <w:t xml:space="preserve">En cas de désaccord avec la réponse d'Eventy ou avec un traitement de ses données, le voyageur peut introduire une réclamation auprès de la Commission Nationale de l'Informatique et des Libertés (CNIL) — 3 Place de Fontenoy, 75007 Paris — cnil.fr — Téléphone : 01 53 73 22 22.</w:t>
      </w:r>
    </w:p>
    <w:p>
      <w:pPr>
        <w:spacing w:after="100" w:before="220"/>
      </w:pPr>
      <w:r>
        <w:rPr>
          <w:rFonts w:ascii="Calibri" w:cs="Calibri" w:eastAsia="Calibri" w:hAnsi="Calibri"/>
          <w:b/>
          <w:bCs/>
          <w:color w:val="E87722"/>
          <w:sz w:val="22"/>
          <w:szCs w:val="22"/>
        </w:rPr>
        <w:t xml:space="preserve">9. Sécurité des données</w:t>
      </w:r>
    </w:p>
    <w:p>
      <w:pPr>
        <w:spacing w:after="100" w:line="280"/>
        <w:jc w:val="both"/>
      </w:pPr>
      <w:r>
        <w:rPr>
          <w:rFonts w:ascii="Calibri" w:cs="Calibri" w:eastAsia="Calibri" w:hAnsi="Calibri"/>
          <w:color w:val="1A1A1A"/>
          <w:sz w:val="20"/>
          <w:szCs w:val="20"/>
        </w:rPr>
        <w:t xml:space="preserve">Eventy met en œuvre les mesures techniques et organisationnelles appropriées pour garantir un niveau de sécurité adapté au risque, conformément à l'article 32 du RGPD :</w:t>
      </w:r>
    </w:p>
    <w:p>
      <w:pPr>
        <w:pStyle w:val="ListParagraph"/>
        <w:numPr>
          <w:ilvl w:val="0"/>
          <w:numId w:val="2"/>
        </w:numPr>
        <w:spacing w:after="60" w:line="260"/>
      </w:pPr>
      <w:r>
        <w:rPr>
          <w:rFonts w:ascii="Calibri" w:cs="Calibri" w:eastAsia="Calibri" w:hAnsi="Calibri"/>
          <w:sz w:val="20"/>
          <w:szCs w:val="20"/>
        </w:rPr>
        <w:t xml:space="preserve">Chiffrement des données au repos (PostgreSQL chiffré côté infrastructure).</w:t>
      </w:r>
    </w:p>
    <w:p>
      <w:pPr>
        <w:pStyle w:val="ListParagraph"/>
        <w:numPr>
          <w:ilvl w:val="0"/>
          <w:numId w:val="2"/>
        </w:numPr>
        <w:spacing w:after="60" w:line="260"/>
      </w:pPr>
      <w:r>
        <w:rPr>
          <w:rFonts w:ascii="Calibri" w:cs="Calibri" w:eastAsia="Calibri" w:hAnsi="Calibri"/>
          <w:sz w:val="20"/>
          <w:szCs w:val="20"/>
        </w:rPr>
        <w:t xml:space="preserve">Chiffrement des données en transit (TLS 1.3, certificats automatisés).</w:t>
      </w:r>
    </w:p>
    <w:p>
      <w:pPr>
        <w:pStyle w:val="ListParagraph"/>
        <w:numPr>
          <w:ilvl w:val="0"/>
          <w:numId w:val="2"/>
        </w:numPr>
        <w:spacing w:after="60" w:line="260"/>
      </w:pPr>
      <w:r>
        <w:rPr>
          <w:rFonts w:ascii="Calibri" w:cs="Calibri" w:eastAsia="Calibri" w:hAnsi="Calibri"/>
          <w:sz w:val="20"/>
          <w:szCs w:val="20"/>
        </w:rPr>
        <w:t xml:space="preserve">Hébergement en France (Scaleway, certifié ISO 27001 / HDS pour les données de santé).</w:t>
      </w:r>
    </w:p>
    <w:p>
      <w:pPr>
        <w:pStyle w:val="ListParagraph"/>
        <w:numPr>
          <w:ilvl w:val="0"/>
          <w:numId w:val="2"/>
        </w:numPr>
        <w:spacing w:after="60" w:line="260"/>
      </w:pPr>
      <w:r>
        <w:rPr>
          <w:rFonts w:ascii="Calibri" w:cs="Calibri" w:eastAsia="Calibri" w:hAnsi="Calibri"/>
          <w:sz w:val="20"/>
          <w:szCs w:val="20"/>
        </w:rPr>
        <w:t xml:space="preserve">Sauvegardes journalières chiffrées vers un second site européen.</w:t>
      </w:r>
    </w:p>
    <w:p>
      <w:pPr>
        <w:pStyle w:val="ListParagraph"/>
        <w:numPr>
          <w:ilvl w:val="0"/>
          <w:numId w:val="2"/>
        </w:numPr>
        <w:spacing w:after="60" w:line="260"/>
      </w:pPr>
      <w:r>
        <w:rPr>
          <w:rFonts w:ascii="Calibri" w:cs="Calibri" w:eastAsia="Calibri" w:hAnsi="Calibri"/>
          <w:sz w:val="20"/>
          <w:szCs w:val="20"/>
        </w:rPr>
        <w:t xml:space="preserve">Procédure de restauration testée trimestriellement.</w:t>
      </w:r>
    </w:p>
    <w:p>
      <w:pPr>
        <w:pStyle w:val="ListParagraph"/>
        <w:numPr>
          <w:ilvl w:val="0"/>
          <w:numId w:val="2"/>
        </w:numPr>
        <w:spacing w:after="60" w:line="260"/>
      </w:pPr>
      <w:r>
        <w:rPr>
          <w:rFonts w:ascii="Calibri" w:cs="Calibri" w:eastAsia="Calibri" w:hAnsi="Calibri"/>
          <w:sz w:val="20"/>
          <w:szCs w:val="20"/>
        </w:rPr>
        <w:t xml:space="preserve">Authentification forte des accès administratifs (2FA obligatoire).</w:t>
      </w:r>
    </w:p>
    <w:p>
      <w:pPr>
        <w:pStyle w:val="ListParagraph"/>
        <w:numPr>
          <w:ilvl w:val="0"/>
          <w:numId w:val="2"/>
        </w:numPr>
        <w:spacing w:after="60" w:line="260"/>
      </w:pPr>
      <w:r>
        <w:rPr>
          <w:rFonts w:ascii="Calibri" w:cs="Calibri" w:eastAsia="Calibri" w:hAnsi="Calibri"/>
          <w:sz w:val="20"/>
          <w:szCs w:val="20"/>
        </w:rPr>
        <w:t xml:space="preserve">Journalisation et audit des accès aux données sensibles.</w:t>
      </w:r>
    </w:p>
    <w:p>
      <w:pPr>
        <w:pStyle w:val="ListParagraph"/>
        <w:numPr>
          <w:ilvl w:val="0"/>
          <w:numId w:val="2"/>
        </w:numPr>
        <w:spacing w:after="60" w:line="260"/>
      </w:pPr>
      <w:r>
        <w:rPr>
          <w:rFonts w:ascii="Calibri" w:cs="Calibri" w:eastAsia="Calibri" w:hAnsi="Calibri"/>
          <w:sz w:val="20"/>
          <w:szCs w:val="20"/>
        </w:rPr>
        <w:t xml:space="preserve">Formation et sensibilisation de l'équipe Eventy à la protection des données.</w:t>
      </w:r>
    </w:p>
    <w:p>
      <w:pPr>
        <w:spacing w:after="100" w:before="220"/>
      </w:pPr>
      <w:r>
        <w:rPr>
          <w:rFonts w:ascii="Calibri" w:cs="Calibri" w:eastAsia="Calibri" w:hAnsi="Calibri"/>
          <w:b/>
          <w:bCs/>
          <w:color w:val="E87722"/>
          <w:sz w:val="22"/>
          <w:szCs w:val="22"/>
        </w:rPr>
        <w:t xml:space="preserve">10. Notification de violation de données</w:t>
      </w:r>
    </w:p>
    <w:p>
      <w:pPr>
        <w:spacing w:after="100" w:line="280"/>
        <w:jc w:val="both"/>
      </w:pPr>
      <w:r>
        <w:rPr>
          <w:rFonts w:ascii="Calibri" w:cs="Calibri" w:eastAsia="Calibri" w:hAnsi="Calibri"/>
          <w:color w:val="1A1A1A"/>
          <w:sz w:val="20"/>
          <w:szCs w:val="20"/>
        </w:rPr>
        <w:t xml:space="preserve">En cas de violation de données personnelles susceptible d'engendrer un risque pour les droits et libertés des personnes concernées, Eventy s'engage à notifier la CNIL sous 72 heures au plus tard à compter de la prise de connaissance, conformément à l'article 33 du RGPD. Si le risque est élevé, les voyageurs concernés sont également informés sans délai conformément à l'article 34.</w:t>
      </w:r>
    </w:p>
    <w:p>
      <w:pPr>
        <w:spacing w:after="100" w:before="220"/>
      </w:pPr>
      <w:r>
        <w:rPr>
          <w:rFonts w:ascii="Calibri" w:cs="Calibri" w:eastAsia="Calibri" w:hAnsi="Calibri"/>
          <w:b/>
          <w:bCs/>
          <w:color w:val="E87722"/>
          <w:sz w:val="22"/>
          <w:szCs w:val="22"/>
        </w:rPr>
        <w:t xml:space="preserve">11. Cookies et traceurs</w:t>
      </w:r>
    </w:p>
    <w:p>
      <w:pPr>
        <w:spacing w:after="100" w:line="280"/>
        <w:jc w:val="both"/>
      </w:pPr>
      <w:r>
        <w:rPr>
          <w:rFonts w:ascii="Calibri" w:cs="Calibri" w:eastAsia="Calibri" w:hAnsi="Calibri"/>
          <w:color w:val="1A1A1A"/>
          <w:sz w:val="20"/>
          <w:szCs w:val="20"/>
        </w:rPr>
        <w:t xml:space="preserve">Le site eventylife.fr utilise des cookies dont le fonctionnement est détaillé dans la Politique Cookies dédiée, accessible sur eventylife.fr/cookies.</w:t>
      </w:r>
    </w:p>
    <w:p>
      <w:pPr>
        <w:spacing w:after="100" w:before="220"/>
      </w:pPr>
      <w:r>
        <w:rPr>
          <w:rFonts w:ascii="Calibri" w:cs="Calibri" w:eastAsia="Calibri" w:hAnsi="Calibri"/>
          <w:b/>
          <w:bCs/>
          <w:color w:val="E87722"/>
          <w:sz w:val="22"/>
          <w:szCs w:val="22"/>
        </w:rPr>
        <w:t xml:space="preserve">12. Modifications de la politique de confidentialité</w:t>
      </w:r>
    </w:p>
    <w:p>
      <w:pPr>
        <w:spacing w:after="100" w:line="280"/>
        <w:jc w:val="both"/>
      </w:pPr>
      <w:r>
        <w:rPr>
          <w:rFonts w:ascii="Calibri" w:cs="Calibri" w:eastAsia="Calibri" w:hAnsi="Calibri"/>
          <w:color w:val="1A1A1A"/>
          <w:sz w:val="20"/>
          <w:szCs w:val="20"/>
        </w:rPr>
        <w:t xml:space="preserve">La présente politique peut être modifiée à tout moment pour refléter une évolution réglementaire ou des modifications opérationnelles. Toute modification substantielle sera notifiée aux voyageurs ayant un Contrat en cours par email, et publiée sur eventylife.fr avec mention de la date d'entrée en vigueur.</w:t>
      </w:r>
    </w:p>
    <w:p>
      <w:pPr>
        <w:spacing w:after="180"/>
      </w:pPr>
      <w:r>
        <w:t xml:space="preserve"/>
      </w:r>
    </w:p>
    <w:p>
      <w:pPr>
        <w:spacing w:after="100" w:line="280"/>
        <w:jc w:val="both"/>
      </w:pPr>
      <w:r>
        <w:rPr>
          <w:rFonts w:ascii="Calibri" w:cs="Calibri" w:eastAsia="Calibri" w:hAnsi="Calibri"/>
          <w:i/>
          <w:iCs/>
          <w:color w:val="555555"/>
          <w:sz w:val="20"/>
          <w:szCs w:val="20"/>
        </w:rPr>
        <w:t xml:space="preserve">Date d'entrée en vigueur : 30 avril 2026.</w:t>
      </w:r>
    </w:p>
    <w:p>
      <w:pPr>
        <w:spacing w:after="100" w:line="280"/>
        <w:jc w:val="both"/>
      </w:pPr>
      <w:r>
        <w:rPr>
          <w:rFonts w:ascii="Calibri" w:cs="Calibri" w:eastAsia="Calibri" w:hAnsi="Calibri"/>
          <w:i/>
          <w:iCs/>
          <w:color w:val="555555"/>
          <w:sz w:val="20"/>
          <w:szCs w:val="20"/>
        </w:rPr>
        <w:t xml:space="preserve">Version 1.0 — La présente politique se veut intelligible. Pour toute question, contacter dpo@eventylife.fr.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de Confidentialité RGPD</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de Confidentialité RGPD</dc:title>
  <dc:creator>David Eventy — Eventy Life SAS</dc:creator>
  <dc:description>Politique de confidentialité conforme RGPD et loi Informatique et Libertés.</dc:description>
  <cp:lastModifiedBy>Un-named</cp:lastModifiedBy>
  <cp:revision>1</cp:revision>
  <dcterms:created xsi:type="dcterms:W3CDTF">2026-04-30T07:23:51.486Z</dcterms:created>
  <dcterms:modified xsi:type="dcterms:W3CDTF">2026-04-30T07:23:51.487Z</dcterms:modified>
</cp:coreProperties>
</file>

<file path=docProps/custom.xml><?xml version="1.0" encoding="utf-8"?>
<Properties xmlns="http://schemas.openxmlformats.org/officeDocument/2006/custom-properties" xmlns:vt="http://schemas.openxmlformats.org/officeDocument/2006/docPropsVTypes"/>
</file>