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CONSIGNES SÉCURITÉ DESTINATION EVENTY</w:t>
            </w:r>
          </w:p>
          <w:p>
            <w:pPr>
              <w:spacing w:after="0"/>
              <w:jc w:val="center"/>
            </w:pPr>
            <w:r>
              <w:rPr>
                <w:rFonts w:ascii="Calibri" w:cs="Calibri" w:eastAsia="Calibri" w:hAnsi="Calibri"/>
                <w:i/>
                <w:iCs/>
                <w:color w:val="1F4E79"/>
                <w:sz w:val="18"/>
                <w:szCs w:val="18"/>
              </w:rPr>
              <w:t xml:space="preserve">Modèle de fiche pays — référentiel équipe et voyageurs</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document est le modèle-type de fiche sécurité que prépare EVENTY LIFE SAS pour chaque destination internationale (et certaines destinations France métropolitaine sensibles). Il est remis aux voyageurs avant le départ et utilisé en interne par l'accompagnateur.</w:t>
      </w:r>
    </w:p>
    <w:p>
      <w:pPr>
        <w:spacing w:after="100" w:line="280"/>
        <w:jc w:val="both"/>
      </w:pPr>
      <w:r>
        <w:rPr>
          <w:rFonts w:ascii="Calibri" w:cs="Calibri" w:eastAsia="Calibri" w:hAnsi="Calibri"/>
          <w:i/>
          <w:iCs/>
          <w:color w:val="1A1A1A"/>
          <w:sz w:val="20"/>
          <w:szCs w:val="20"/>
        </w:rPr>
        <w:t xml:space="preserve">L'objectif n'est pas d'effrayer les voyageurs, mais de les informer honnêtement et de leur permettre de voyager sereinement. La grande majorité des voyages se déroulent sans incident — la fiche sert avant tout à anticiper les rares cas où un voyageur a besoin d'un repère.</w:t>
      </w:r>
    </w:p>
    <w:p>
      <w:pPr>
        <w:spacing w:after="160" w:before="240"/>
      </w:pPr>
      <w:r>
        <w:rPr>
          <w:rFonts w:ascii="Calibri" w:cs="Calibri" w:eastAsia="Calibri" w:hAnsi="Calibri"/>
          <w:b/>
          <w:bCs/>
          <w:color w:val="1F4E79"/>
          <w:sz w:val="32"/>
          <w:szCs w:val="32"/>
        </w:rPr>
        <w:t xml:space="preserve">1. En-tête de la fiche pays</w:t>
      </w:r>
    </w:p>
    <w:p>
      <w:pPr>
        <w:spacing w:after="100" w:before="220"/>
      </w:pPr>
      <w:r>
        <w:rPr>
          <w:rFonts w:ascii="Calibri" w:cs="Calibri" w:eastAsia="Calibri" w:hAnsi="Calibri"/>
          <w:b/>
          <w:bCs/>
          <w:color w:val="E87722"/>
          <w:sz w:val="22"/>
          <w:szCs w:val="22"/>
        </w:rPr>
        <w:t xml:space="preserve">1.1. Identité</w:t>
      </w:r>
    </w:p>
    <w:p>
      <w:pPr>
        <w:pStyle w:val="ListParagraph"/>
        <w:numPr>
          <w:ilvl w:val="0"/>
          <w:numId w:val="2"/>
        </w:numPr>
        <w:spacing w:after="60" w:line="260"/>
      </w:pPr>
      <w:r>
        <w:rPr>
          <w:rFonts w:ascii="Calibri" w:cs="Calibri" w:eastAsia="Calibri" w:hAnsi="Calibri"/>
          <w:sz w:val="20"/>
          <w:szCs w:val="20"/>
        </w:rPr>
        <w:t xml:space="preserve">Pays / Région / Ville(s) du voyage.</w:t>
      </w:r>
    </w:p>
    <w:p>
      <w:pPr>
        <w:pStyle w:val="ListParagraph"/>
        <w:numPr>
          <w:ilvl w:val="0"/>
          <w:numId w:val="2"/>
        </w:numPr>
        <w:spacing w:after="60" w:line="260"/>
      </w:pPr>
      <w:r>
        <w:rPr>
          <w:rFonts w:ascii="Calibri" w:cs="Calibri" w:eastAsia="Calibri" w:hAnsi="Calibri"/>
          <w:sz w:val="20"/>
          <w:szCs w:val="20"/>
        </w:rPr>
        <w:t xml:space="preserve">Numéro de voyage Eventy [YYYYMM-VOY-XXX].</w:t>
      </w:r>
    </w:p>
    <w:p>
      <w:pPr>
        <w:pStyle w:val="ListParagraph"/>
        <w:numPr>
          <w:ilvl w:val="0"/>
          <w:numId w:val="2"/>
        </w:numPr>
        <w:spacing w:after="60" w:line="260"/>
      </w:pPr>
      <w:r>
        <w:rPr>
          <w:rFonts w:ascii="Calibri" w:cs="Calibri" w:eastAsia="Calibri" w:hAnsi="Calibri"/>
          <w:sz w:val="20"/>
          <w:szCs w:val="20"/>
        </w:rPr>
        <w:t xml:space="preserve">Période du voyage.</w:t>
      </w:r>
    </w:p>
    <w:p>
      <w:pPr>
        <w:pStyle w:val="ListParagraph"/>
        <w:numPr>
          <w:ilvl w:val="0"/>
          <w:numId w:val="2"/>
        </w:numPr>
        <w:spacing w:after="60" w:line="260"/>
      </w:pPr>
      <w:r>
        <w:rPr>
          <w:rFonts w:ascii="Calibri" w:cs="Calibri" w:eastAsia="Calibri" w:hAnsi="Calibri"/>
          <w:sz w:val="20"/>
          <w:szCs w:val="20"/>
        </w:rPr>
        <w:t xml:space="preserve">Date de mise à jour de la fiche (validité 6 mois).</w:t>
      </w:r>
    </w:p>
    <w:p>
      <w:pPr>
        <w:spacing w:after="100" w:before="220"/>
      </w:pPr>
      <w:r>
        <w:rPr>
          <w:rFonts w:ascii="Calibri" w:cs="Calibri" w:eastAsia="Calibri" w:hAnsi="Calibri"/>
          <w:b/>
          <w:bCs/>
          <w:color w:val="E87722"/>
          <w:sz w:val="22"/>
          <w:szCs w:val="22"/>
        </w:rPr>
        <w:t xml:space="preserve">1.2. Niveau de vigilance MEAE</w:t>
      </w:r>
    </w:p>
    <w:p>
      <w:pPr>
        <w:pStyle w:val="ListParagraph"/>
        <w:numPr>
          <w:ilvl w:val="0"/>
          <w:numId w:val="2"/>
        </w:numPr>
        <w:spacing w:after="60" w:line="260"/>
      </w:pPr>
      <w:r>
        <w:rPr>
          <w:rFonts w:ascii="Calibri" w:cs="Calibri" w:eastAsia="Calibri" w:hAnsi="Calibri"/>
          <w:sz w:val="20"/>
          <w:szCs w:val="20"/>
        </w:rPr>
        <w:t xml:space="preserve">Source : France Diplomatie — diplomatie.gouv.fr/conseils-aux-voyageurs.</w:t>
      </w:r>
    </w:p>
    <w:p>
      <w:pPr>
        <w:pStyle w:val="ListParagraph"/>
        <w:numPr>
          <w:ilvl w:val="0"/>
          <w:numId w:val="2"/>
        </w:numPr>
        <w:spacing w:after="60" w:line="260"/>
      </w:pPr>
      <w:r>
        <w:rPr>
          <w:rFonts w:ascii="Calibri" w:cs="Calibri" w:eastAsia="Calibri" w:hAnsi="Calibri"/>
          <w:sz w:val="20"/>
          <w:szCs w:val="20"/>
        </w:rPr>
        <w:t xml:space="preserve">Code couleur : Vert (vigilance normale), Jaune (vigilance renforcée), Orange (déconseillé sauf raison impérative), Rouge (formellement déconseillé).</w:t>
      </w:r>
    </w:p>
    <w:p>
      <w:pPr>
        <w:pStyle w:val="ListParagraph"/>
        <w:numPr>
          <w:ilvl w:val="0"/>
          <w:numId w:val="2"/>
        </w:numPr>
        <w:spacing w:after="60" w:line="260"/>
      </w:pPr>
      <w:r>
        <w:rPr>
          <w:rFonts w:ascii="Calibri" w:cs="Calibri" w:eastAsia="Calibri" w:hAnsi="Calibri"/>
          <w:sz w:val="20"/>
          <w:szCs w:val="20"/>
        </w:rPr>
        <w:t xml:space="preserve">Eventy n'opère que sur destinations classées Vert ou Jaune (cohérence Grille de décision destinations).</w:t>
      </w:r>
    </w:p>
    <w:p>
      <w:pPr>
        <w:spacing w:after="160" w:before="240"/>
      </w:pPr>
      <w:r>
        <w:rPr>
          <w:rFonts w:ascii="Calibri" w:cs="Calibri" w:eastAsia="Calibri" w:hAnsi="Calibri"/>
          <w:b/>
          <w:bCs/>
          <w:color w:val="1F4E79"/>
          <w:sz w:val="32"/>
          <w:szCs w:val="32"/>
        </w:rPr>
        <w:t xml:space="preserve">2. Contacts d'urgence</w:t>
      </w:r>
    </w:p>
    <w:p>
      <w:pPr>
        <w:spacing w:after="100" w:before="220"/>
      </w:pPr>
      <w:r>
        <w:rPr>
          <w:rFonts w:ascii="Calibri" w:cs="Calibri" w:eastAsia="Calibri" w:hAnsi="Calibri"/>
          <w:b/>
          <w:bCs/>
          <w:color w:val="E87722"/>
          <w:sz w:val="22"/>
          <w:szCs w:val="22"/>
        </w:rPr>
        <w:t xml:space="preserve">2.1. Contacts Eventy</w:t>
      </w:r>
    </w:p>
    <w:p>
      <w:pPr>
        <w:pStyle w:val="ListParagraph"/>
        <w:numPr>
          <w:ilvl w:val="0"/>
          <w:numId w:val="2"/>
        </w:numPr>
        <w:spacing w:after="60" w:line="260"/>
      </w:pPr>
      <w:r>
        <w:rPr>
          <w:rFonts w:ascii="Calibri" w:cs="Calibri" w:eastAsia="Calibri" w:hAnsi="Calibri"/>
          <w:sz w:val="20"/>
          <w:szCs w:val="20"/>
        </w:rPr>
        <w:t xml:space="preserve">Accompagnateur Eventy sur place : [Nom + numéro WhatsApp + numéro local].</w:t>
      </w:r>
    </w:p>
    <w:p>
      <w:pPr>
        <w:pStyle w:val="ListParagraph"/>
        <w:numPr>
          <w:ilvl w:val="0"/>
          <w:numId w:val="2"/>
        </w:numPr>
        <w:spacing w:after="60" w:line="260"/>
      </w:pPr>
      <w:r>
        <w:rPr>
          <w:rFonts w:ascii="Calibri" w:cs="Calibri" w:eastAsia="Calibri" w:hAnsi="Calibri"/>
          <w:sz w:val="20"/>
          <w:szCs w:val="20"/>
        </w:rPr>
        <w:t xml:space="preserve">Ligne d'urgence Eventy 24/7 : [Numéro central].</w:t>
      </w:r>
    </w:p>
    <w:p>
      <w:pPr>
        <w:pStyle w:val="ListParagraph"/>
        <w:numPr>
          <w:ilvl w:val="0"/>
          <w:numId w:val="2"/>
        </w:numPr>
        <w:spacing w:after="60" w:line="260"/>
      </w:pPr>
      <w:r>
        <w:rPr>
          <w:rFonts w:ascii="Calibri" w:cs="Calibri" w:eastAsia="Calibri" w:hAnsi="Calibri"/>
          <w:sz w:val="20"/>
          <w:szCs w:val="20"/>
        </w:rPr>
        <w:t xml:space="preserve">Email urgence : urgence@eventylife.fr.</w:t>
      </w:r>
    </w:p>
    <w:p>
      <w:pPr>
        <w:pStyle w:val="ListParagraph"/>
        <w:numPr>
          <w:ilvl w:val="0"/>
          <w:numId w:val="2"/>
        </w:numPr>
        <w:spacing w:after="60" w:line="260"/>
      </w:pPr>
      <w:r>
        <w:rPr>
          <w:rFonts w:ascii="Calibri" w:cs="Calibri" w:eastAsia="Calibri" w:hAnsi="Calibri"/>
          <w:sz w:val="20"/>
          <w:szCs w:val="20"/>
        </w:rPr>
        <w:t xml:space="preserve">Pack Sérénité (assistance, rapatriement) : [Numéro assureur + référence dossier].</w:t>
      </w:r>
    </w:p>
    <w:p>
      <w:pPr>
        <w:spacing w:after="100" w:before="220"/>
      </w:pPr>
      <w:r>
        <w:rPr>
          <w:rFonts w:ascii="Calibri" w:cs="Calibri" w:eastAsia="Calibri" w:hAnsi="Calibri"/>
          <w:b/>
          <w:bCs/>
          <w:color w:val="E87722"/>
          <w:sz w:val="22"/>
          <w:szCs w:val="22"/>
        </w:rPr>
        <w:t xml:space="preserve">2.2. Contacts officiels</w:t>
      </w:r>
    </w:p>
    <w:p>
      <w:pPr>
        <w:pStyle w:val="ListParagraph"/>
        <w:numPr>
          <w:ilvl w:val="0"/>
          <w:numId w:val="2"/>
        </w:numPr>
        <w:spacing w:after="60" w:line="260"/>
      </w:pPr>
      <w:r>
        <w:rPr>
          <w:rFonts w:ascii="Calibri" w:cs="Calibri" w:eastAsia="Calibri" w:hAnsi="Calibri"/>
          <w:sz w:val="20"/>
          <w:szCs w:val="20"/>
        </w:rPr>
        <w:t xml:space="preserve">Numéros d'urgence locaux (police, ambulance, pompiers) — équivalents 112.</w:t>
      </w:r>
    </w:p>
    <w:p>
      <w:pPr>
        <w:pStyle w:val="ListParagraph"/>
        <w:numPr>
          <w:ilvl w:val="0"/>
          <w:numId w:val="2"/>
        </w:numPr>
        <w:spacing w:after="60" w:line="260"/>
      </w:pPr>
      <w:r>
        <w:rPr>
          <w:rFonts w:ascii="Calibri" w:cs="Calibri" w:eastAsia="Calibri" w:hAnsi="Calibri"/>
          <w:sz w:val="20"/>
          <w:szCs w:val="20"/>
        </w:rPr>
        <w:t xml:space="preserve">Ambassade ou consulat de France — adresse, téléphone, horaires.</w:t>
      </w:r>
    </w:p>
    <w:p>
      <w:pPr>
        <w:pStyle w:val="ListParagraph"/>
        <w:numPr>
          <w:ilvl w:val="0"/>
          <w:numId w:val="2"/>
        </w:numPr>
        <w:spacing w:after="60" w:line="260"/>
      </w:pPr>
      <w:r>
        <w:rPr>
          <w:rFonts w:ascii="Calibri" w:cs="Calibri" w:eastAsia="Calibri" w:hAnsi="Calibri"/>
          <w:sz w:val="20"/>
          <w:szCs w:val="20"/>
        </w:rPr>
        <w:t xml:space="preserve">Centre médical d'urgence le plus proche du lieu d'hébergement.</w:t>
      </w:r>
    </w:p>
    <w:p>
      <w:pPr>
        <w:pStyle w:val="ListParagraph"/>
        <w:numPr>
          <w:ilvl w:val="0"/>
          <w:numId w:val="2"/>
        </w:numPr>
        <w:spacing w:after="60" w:line="260"/>
      </w:pPr>
      <w:r>
        <w:rPr>
          <w:rFonts w:ascii="Calibri" w:cs="Calibri" w:eastAsia="Calibri" w:hAnsi="Calibri"/>
          <w:sz w:val="20"/>
          <w:szCs w:val="20"/>
        </w:rPr>
        <w:t xml:space="preserve">Inscription au Fil d'Ariane MEAE (recommandée) — diplomatie.gouv.fr/ariane.</w:t>
      </w:r>
    </w:p>
    <w:p>
      <w:pPr>
        <w:spacing w:after="160" w:before="240"/>
      </w:pPr>
      <w:r>
        <w:rPr>
          <w:rFonts w:ascii="Calibri" w:cs="Calibri" w:eastAsia="Calibri" w:hAnsi="Calibri"/>
          <w:b/>
          <w:bCs/>
          <w:color w:val="1F4E79"/>
          <w:sz w:val="32"/>
          <w:szCs w:val="32"/>
        </w:rPr>
        <w:t xml:space="preserve">3. Sécurité générale</w:t>
      </w:r>
    </w:p>
    <w:p>
      <w:pPr>
        <w:spacing w:after="100" w:before="220"/>
      </w:pPr>
      <w:r>
        <w:rPr>
          <w:rFonts w:ascii="Calibri" w:cs="Calibri" w:eastAsia="Calibri" w:hAnsi="Calibri"/>
          <w:b/>
          <w:bCs/>
          <w:color w:val="E87722"/>
          <w:sz w:val="22"/>
          <w:szCs w:val="22"/>
        </w:rPr>
        <w:t xml:space="preserve">3.1. Niveau de risque sécuritaire</w:t>
      </w:r>
    </w:p>
    <w:p>
      <w:pPr>
        <w:pStyle w:val="ListParagraph"/>
        <w:numPr>
          <w:ilvl w:val="0"/>
          <w:numId w:val="2"/>
        </w:numPr>
        <w:spacing w:after="60" w:line="260"/>
      </w:pPr>
      <w:r>
        <w:rPr>
          <w:rFonts w:ascii="Calibri" w:cs="Calibri" w:eastAsia="Calibri" w:hAnsi="Calibri"/>
          <w:sz w:val="20"/>
          <w:szCs w:val="20"/>
        </w:rPr>
        <w:t xml:space="preserve">Synthèse en 3 lignes du niveau de risque (très faible / faible / modéré).</w:t>
      </w:r>
    </w:p>
    <w:p>
      <w:pPr>
        <w:pStyle w:val="ListParagraph"/>
        <w:numPr>
          <w:ilvl w:val="0"/>
          <w:numId w:val="2"/>
        </w:numPr>
        <w:spacing w:after="60" w:line="260"/>
      </w:pPr>
      <w:r>
        <w:rPr>
          <w:rFonts w:ascii="Calibri" w:cs="Calibri" w:eastAsia="Calibri" w:hAnsi="Calibri"/>
          <w:sz w:val="20"/>
          <w:szCs w:val="20"/>
        </w:rPr>
        <w:t xml:space="preserve">Zones spécifiques à éviter (quartiers, sites).</w:t>
      </w:r>
    </w:p>
    <w:p>
      <w:pPr>
        <w:pStyle w:val="ListParagraph"/>
        <w:numPr>
          <w:ilvl w:val="0"/>
          <w:numId w:val="2"/>
        </w:numPr>
        <w:spacing w:after="60" w:line="260"/>
      </w:pPr>
      <w:r>
        <w:rPr>
          <w:rFonts w:ascii="Calibri" w:cs="Calibri" w:eastAsia="Calibri" w:hAnsi="Calibri"/>
          <w:sz w:val="20"/>
          <w:szCs w:val="20"/>
        </w:rPr>
        <w:t xml:space="preserve">Zones touristiques sécurisées (où le voyage se concentre).</w:t>
      </w:r>
    </w:p>
    <w:p>
      <w:pPr>
        <w:spacing w:after="100" w:before="220"/>
      </w:pPr>
      <w:r>
        <w:rPr>
          <w:rFonts w:ascii="Calibri" w:cs="Calibri" w:eastAsia="Calibri" w:hAnsi="Calibri"/>
          <w:b/>
          <w:bCs/>
          <w:color w:val="E87722"/>
          <w:sz w:val="22"/>
          <w:szCs w:val="22"/>
        </w:rPr>
        <w:t xml:space="preserve">3.2. Risques courants à connaître</w:t>
      </w:r>
    </w:p>
    <w:p>
      <w:pPr>
        <w:pStyle w:val="ListParagraph"/>
        <w:numPr>
          <w:ilvl w:val="0"/>
          <w:numId w:val="2"/>
        </w:numPr>
        <w:spacing w:after="60" w:line="260"/>
      </w:pPr>
      <w:r>
        <w:rPr>
          <w:rFonts w:ascii="Calibri" w:cs="Calibri" w:eastAsia="Calibri" w:hAnsi="Calibri"/>
          <w:sz w:val="20"/>
          <w:szCs w:val="20"/>
        </w:rPr>
        <w:t xml:space="preserve">Vol à la tire et arnaques touristiques (consignes : sac fermé devant soi, pas d'objet de valeur visible).</w:t>
      </w:r>
    </w:p>
    <w:p>
      <w:pPr>
        <w:pStyle w:val="ListParagraph"/>
        <w:numPr>
          <w:ilvl w:val="0"/>
          <w:numId w:val="2"/>
        </w:numPr>
        <w:spacing w:after="60" w:line="260"/>
      </w:pPr>
      <w:r>
        <w:rPr>
          <w:rFonts w:ascii="Calibri" w:cs="Calibri" w:eastAsia="Calibri" w:hAnsi="Calibri"/>
          <w:sz w:val="20"/>
          <w:szCs w:val="20"/>
        </w:rPr>
        <w:t xml:space="preserve">Agressions (rares, mais signaler les modalités si pertinent).</w:t>
      </w:r>
    </w:p>
    <w:p>
      <w:pPr>
        <w:pStyle w:val="ListParagraph"/>
        <w:numPr>
          <w:ilvl w:val="0"/>
          <w:numId w:val="2"/>
        </w:numPr>
        <w:spacing w:after="60" w:line="260"/>
      </w:pPr>
      <w:r>
        <w:rPr>
          <w:rFonts w:ascii="Calibri" w:cs="Calibri" w:eastAsia="Calibri" w:hAnsi="Calibri"/>
          <w:sz w:val="20"/>
          <w:szCs w:val="20"/>
        </w:rPr>
        <w:t xml:space="preserve">Risques routiers (qualité du réseau, conduite locale).</w:t>
      </w:r>
    </w:p>
    <w:p>
      <w:pPr>
        <w:pStyle w:val="ListParagraph"/>
        <w:numPr>
          <w:ilvl w:val="0"/>
          <w:numId w:val="2"/>
        </w:numPr>
        <w:spacing w:after="60" w:line="260"/>
      </w:pPr>
      <w:r>
        <w:rPr>
          <w:rFonts w:ascii="Calibri" w:cs="Calibri" w:eastAsia="Calibri" w:hAnsi="Calibri"/>
          <w:sz w:val="20"/>
          <w:szCs w:val="20"/>
        </w:rPr>
        <w:t xml:space="preserve">Risques liés aux manifestations / mouvements sociaux le cas échéant.</w:t>
      </w:r>
    </w:p>
    <w:p>
      <w:pPr>
        <w:spacing w:after="100" w:before="220"/>
      </w:pPr>
      <w:r>
        <w:rPr>
          <w:rFonts w:ascii="Calibri" w:cs="Calibri" w:eastAsia="Calibri" w:hAnsi="Calibri"/>
          <w:b/>
          <w:bCs/>
          <w:color w:val="E87722"/>
          <w:sz w:val="22"/>
          <w:szCs w:val="22"/>
        </w:rPr>
        <w:t xml:space="preserve">3.3. Conseils pratiques</w:t>
      </w:r>
    </w:p>
    <w:p>
      <w:pPr>
        <w:pStyle w:val="ListParagraph"/>
        <w:numPr>
          <w:ilvl w:val="0"/>
          <w:numId w:val="2"/>
        </w:numPr>
        <w:spacing w:after="60" w:line="260"/>
      </w:pPr>
      <w:r>
        <w:rPr>
          <w:rFonts w:ascii="Calibri" w:cs="Calibri" w:eastAsia="Calibri" w:hAnsi="Calibri"/>
          <w:sz w:val="20"/>
          <w:szCs w:val="20"/>
        </w:rPr>
        <w:t xml:space="preserve">Ne pas circuler seul·e après [heure] dans certains quartiers.</w:t>
      </w:r>
    </w:p>
    <w:p>
      <w:pPr>
        <w:pStyle w:val="ListParagraph"/>
        <w:numPr>
          <w:ilvl w:val="0"/>
          <w:numId w:val="2"/>
        </w:numPr>
        <w:spacing w:after="60" w:line="260"/>
      </w:pPr>
      <w:r>
        <w:rPr>
          <w:rFonts w:ascii="Calibri" w:cs="Calibri" w:eastAsia="Calibri" w:hAnsi="Calibri"/>
          <w:sz w:val="20"/>
          <w:szCs w:val="20"/>
        </w:rPr>
        <w:t xml:space="preserve">Photocopie des documents officiels conservée séparément (cohérence document administratif).</w:t>
      </w:r>
    </w:p>
    <w:p>
      <w:pPr>
        <w:pStyle w:val="ListParagraph"/>
        <w:numPr>
          <w:ilvl w:val="0"/>
          <w:numId w:val="2"/>
        </w:numPr>
        <w:spacing w:after="60" w:line="260"/>
      </w:pPr>
      <w:r>
        <w:rPr>
          <w:rFonts w:ascii="Calibri" w:cs="Calibri" w:eastAsia="Calibri" w:hAnsi="Calibri"/>
          <w:sz w:val="20"/>
          <w:szCs w:val="20"/>
        </w:rPr>
        <w:t xml:space="preserve">Application sur le téléphone : numéros utiles pré-enregistrés.</w:t>
      </w:r>
    </w:p>
    <w:p>
      <w:pPr>
        <w:pStyle w:val="ListParagraph"/>
        <w:numPr>
          <w:ilvl w:val="0"/>
          <w:numId w:val="2"/>
        </w:numPr>
        <w:spacing w:after="60" w:line="260"/>
      </w:pPr>
      <w:r>
        <w:rPr>
          <w:rFonts w:ascii="Calibri" w:cs="Calibri" w:eastAsia="Calibri" w:hAnsi="Calibri"/>
          <w:sz w:val="20"/>
          <w:szCs w:val="20"/>
        </w:rPr>
        <w:t xml:space="preserve">Espèces : porter peu sur soi, plusieurs poches/coffret.</w:t>
      </w:r>
    </w:p>
    <w:p>
      <w:pPr>
        <w:spacing w:after="160" w:before="240"/>
      </w:pPr>
      <w:r>
        <w:rPr>
          <w:rFonts w:ascii="Calibri" w:cs="Calibri" w:eastAsia="Calibri" w:hAnsi="Calibri"/>
          <w:b/>
          <w:bCs/>
          <w:color w:val="1F4E79"/>
          <w:sz w:val="32"/>
          <w:szCs w:val="32"/>
        </w:rPr>
        <w:t xml:space="preserve">4. Risques sanitaires</w:t>
      </w:r>
    </w:p>
    <w:p>
      <w:pPr>
        <w:spacing w:after="100" w:before="220"/>
      </w:pPr>
      <w:r>
        <w:rPr>
          <w:rFonts w:ascii="Calibri" w:cs="Calibri" w:eastAsia="Calibri" w:hAnsi="Calibri"/>
          <w:b/>
          <w:bCs/>
          <w:color w:val="E87722"/>
          <w:sz w:val="22"/>
          <w:szCs w:val="22"/>
        </w:rPr>
        <w:t xml:space="preserve">4.1. Synthèse santé</w:t>
      </w:r>
    </w:p>
    <w:p>
      <w:pPr>
        <w:pStyle w:val="ListParagraph"/>
        <w:numPr>
          <w:ilvl w:val="0"/>
          <w:numId w:val="2"/>
        </w:numPr>
        <w:spacing w:after="60" w:line="260"/>
      </w:pPr>
      <w:r>
        <w:rPr>
          <w:rFonts w:ascii="Calibri" w:cs="Calibri" w:eastAsia="Calibri" w:hAnsi="Calibri"/>
          <w:sz w:val="20"/>
          <w:szCs w:val="20"/>
        </w:rPr>
        <w:t xml:space="preserve">Niveau de risque sanitaire (renvoyer à la Fiche santé voyageur dédiée).</w:t>
      </w:r>
    </w:p>
    <w:p>
      <w:pPr>
        <w:pStyle w:val="ListParagraph"/>
        <w:numPr>
          <w:ilvl w:val="0"/>
          <w:numId w:val="2"/>
        </w:numPr>
        <w:spacing w:after="60" w:line="260"/>
      </w:pPr>
      <w:r>
        <w:rPr>
          <w:rFonts w:ascii="Calibri" w:cs="Calibri" w:eastAsia="Calibri" w:hAnsi="Calibri"/>
          <w:sz w:val="20"/>
          <w:szCs w:val="20"/>
        </w:rPr>
        <w:t xml:space="preserve">Vaccinations recommandées et obligatoires.</w:t>
      </w:r>
    </w:p>
    <w:p>
      <w:pPr>
        <w:pStyle w:val="ListParagraph"/>
        <w:numPr>
          <w:ilvl w:val="0"/>
          <w:numId w:val="2"/>
        </w:numPr>
        <w:spacing w:after="60" w:line="260"/>
      </w:pPr>
      <w:r>
        <w:rPr>
          <w:rFonts w:ascii="Calibri" w:cs="Calibri" w:eastAsia="Calibri" w:hAnsi="Calibri"/>
          <w:sz w:val="20"/>
          <w:szCs w:val="20"/>
        </w:rPr>
        <w:t xml:space="preserve">Eau du robinet (potable / non potable).</w:t>
      </w:r>
    </w:p>
    <w:p>
      <w:pPr>
        <w:pStyle w:val="ListParagraph"/>
        <w:numPr>
          <w:ilvl w:val="0"/>
          <w:numId w:val="2"/>
        </w:numPr>
        <w:spacing w:after="60" w:line="260"/>
      </w:pPr>
      <w:r>
        <w:rPr>
          <w:rFonts w:ascii="Calibri" w:cs="Calibri" w:eastAsia="Calibri" w:hAnsi="Calibri"/>
          <w:sz w:val="20"/>
          <w:szCs w:val="20"/>
        </w:rPr>
        <w:t xml:space="preserve">Précautions alimentaires.</w:t>
      </w:r>
    </w:p>
    <w:p>
      <w:pPr>
        <w:spacing w:after="100" w:before="220"/>
      </w:pPr>
      <w:r>
        <w:rPr>
          <w:rFonts w:ascii="Calibri" w:cs="Calibri" w:eastAsia="Calibri" w:hAnsi="Calibri"/>
          <w:b/>
          <w:bCs/>
          <w:color w:val="E87722"/>
          <w:sz w:val="22"/>
          <w:szCs w:val="22"/>
        </w:rPr>
        <w:t xml:space="preserve">4.2. Numéros médicaux</w:t>
      </w:r>
    </w:p>
    <w:p>
      <w:pPr>
        <w:pStyle w:val="ListParagraph"/>
        <w:numPr>
          <w:ilvl w:val="0"/>
          <w:numId w:val="2"/>
        </w:numPr>
        <w:spacing w:after="60" w:line="260"/>
      </w:pPr>
      <w:r>
        <w:rPr>
          <w:rFonts w:ascii="Calibri" w:cs="Calibri" w:eastAsia="Calibri" w:hAnsi="Calibri"/>
          <w:sz w:val="20"/>
          <w:szCs w:val="20"/>
        </w:rPr>
        <w:t xml:space="preserve">Hôpital de référence sur la destination (adresse, téléphone).</w:t>
      </w:r>
    </w:p>
    <w:p>
      <w:pPr>
        <w:pStyle w:val="ListParagraph"/>
        <w:numPr>
          <w:ilvl w:val="0"/>
          <w:numId w:val="2"/>
        </w:numPr>
        <w:spacing w:after="60" w:line="260"/>
      </w:pPr>
      <w:r>
        <w:rPr>
          <w:rFonts w:ascii="Calibri" w:cs="Calibri" w:eastAsia="Calibri" w:hAnsi="Calibri"/>
          <w:sz w:val="20"/>
          <w:szCs w:val="20"/>
        </w:rPr>
        <w:t xml:space="preserve">Pharmacie de garde 24/7 si applicable.</w:t>
      </w:r>
    </w:p>
    <w:p>
      <w:pPr>
        <w:pStyle w:val="ListParagraph"/>
        <w:numPr>
          <w:ilvl w:val="0"/>
          <w:numId w:val="2"/>
        </w:numPr>
        <w:spacing w:after="60" w:line="260"/>
      </w:pPr>
      <w:r>
        <w:rPr>
          <w:rFonts w:ascii="Calibri" w:cs="Calibri" w:eastAsia="Calibri" w:hAnsi="Calibri"/>
          <w:sz w:val="20"/>
          <w:szCs w:val="20"/>
        </w:rPr>
        <w:t xml:space="preserve">Médecin francophone si disponible.</w:t>
      </w:r>
    </w:p>
    <w:p>
      <w:pPr>
        <w:pStyle w:val="ListParagraph"/>
        <w:numPr>
          <w:ilvl w:val="0"/>
          <w:numId w:val="2"/>
        </w:numPr>
        <w:spacing w:after="60" w:line="260"/>
      </w:pPr>
      <w:r>
        <w:rPr>
          <w:rFonts w:ascii="Calibri" w:cs="Calibri" w:eastAsia="Calibri" w:hAnsi="Calibri"/>
          <w:sz w:val="20"/>
          <w:szCs w:val="20"/>
        </w:rPr>
        <w:t xml:space="preserve">Eventy Pack Sérénité — assistance médicale 24/7.</w:t>
      </w:r>
    </w:p>
    <w:p>
      <w:pPr>
        <w:spacing w:after="160" w:before="240"/>
      </w:pPr>
      <w:r>
        <w:rPr>
          <w:rFonts w:ascii="Calibri" w:cs="Calibri" w:eastAsia="Calibri" w:hAnsi="Calibri"/>
          <w:b/>
          <w:bCs/>
          <w:color w:val="1F4E79"/>
          <w:sz w:val="32"/>
          <w:szCs w:val="32"/>
        </w:rPr>
        <w:t xml:space="preserve">5. Risques climatiques et naturels</w:t>
      </w:r>
    </w:p>
    <w:p>
      <w:pPr>
        <w:pStyle w:val="ListParagraph"/>
        <w:numPr>
          <w:ilvl w:val="0"/>
          <w:numId w:val="2"/>
        </w:numPr>
        <w:spacing w:after="60" w:line="260"/>
      </w:pPr>
      <w:r>
        <w:rPr>
          <w:rFonts w:ascii="Calibri" w:cs="Calibri" w:eastAsia="Calibri" w:hAnsi="Calibri"/>
          <w:sz w:val="20"/>
          <w:szCs w:val="20"/>
        </w:rPr>
        <w:t xml:space="preserve">Saison du voyage (climat attendu).</w:t>
      </w:r>
    </w:p>
    <w:p>
      <w:pPr>
        <w:pStyle w:val="ListParagraph"/>
        <w:numPr>
          <w:ilvl w:val="0"/>
          <w:numId w:val="2"/>
        </w:numPr>
        <w:spacing w:after="60" w:line="260"/>
      </w:pPr>
      <w:r>
        <w:rPr>
          <w:rFonts w:ascii="Calibri" w:cs="Calibri" w:eastAsia="Calibri" w:hAnsi="Calibri"/>
          <w:sz w:val="20"/>
          <w:szCs w:val="20"/>
        </w:rPr>
        <w:t xml:space="preserve">Risques saisonniers (inondations, ouragans, séismes, canicules).</w:t>
      </w:r>
    </w:p>
    <w:p>
      <w:pPr>
        <w:pStyle w:val="ListParagraph"/>
        <w:numPr>
          <w:ilvl w:val="0"/>
          <w:numId w:val="2"/>
        </w:numPr>
        <w:spacing w:after="60" w:line="260"/>
      </w:pPr>
      <w:r>
        <w:rPr>
          <w:rFonts w:ascii="Calibri" w:cs="Calibri" w:eastAsia="Calibri" w:hAnsi="Calibri"/>
          <w:sz w:val="20"/>
          <w:szCs w:val="20"/>
        </w:rPr>
        <w:t xml:space="preserve">Conduite à tenir en cas d'alerte (consignes accompagnateur).</w:t>
      </w:r>
    </w:p>
    <w:p>
      <w:pPr>
        <w:pStyle w:val="ListParagraph"/>
        <w:numPr>
          <w:ilvl w:val="0"/>
          <w:numId w:val="2"/>
        </w:numPr>
        <w:spacing w:after="60" w:line="260"/>
      </w:pPr>
      <w:r>
        <w:rPr>
          <w:rFonts w:ascii="Calibri" w:cs="Calibri" w:eastAsia="Calibri" w:hAnsi="Calibri"/>
          <w:sz w:val="20"/>
          <w:szCs w:val="20"/>
        </w:rPr>
        <w:t xml:space="preserve">Cohérence avec le Manuel d'incident voyage (procédures évacuation).</w:t>
      </w:r>
    </w:p>
    <w:p>
      <w:pPr>
        <w:spacing w:after="160" w:before="240"/>
      </w:pPr>
      <w:r>
        <w:rPr>
          <w:rFonts w:ascii="Calibri" w:cs="Calibri" w:eastAsia="Calibri" w:hAnsi="Calibri"/>
          <w:b/>
          <w:bCs/>
          <w:color w:val="1F4E79"/>
          <w:sz w:val="32"/>
          <w:szCs w:val="32"/>
        </w:rPr>
        <w:t xml:space="preserve">6. Législation locale et coutumes</w:t>
      </w:r>
    </w:p>
    <w:p>
      <w:pPr>
        <w:spacing w:after="100" w:before="220"/>
      </w:pPr>
      <w:r>
        <w:rPr>
          <w:rFonts w:ascii="Calibri" w:cs="Calibri" w:eastAsia="Calibri" w:hAnsi="Calibri"/>
          <w:b/>
          <w:bCs/>
          <w:color w:val="E87722"/>
          <w:sz w:val="22"/>
          <w:szCs w:val="22"/>
        </w:rPr>
        <w:t xml:space="preserve">6.1. Lois à respecter (sélection)</w:t>
      </w:r>
    </w:p>
    <w:p>
      <w:pPr>
        <w:pStyle w:val="ListParagraph"/>
        <w:numPr>
          <w:ilvl w:val="0"/>
          <w:numId w:val="2"/>
        </w:numPr>
        <w:spacing w:after="60" w:line="260"/>
      </w:pPr>
      <w:r>
        <w:rPr>
          <w:rFonts w:ascii="Calibri" w:cs="Calibri" w:eastAsia="Calibri" w:hAnsi="Calibri"/>
          <w:sz w:val="20"/>
          <w:szCs w:val="20"/>
        </w:rPr>
        <w:t xml:space="preserve">Drogues : législation locale (souvent très stricte hors UE).</w:t>
      </w:r>
    </w:p>
    <w:p>
      <w:pPr>
        <w:pStyle w:val="ListParagraph"/>
        <w:numPr>
          <w:ilvl w:val="0"/>
          <w:numId w:val="2"/>
        </w:numPr>
        <w:spacing w:after="60" w:line="260"/>
      </w:pPr>
      <w:r>
        <w:rPr>
          <w:rFonts w:ascii="Calibri" w:cs="Calibri" w:eastAsia="Calibri" w:hAnsi="Calibri"/>
          <w:sz w:val="20"/>
          <w:szCs w:val="20"/>
        </w:rPr>
        <w:t xml:space="preserve">Alcool : législation locale (interdit dans certains pays).</w:t>
      </w:r>
    </w:p>
    <w:p>
      <w:pPr>
        <w:pStyle w:val="ListParagraph"/>
        <w:numPr>
          <w:ilvl w:val="0"/>
          <w:numId w:val="2"/>
        </w:numPr>
        <w:spacing w:after="60" w:line="260"/>
      </w:pPr>
      <w:r>
        <w:rPr>
          <w:rFonts w:ascii="Calibri" w:cs="Calibri" w:eastAsia="Calibri" w:hAnsi="Calibri"/>
          <w:sz w:val="20"/>
          <w:szCs w:val="20"/>
        </w:rPr>
        <w:t xml:space="preserve">Photographie : sites interdits (sites militaires, religieux, gouvernementaux).</w:t>
      </w:r>
    </w:p>
    <w:p>
      <w:pPr>
        <w:pStyle w:val="ListParagraph"/>
        <w:numPr>
          <w:ilvl w:val="0"/>
          <w:numId w:val="2"/>
        </w:numPr>
        <w:spacing w:after="60" w:line="260"/>
      </w:pPr>
      <w:r>
        <w:rPr>
          <w:rFonts w:ascii="Calibri" w:cs="Calibri" w:eastAsia="Calibri" w:hAnsi="Calibri"/>
          <w:sz w:val="20"/>
          <w:szCs w:val="20"/>
        </w:rPr>
        <w:t xml:space="preserve">Comportement public : tenue, étreintes, démonstrations affectives selon culture.</w:t>
      </w:r>
    </w:p>
    <w:p>
      <w:pPr>
        <w:pStyle w:val="ListParagraph"/>
        <w:numPr>
          <w:ilvl w:val="0"/>
          <w:numId w:val="2"/>
        </w:numPr>
        <w:spacing w:after="60" w:line="260"/>
      </w:pPr>
      <w:r>
        <w:rPr>
          <w:rFonts w:ascii="Calibri" w:cs="Calibri" w:eastAsia="Calibri" w:hAnsi="Calibri"/>
          <w:sz w:val="20"/>
          <w:szCs w:val="20"/>
        </w:rPr>
        <w:t xml:space="preserve">Pourboires : usage local (obligatoire / discrétionnaire).</w:t>
      </w:r>
    </w:p>
    <w:p>
      <w:pPr>
        <w:spacing w:after="100" w:before="220"/>
      </w:pPr>
      <w:r>
        <w:rPr>
          <w:rFonts w:ascii="Calibri" w:cs="Calibri" w:eastAsia="Calibri" w:hAnsi="Calibri"/>
          <w:b/>
          <w:bCs/>
          <w:color w:val="E87722"/>
          <w:sz w:val="22"/>
          <w:szCs w:val="22"/>
        </w:rPr>
        <w:t xml:space="preserve">6.2. Spécificités culturelles</w:t>
      </w:r>
    </w:p>
    <w:p>
      <w:pPr>
        <w:pStyle w:val="ListParagraph"/>
        <w:numPr>
          <w:ilvl w:val="0"/>
          <w:numId w:val="2"/>
        </w:numPr>
        <w:spacing w:after="60" w:line="260"/>
      </w:pPr>
      <w:r>
        <w:rPr>
          <w:rFonts w:ascii="Calibri" w:cs="Calibri" w:eastAsia="Calibri" w:hAnsi="Calibri"/>
          <w:sz w:val="20"/>
          <w:szCs w:val="20"/>
        </w:rPr>
        <w:t xml:space="preserve">Salutations et formules de politesse.</w:t>
      </w:r>
    </w:p>
    <w:p>
      <w:pPr>
        <w:pStyle w:val="ListParagraph"/>
        <w:numPr>
          <w:ilvl w:val="0"/>
          <w:numId w:val="2"/>
        </w:numPr>
        <w:spacing w:after="60" w:line="260"/>
      </w:pPr>
      <w:r>
        <w:rPr>
          <w:rFonts w:ascii="Calibri" w:cs="Calibri" w:eastAsia="Calibri" w:hAnsi="Calibri"/>
          <w:sz w:val="20"/>
          <w:szCs w:val="20"/>
        </w:rPr>
        <w:t xml:space="preserve">Tenue vestimentaire dans les lieux religieux.</w:t>
      </w:r>
    </w:p>
    <w:p>
      <w:pPr>
        <w:pStyle w:val="ListParagraph"/>
        <w:numPr>
          <w:ilvl w:val="0"/>
          <w:numId w:val="2"/>
        </w:numPr>
        <w:spacing w:after="60" w:line="260"/>
      </w:pPr>
      <w:r>
        <w:rPr>
          <w:rFonts w:ascii="Calibri" w:cs="Calibri" w:eastAsia="Calibri" w:hAnsi="Calibri"/>
          <w:sz w:val="20"/>
          <w:szCs w:val="20"/>
        </w:rPr>
        <w:t xml:space="preserve">Repas et conventions sociales (heures, partage).</w:t>
      </w:r>
    </w:p>
    <w:p>
      <w:pPr>
        <w:pStyle w:val="ListParagraph"/>
        <w:numPr>
          <w:ilvl w:val="0"/>
          <w:numId w:val="2"/>
        </w:numPr>
        <w:spacing w:after="60" w:line="260"/>
      </w:pPr>
      <w:r>
        <w:rPr>
          <w:rFonts w:ascii="Calibri" w:cs="Calibri" w:eastAsia="Calibri" w:hAnsi="Calibri"/>
          <w:sz w:val="20"/>
          <w:szCs w:val="20"/>
        </w:rPr>
        <w:t xml:space="preserve">Marchandage : pratique courante ou non.</w:t>
      </w:r>
    </w:p>
    <w:p>
      <w:pPr>
        <w:spacing w:after="100" w:before="220"/>
      </w:pPr>
      <w:r>
        <w:rPr>
          <w:rFonts w:ascii="Calibri" w:cs="Calibri" w:eastAsia="Calibri" w:hAnsi="Calibri"/>
          <w:b/>
          <w:bCs/>
          <w:color w:val="E87722"/>
          <w:sz w:val="22"/>
          <w:szCs w:val="22"/>
        </w:rPr>
        <w:t xml:space="preserve">6.3. LGBTQIA+ — niveau de tolérance</w:t>
      </w:r>
    </w:p>
    <w:p>
      <w:pPr>
        <w:pStyle w:val="ListParagraph"/>
        <w:numPr>
          <w:ilvl w:val="0"/>
          <w:numId w:val="2"/>
        </w:numPr>
        <w:spacing w:after="60" w:line="260"/>
      </w:pPr>
      <w:r>
        <w:rPr>
          <w:rFonts w:ascii="Calibri" w:cs="Calibri" w:eastAsia="Calibri" w:hAnsi="Calibri"/>
          <w:sz w:val="20"/>
          <w:szCs w:val="20"/>
        </w:rPr>
        <w:t xml:space="preserve">Information factuelle et honnête sur le niveau de tolérance local.</w:t>
      </w:r>
    </w:p>
    <w:p>
      <w:pPr>
        <w:pStyle w:val="ListParagraph"/>
        <w:numPr>
          <w:ilvl w:val="0"/>
          <w:numId w:val="2"/>
        </w:numPr>
        <w:spacing w:after="60" w:line="260"/>
      </w:pPr>
      <w:r>
        <w:rPr>
          <w:rFonts w:ascii="Calibri" w:cs="Calibri" w:eastAsia="Calibri" w:hAnsi="Calibri"/>
          <w:sz w:val="20"/>
          <w:szCs w:val="20"/>
        </w:rPr>
        <w:t xml:space="preserve">Conseils pratiques (discrétion publique le cas échéant).</w:t>
      </w:r>
    </w:p>
    <w:p>
      <w:pPr>
        <w:pStyle w:val="ListParagraph"/>
        <w:numPr>
          <w:ilvl w:val="0"/>
          <w:numId w:val="2"/>
        </w:numPr>
        <w:spacing w:after="60" w:line="260"/>
      </w:pPr>
      <w:r>
        <w:rPr>
          <w:rFonts w:ascii="Calibri" w:cs="Calibri" w:eastAsia="Calibri" w:hAnsi="Calibri"/>
          <w:sz w:val="20"/>
          <w:szCs w:val="20"/>
        </w:rPr>
        <w:t xml:space="preserve">Refus des destinations où la loi pénalise — cohérence Grille de décision destinations.</w:t>
      </w:r>
    </w:p>
    <w:p>
      <w:pPr>
        <w:spacing w:after="160" w:before="240"/>
      </w:pPr>
      <w:r>
        <w:rPr>
          <w:rFonts w:ascii="Calibri" w:cs="Calibri" w:eastAsia="Calibri" w:hAnsi="Calibri"/>
          <w:b/>
          <w:bCs/>
          <w:color w:val="1F4E79"/>
          <w:sz w:val="32"/>
          <w:szCs w:val="32"/>
        </w:rPr>
        <w:t xml:space="preserve">7. Argent et paiements</w:t>
      </w:r>
    </w:p>
    <w:p>
      <w:pPr>
        <w:pStyle w:val="ListParagraph"/>
        <w:numPr>
          <w:ilvl w:val="0"/>
          <w:numId w:val="2"/>
        </w:numPr>
        <w:spacing w:after="60" w:line="260"/>
      </w:pPr>
      <w:r>
        <w:rPr>
          <w:rFonts w:ascii="Calibri" w:cs="Calibri" w:eastAsia="Calibri" w:hAnsi="Calibri"/>
          <w:sz w:val="20"/>
          <w:szCs w:val="20"/>
        </w:rPr>
        <w:t xml:space="preserve">Devise locale et taux de change indicatif.</w:t>
      </w:r>
    </w:p>
    <w:p>
      <w:pPr>
        <w:pStyle w:val="ListParagraph"/>
        <w:numPr>
          <w:ilvl w:val="0"/>
          <w:numId w:val="2"/>
        </w:numPr>
        <w:spacing w:after="60" w:line="260"/>
      </w:pPr>
      <w:r>
        <w:rPr>
          <w:rFonts w:ascii="Calibri" w:cs="Calibri" w:eastAsia="Calibri" w:hAnsi="Calibri"/>
          <w:sz w:val="20"/>
          <w:szCs w:val="20"/>
        </w:rPr>
        <w:t xml:space="preserve">Paiements acceptés (CB / espèces / Apple Pay) selon contexte.</w:t>
      </w:r>
    </w:p>
    <w:p>
      <w:pPr>
        <w:pStyle w:val="ListParagraph"/>
        <w:numPr>
          <w:ilvl w:val="0"/>
          <w:numId w:val="2"/>
        </w:numPr>
        <w:spacing w:after="60" w:line="260"/>
      </w:pPr>
      <w:r>
        <w:rPr>
          <w:rFonts w:ascii="Calibri" w:cs="Calibri" w:eastAsia="Calibri" w:hAnsi="Calibri"/>
          <w:sz w:val="20"/>
          <w:szCs w:val="20"/>
        </w:rPr>
        <w:t xml:space="preserve">Distributeurs (DAB) accessibles, sécurité d'utilisation.</w:t>
      </w:r>
    </w:p>
    <w:p>
      <w:pPr>
        <w:pStyle w:val="ListParagraph"/>
        <w:numPr>
          <w:ilvl w:val="0"/>
          <w:numId w:val="2"/>
        </w:numPr>
        <w:spacing w:after="60" w:line="260"/>
      </w:pPr>
      <w:r>
        <w:rPr>
          <w:rFonts w:ascii="Calibri" w:cs="Calibri" w:eastAsia="Calibri" w:hAnsi="Calibri"/>
          <w:sz w:val="20"/>
          <w:szCs w:val="20"/>
        </w:rPr>
        <w:t xml:space="preserve">Bureaux de change recommandés.</w:t>
      </w:r>
    </w:p>
    <w:p>
      <w:pPr>
        <w:pStyle w:val="ListParagraph"/>
        <w:numPr>
          <w:ilvl w:val="0"/>
          <w:numId w:val="2"/>
        </w:numPr>
        <w:spacing w:after="60" w:line="260"/>
      </w:pPr>
      <w:r>
        <w:rPr>
          <w:rFonts w:ascii="Calibri" w:cs="Calibri" w:eastAsia="Calibri" w:hAnsi="Calibri"/>
          <w:sz w:val="20"/>
          <w:szCs w:val="20"/>
        </w:rPr>
        <w:t xml:space="preserve">Pourboires (montants indicatifs, obligation ou non).</w:t>
      </w:r>
    </w:p>
    <w:p>
      <w:pPr>
        <w:spacing w:after="160" w:before="240"/>
      </w:pPr>
      <w:r>
        <w:rPr>
          <w:rFonts w:ascii="Calibri" w:cs="Calibri" w:eastAsia="Calibri" w:hAnsi="Calibri"/>
          <w:b/>
          <w:bCs/>
          <w:color w:val="1F4E79"/>
          <w:sz w:val="32"/>
          <w:szCs w:val="32"/>
        </w:rPr>
        <w:t xml:space="preserve">8. Communication et connectivité</w:t>
      </w:r>
    </w:p>
    <w:p>
      <w:pPr>
        <w:pStyle w:val="ListParagraph"/>
        <w:numPr>
          <w:ilvl w:val="0"/>
          <w:numId w:val="2"/>
        </w:numPr>
        <w:spacing w:after="60" w:line="260"/>
      </w:pPr>
      <w:r>
        <w:rPr>
          <w:rFonts w:ascii="Calibri" w:cs="Calibri" w:eastAsia="Calibri" w:hAnsi="Calibri"/>
          <w:sz w:val="20"/>
          <w:szCs w:val="20"/>
        </w:rPr>
        <w:t xml:space="preserve">Réseau mobile : couverture, opérateurs.</w:t>
      </w:r>
    </w:p>
    <w:p>
      <w:pPr>
        <w:pStyle w:val="ListParagraph"/>
        <w:numPr>
          <w:ilvl w:val="0"/>
          <w:numId w:val="2"/>
        </w:numPr>
        <w:spacing w:after="60" w:line="260"/>
      </w:pPr>
      <w:r>
        <w:rPr>
          <w:rFonts w:ascii="Calibri" w:cs="Calibri" w:eastAsia="Calibri" w:hAnsi="Calibri"/>
          <w:sz w:val="20"/>
          <w:szCs w:val="20"/>
        </w:rPr>
        <w:t xml:space="preserve">Forfait européen / international (rappel sur l'itinérance).</w:t>
      </w:r>
    </w:p>
    <w:p>
      <w:pPr>
        <w:pStyle w:val="ListParagraph"/>
        <w:numPr>
          <w:ilvl w:val="0"/>
          <w:numId w:val="2"/>
        </w:numPr>
        <w:spacing w:after="60" w:line="260"/>
      </w:pPr>
      <w:r>
        <w:rPr>
          <w:rFonts w:ascii="Calibri" w:cs="Calibri" w:eastAsia="Calibri" w:hAnsi="Calibri"/>
          <w:sz w:val="20"/>
          <w:szCs w:val="20"/>
        </w:rPr>
        <w:t xml:space="preserve">Wi-Fi gratuit dans les hébergements et restaurants.</w:t>
      </w:r>
    </w:p>
    <w:p>
      <w:pPr>
        <w:pStyle w:val="ListParagraph"/>
        <w:numPr>
          <w:ilvl w:val="0"/>
          <w:numId w:val="2"/>
        </w:numPr>
        <w:spacing w:after="60" w:line="260"/>
      </w:pPr>
      <w:r>
        <w:rPr>
          <w:rFonts w:ascii="Calibri" w:cs="Calibri" w:eastAsia="Calibri" w:hAnsi="Calibri"/>
          <w:sz w:val="20"/>
          <w:szCs w:val="20"/>
        </w:rPr>
        <w:t xml:space="preserve">Carte SIM locale ou eSIM si pertinent.</w:t>
      </w:r>
    </w:p>
    <w:p>
      <w:pPr>
        <w:pStyle w:val="ListParagraph"/>
        <w:numPr>
          <w:ilvl w:val="0"/>
          <w:numId w:val="2"/>
        </w:numPr>
        <w:spacing w:after="60" w:line="260"/>
      </w:pPr>
      <w:r>
        <w:rPr>
          <w:rFonts w:ascii="Calibri" w:cs="Calibri" w:eastAsia="Calibri" w:hAnsi="Calibri"/>
          <w:sz w:val="20"/>
          <w:szCs w:val="20"/>
        </w:rPr>
        <w:t xml:space="preserve">Applications utiles à télécharger avant le départ.</w:t>
      </w:r>
    </w:p>
    <w:p>
      <w:pPr>
        <w:spacing w:after="160" w:before="240"/>
      </w:pPr>
      <w:r>
        <w:rPr>
          <w:rFonts w:ascii="Calibri" w:cs="Calibri" w:eastAsia="Calibri" w:hAnsi="Calibri"/>
          <w:b/>
          <w:bCs/>
          <w:color w:val="1F4E79"/>
          <w:sz w:val="32"/>
          <w:szCs w:val="32"/>
        </w:rPr>
        <w:t xml:space="preserve">9. Spécificités voyage Eventy</w:t>
      </w:r>
    </w:p>
    <w:p>
      <w:pPr>
        <w:spacing w:after="100" w:before="220"/>
      </w:pPr>
      <w:r>
        <w:rPr>
          <w:rFonts w:ascii="Calibri" w:cs="Calibri" w:eastAsia="Calibri" w:hAnsi="Calibri"/>
          <w:b/>
          <w:bCs/>
          <w:color w:val="E87722"/>
          <w:sz w:val="22"/>
          <w:szCs w:val="22"/>
        </w:rPr>
        <w:t xml:space="preserve">9.1. Programme et logistique</w:t>
      </w:r>
    </w:p>
    <w:p>
      <w:pPr>
        <w:pStyle w:val="ListParagraph"/>
        <w:numPr>
          <w:ilvl w:val="0"/>
          <w:numId w:val="2"/>
        </w:numPr>
        <w:spacing w:after="60" w:line="260"/>
      </w:pPr>
      <w:r>
        <w:rPr>
          <w:rFonts w:ascii="Calibri" w:cs="Calibri" w:eastAsia="Calibri" w:hAnsi="Calibri"/>
          <w:sz w:val="20"/>
          <w:szCs w:val="20"/>
        </w:rPr>
        <w:t xml:space="preserve">Heures de RDV quotidiens.</w:t>
      </w:r>
    </w:p>
    <w:p>
      <w:pPr>
        <w:pStyle w:val="ListParagraph"/>
        <w:numPr>
          <w:ilvl w:val="0"/>
          <w:numId w:val="2"/>
        </w:numPr>
        <w:spacing w:after="60" w:line="260"/>
      </w:pPr>
      <w:r>
        <w:rPr>
          <w:rFonts w:ascii="Calibri" w:cs="Calibri" w:eastAsia="Calibri" w:hAnsi="Calibri"/>
          <w:sz w:val="20"/>
          <w:szCs w:val="20"/>
        </w:rPr>
        <w:t xml:space="preserve">Lieux de rassemblement.</w:t>
      </w:r>
    </w:p>
    <w:p>
      <w:pPr>
        <w:pStyle w:val="ListParagraph"/>
        <w:numPr>
          <w:ilvl w:val="0"/>
          <w:numId w:val="2"/>
        </w:numPr>
        <w:spacing w:after="60" w:line="260"/>
      </w:pPr>
      <w:r>
        <w:rPr>
          <w:rFonts w:ascii="Calibri" w:cs="Calibri" w:eastAsia="Calibri" w:hAnsi="Calibri"/>
          <w:sz w:val="20"/>
          <w:szCs w:val="20"/>
        </w:rPr>
        <w:t xml:space="preserve">Tolérance retard (15 min standard sauf cas particuliers).</w:t>
      </w:r>
    </w:p>
    <w:p>
      <w:pPr>
        <w:spacing w:after="100" w:before="220"/>
      </w:pPr>
      <w:r>
        <w:rPr>
          <w:rFonts w:ascii="Calibri" w:cs="Calibri" w:eastAsia="Calibri" w:hAnsi="Calibri"/>
          <w:b/>
          <w:bCs/>
          <w:color w:val="E87722"/>
          <w:sz w:val="22"/>
          <w:szCs w:val="22"/>
        </w:rPr>
        <w:t xml:space="preserve">9.2. Règles de groupe</w:t>
      </w:r>
    </w:p>
    <w:p>
      <w:pPr>
        <w:pStyle w:val="ListParagraph"/>
        <w:numPr>
          <w:ilvl w:val="0"/>
          <w:numId w:val="2"/>
        </w:numPr>
        <w:spacing w:after="60" w:line="260"/>
      </w:pPr>
      <w:r>
        <w:rPr>
          <w:rFonts w:ascii="Calibri" w:cs="Calibri" w:eastAsia="Calibri" w:hAnsi="Calibri"/>
          <w:sz w:val="20"/>
          <w:szCs w:val="20"/>
        </w:rPr>
        <w:t xml:space="preserve">Liberté individuelle préservée (skipper une activité sans surcoût).</w:t>
      </w:r>
    </w:p>
    <w:p>
      <w:pPr>
        <w:pStyle w:val="ListParagraph"/>
        <w:numPr>
          <w:ilvl w:val="0"/>
          <w:numId w:val="2"/>
        </w:numPr>
        <w:spacing w:after="60" w:line="260"/>
      </w:pPr>
      <w:r>
        <w:rPr>
          <w:rFonts w:ascii="Calibri" w:cs="Calibri" w:eastAsia="Calibri" w:hAnsi="Calibri"/>
          <w:sz w:val="20"/>
          <w:szCs w:val="20"/>
        </w:rPr>
        <w:t xml:space="preserve">Information à l'accompagnateur si on s'absente du groupe.</w:t>
      </w:r>
    </w:p>
    <w:p>
      <w:pPr>
        <w:pStyle w:val="ListParagraph"/>
        <w:numPr>
          <w:ilvl w:val="0"/>
          <w:numId w:val="2"/>
        </w:numPr>
        <w:spacing w:after="60" w:line="260"/>
      </w:pPr>
      <w:r>
        <w:rPr>
          <w:rFonts w:ascii="Calibri" w:cs="Calibri" w:eastAsia="Calibri" w:hAnsi="Calibri"/>
          <w:sz w:val="20"/>
          <w:szCs w:val="20"/>
        </w:rPr>
        <w:t xml:space="preserve">Respect des autres voyageurs (silence chambres, tabagisme, etc.).</w:t>
      </w:r>
    </w:p>
    <w:p>
      <w:pPr>
        <w:spacing w:after="100" w:before="220"/>
      </w:pPr>
      <w:r>
        <w:rPr>
          <w:rFonts w:ascii="Calibri" w:cs="Calibri" w:eastAsia="Calibri" w:hAnsi="Calibri"/>
          <w:b/>
          <w:bCs/>
          <w:color w:val="E87722"/>
          <w:sz w:val="22"/>
          <w:szCs w:val="22"/>
        </w:rPr>
        <w:t xml:space="preserve">9.3. Pack Sérénité</w:t>
      </w:r>
    </w:p>
    <w:p>
      <w:pPr>
        <w:pStyle w:val="ListParagraph"/>
        <w:numPr>
          <w:ilvl w:val="0"/>
          <w:numId w:val="2"/>
        </w:numPr>
        <w:spacing w:after="60" w:line="260"/>
      </w:pPr>
      <w:r>
        <w:rPr>
          <w:rFonts w:ascii="Calibri" w:cs="Calibri" w:eastAsia="Calibri" w:hAnsi="Calibri"/>
          <w:sz w:val="20"/>
          <w:szCs w:val="20"/>
        </w:rPr>
        <w:t xml:space="preserve">Couverture (médicale, hébergement de secours, rapatriement, perte bagages).</w:t>
      </w:r>
    </w:p>
    <w:p>
      <w:pPr>
        <w:pStyle w:val="ListParagraph"/>
        <w:numPr>
          <w:ilvl w:val="0"/>
          <w:numId w:val="2"/>
        </w:numPr>
        <w:spacing w:after="60" w:line="260"/>
      </w:pPr>
      <w:r>
        <w:rPr>
          <w:rFonts w:ascii="Calibri" w:cs="Calibri" w:eastAsia="Calibri" w:hAnsi="Calibri"/>
          <w:sz w:val="20"/>
          <w:szCs w:val="20"/>
        </w:rPr>
        <w:t xml:space="preserve">Procédure de déclaration sinistre.</w:t>
      </w:r>
    </w:p>
    <w:p>
      <w:pPr>
        <w:pStyle w:val="ListParagraph"/>
        <w:numPr>
          <w:ilvl w:val="0"/>
          <w:numId w:val="2"/>
        </w:numPr>
        <w:spacing w:after="60" w:line="260"/>
      </w:pPr>
      <w:r>
        <w:rPr>
          <w:rFonts w:ascii="Calibri" w:cs="Calibri" w:eastAsia="Calibri" w:hAnsi="Calibri"/>
          <w:sz w:val="20"/>
          <w:szCs w:val="20"/>
        </w:rPr>
        <w:t xml:space="preserve">Numéros à conserver.</w:t>
      </w:r>
    </w:p>
    <w:p>
      <w:pPr>
        <w:spacing w:after="160" w:before="240"/>
      </w:pPr>
      <w:r>
        <w:rPr>
          <w:rFonts w:ascii="Calibri" w:cs="Calibri" w:eastAsia="Calibri" w:hAnsi="Calibri"/>
          <w:b/>
          <w:bCs/>
          <w:color w:val="1F4E79"/>
          <w:sz w:val="32"/>
          <w:szCs w:val="32"/>
        </w:rPr>
        <w:t xml:space="preserve">10. Procédures Eventy en cas d'incident</w:t>
      </w:r>
    </w:p>
    <w:p>
      <w:pPr>
        <w:pStyle w:val="ListParagraph"/>
        <w:numPr>
          <w:ilvl w:val="0"/>
          <w:numId w:val="2"/>
        </w:numPr>
        <w:spacing w:after="60" w:line="260"/>
      </w:pPr>
      <w:r>
        <w:rPr>
          <w:rFonts w:ascii="Calibri" w:cs="Calibri" w:eastAsia="Calibri" w:hAnsi="Calibri"/>
          <w:sz w:val="20"/>
          <w:szCs w:val="20"/>
        </w:rPr>
        <w:t xml:space="preserve">Niveau 1 — incident mineur : signalement à l'accompagnateur, prise en charge sur place.</w:t>
      </w:r>
    </w:p>
    <w:p>
      <w:pPr>
        <w:pStyle w:val="ListParagraph"/>
        <w:numPr>
          <w:ilvl w:val="0"/>
          <w:numId w:val="2"/>
        </w:numPr>
        <w:spacing w:after="60" w:line="260"/>
      </w:pPr>
      <w:r>
        <w:rPr>
          <w:rFonts w:ascii="Calibri" w:cs="Calibri" w:eastAsia="Calibri" w:hAnsi="Calibri"/>
          <w:sz w:val="20"/>
          <w:szCs w:val="20"/>
        </w:rPr>
        <w:t xml:space="preserve">Niveau 2 — incident modéré : activation Pack Sérénité, information Président Eventy.</w:t>
      </w:r>
    </w:p>
    <w:p>
      <w:pPr>
        <w:pStyle w:val="ListParagraph"/>
        <w:numPr>
          <w:ilvl w:val="0"/>
          <w:numId w:val="2"/>
        </w:numPr>
        <w:spacing w:after="60" w:line="260"/>
      </w:pPr>
      <w:r>
        <w:rPr>
          <w:rFonts w:ascii="Calibri" w:cs="Calibri" w:eastAsia="Calibri" w:hAnsi="Calibri"/>
          <w:sz w:val="20"/>
          <w:szCs w:val="20"/>
        </w:rPr>
        <w:t xml:space="preserve">Niveau 3 — incident majeur : activation cellule de crise, information famille.</w:t>
      </w:r>
    </w:p>
    <w:p>
      <w:pPr>
        <w:pStyle w:val="ListParagraph"/>
        <w:numPr>
          <w:ilvl w:val="0"/>
          <w:numId w:val="2"/>
        </w:numPr>
        <w:spacing w:after="60" w:line="260"/>
      </w:pPr>
      <w:r>
        <w:rPr>
          <w:rFonts w:ascii="Calibri" w:cs="Calibri" w:eastAsia="Calibri" w:hAnsi="Calibri"/>
          <w:sz w:val="20"/>
          <w:szCs w:val="20"/>
        </w:rPr>
        <w:t xml:space="preserve">Niveau 4 — incident critique : rapatriement, soutien officiel.</w:t>
      </w:r>
    </w:p>
    <w:p>
      <w:pPr>
        <w:pStyle w:val="ListParagraph"/>
        <w:numPr>
          <w:ilvl w:val="0"/>
          <w:numId w:val="2"/>
        </w:numPr>
        <w:spacing w:after="60" w:line="260"/>
      </w:pPr>
      <w:r>
        <w:rPr>
          <w:rFonts w:ascii="Calibri" w:cs="Calibri" w:eastAsia="Calibri" w:hAnsi="Calibri"/>
          <w:sz w:val="20"/>
          <w:szCs w:val="20"/>
        </w:rPr>
        <w:t xml:space="preserve">Cohérence avec Manuel d'incident voyage (procédures détaillées).</w:t>
      </w:r>
    </w:p>
    <w:p>
      <w:pPr>
        <w:spacing w:after="160" w:before="240"/>
      </w:pPr>
      <w:r>
        <w:rPr>
          <w:rFonts w:ascii="Calibri" w:cs="Calibri" w:eastAsia="Calibri" w:hAnsi="Calibri"/>
          <w:b/>
          <w:bCs/>
          <w:color w:val="1F4E79"/>
          <w:sz w:val="32"/>
          <w:szCs w:val="32"/>
        </w:rPr>
        <w:t xml:space="preserve">11. Liste personnelle pré-départ</w:t>
      </w:r>
    </w:p>
    <w:p>
      <w:pPr>
        <w:spacing w:after="100" w:line="280"/>
        <w:jc w:val="both"/>
      </w:pPr>
      <w:r>
        <w:rPr>
          <w:rFonts w:ascii="Calibri" w:cs="Calibri" w:eastAsia="Calibri" w:hAnsi="Calibri"/>
          <w:color w:val="1A1A1A"/>
          <w:sz w:val="20"/>
          <w:szCs w:val="20"/>
        </w:rPr>
        <w:t xml:space="preserve">À cocher avant le départ :</w:t>
      </w:r>
    </w:p>
    <w:p>
      <w:pPr>
        <w:pStyle w:val="ListParagraph"/>
        <w:numPr>
          <w:ilvl w:val="0"/>
          <w:numId w:val="2"/>
        </w:numPr>
        <w:spacing w:after="60" w:line="260"/>
      </w:pPr>
      <w:r>
        <w:rPr>
          <w:rFonts w:ascii="Calibri" w:cs="Calibri" w:eastAsia="Calibri" w:hAnsi="Calibri"/>
          <w:sz w:val="20"/>
          <w:szCs w:val="20"/>
        </w:rPr>
        <w:t xml:space="preserve">☐ Documents administratifs vérifiés et photocopiés (cf. Document administratif).</w:t>
      </w:r>
    </w:p>
    <w:p>
      <w:pPr>
        <w:pStyle w:val="ListParagraph"/>
        <w:numPr>
          <w:ilvl w:val="0"/>
          <w:numId w:val="2"/>
        </w:numPr>
        <w:spacing w:after="60" w:line="260"/>
      </w:pPr>
      <w:r>
        <w:rPr>
          <w:rFonts w:ascii="Calibri" w:cs="Calibri" w:eastAsia="Calibri" w:hAnsi="Calibri"/>
          <w:sz w:val="20"/>
          <w:szCs w:val="20"/>
        </w:rPr>
        <w:t xml:space="preserve">☐ Vaccinations à jour si nécessaires (cf. Fiche santé).</w:t>
      </w:r>
    </w:p>
    <w:p>
      <w:pPr>
        <w:pStyle w:val="ListParagraph"/>
        <w:numPr>
          <w:ilvl w:val="0"/>
          <w:numId w:val="2"/>
        </w:numPr>
        <w:spacing w:after="60" w:line="260"/>
      </w:pPr>
      <w:r>
        <w:rPr>
          <w:rFonts w:ascii="Calibri" w:cs="Calibri" w:eastAsia="Calibri" w:hAnsi="Calibri"/>
          <w:sz w:val="20"/>
          <w:szCs w:val="20"/>
        </w:rPr>
        <w:t xml:space="preserve">☐ Carte vitale + carte européenne d'assurance maladie (CEAM) si UE.</w:t>
      </w:r>
    </w:p>
    <w:p>
      <w:pPr>
        <w:pStyle w:val="ListParagraph"/>
        <w:numPr>
          <w:ilvl w:val="0"/>
          <w:numId w:val="2"/>
        </w:numPr>
        <w:spacing w:after="60" w:line="260"/>
      </w:pPr>
      <w:r>
        <w:rPr>
          <w:rFonts w:ascii="Calibri" w:cs="Calibri" w:eastAsia="Calibri" w:hAnsi="Calibri"/>
          <w:sz w:val="20"/>
          <w:szCs w:val="20"/>
        </w:rPr>
        <w:t xml:space="preserve">☐ Numéros d'urgence enregistrés.</w:t>
      </w:r>
    </w:p>
    <w:p>
      <w:pPr>
        <w:pStyle w:val="ListParagraph"/>
        <w:numPr>
          <w:ilvl w:val="0"/>
          <w:numId w:val="2"/>
        </w:numPr>
        <w:spacing w:after="60" w:line="260"/>
      </w:pPr>
      <w:r>
        <w:rPr>
          <w:rFonts w:ascii="Calibri" w:cs="Calibri" w:eastAsia="Calibri" w:hAnsi="Calibri"/>
          <w:sz w:val="20"/>
          <w:szCs w:val="20"/>
        </w:rPr>
        <w:t xml:space="preserve">☐ Inscription Fil d'Ariane (international).</w:t>
      </w:r>
    </w:p>
    <w:p>
      <w:pPr>
        <w:pStyle w:val="ListParagraph"/>
        <w:numPr>
          <w:ilvl w:val="0"/>
          <w:numId w:val="2"/>
        </w:numPr>
        <w:spacing w:after="60" w:line="260"/>
      </w:pPr>
      <w:r>
        <w:rPr>
          <w:rFonts w:ascii="Calibri" w:cs="Calibri" w:eastAsia="Calibri" w:hAnsi="Calibri"/>
          <w:sz w:val="20"/>
          <w:szCs w:val="20"/>
        </w:rPr>
        <w:t xml:space="preserve">☐ Contact famille / proche informé du voyage.</w:t>
      </w:r>
    </w:p>
    <w:p>
      <w:pPr>
        <w:pStyle w:val="ListParagraph"/>
        <w:numPr>
          <w:ilvl w:val="0"/>
          <w:numId w:val="2"/>
        </w:numPr>
        <w:spacing w:after="60" w:line="260"/>
      </w:pPr>
      <w:r>
        <w:rPr>
          <w:rFonts w:ascii="Calibri" w:cs="Calibri" w:eastAsia="Calibri" w:hAnsi="Calibri"/>
          <w:sz w:val="20"/>
          <w:szCs w:val="20"/>
        </w:rPr>
        <w:t xml:space="preserve">☐ Application bancaire opérationnelle à l'étranger.</w:t>
      </w:r>
    </w:p>
    <w:p>
      <w:pPr>
        <w:pStyle w:val="ListParagraph"/>
        <w:numPr>
          <w:ilvl w:val="0"/>
          <w:numId w:val="2"/>
        </w:numPr>
        <w:spacing w:after="60" w:line="260"/>
      </w:pPr>
      <w:r>
        <w:rPr>
          <w:rFonts w:ascii="Calibri" w:cs="Calibri" w:eastAsia="Calibri" w:hAnsi="Calibri"/>
          <w:sz w:val="20"/>
          <w:szCs w:val="20"/>
        </w:rPr>
        <w:t xml:space="preserve">☐ Adapateur électrique si nécessaire.</w:t>
      </w:r>
    </w:p>
    <w:p>
      <w:pPr>
        <w:pStyle w:val="ListParagraph"/>
        <w:numPr>
          <w:ilvl w:val="0"/>
          <w:numId w:val="2"/>
        </w:numPr>
        <w:spacing w:after="60" w:line="260"/>
      </w:pPr>
      <w:r>
        <w:rPr>
          <w:rFonts w:ascii="Calibri" w:cs="Calibri" w:eastAsia="Calibri" w:hAnsi="Calibri"/>
          <w:sz w:val="20"/>
          <w:szCs w:val="20"/>
        </w:rPr>
        <w:t xml:space="preserve">☐ Trousse pharmacie personnelle (cohérence Fiche santé).</w:t>
      </w:r>
    </w:p>
    <w:p>
      <w:pPr>
        <w:pStyle w:val="ListParagraph"/>
        <w:numPr>
          <w:ilvl w:val="0"/>
          <w:numId w:val="2"/>
        </w:numPr>
        <w:spacing w:after="60" w:line="260"/>
      </w:pPr>
      <w:r>
        <w:rPr>
          <w:rFonts w:ascii="Calibri" w:cs="Calibri" w:eastAsia="Calibri" w:hAnsi="Calibri"/>
          <w:sz w:val="20"/>
          <w:szCs w:val="20"/>
        </w:rPr>
        <w:t xml:space="preserve">☐ Pièce d'identité acceptée (passeport/CNI selon destination).</w:t>
      </w:r>
    </w:p>
    <w:p>
      <w:pPr>
        <w:spacing w:after="160" w:before="240"/>
      </w:pPr>
      <w:r>
        <w:rPr>
          <w:rFonts w:ascii="Calibri" w:cs="Calibri" w:eastAsia="Calibri" w:hAnsi="Calibri"/>
          <w:b/>
          <w:bCs/>
          <w:color w:val="1F4E79"/>
          <w:sz w:val="32"/>
          <w:szCs w:val="32"/>
        </w:rPr>
        <w:t xml:space="preserve">12. Mise à jour et validation</w:t>
      </w:r>
    </w:p>
    <w:p>
      <w:pPr>
        <w:pStyle w:val="ListParagraph"/>
        <w:numPr>
          <w:ilvl w:val="0"/>
          <w:numId w:val="2"/>
        </w:numPr>
        <w:spacing w:after="60" w:line="260"/>
      </w:pPr>
      <w:r>
        <w:rPr>
          <w:rFonts w:ascii="Calibri" w:cs="Calibri" w:eastAsia="Calibri" w:hAnsi="Calibri"/>
          <w:sz w:val="20"/>
          <w:szCs w:val="20"/>
        </w:rPr>
        <w:t xml:space="preserve">Fiche mise à jour 30 jours avant chaque départ.</w:t>
      </w:r>
    </w:p>
    <w:p>
      <w:pPr>
        <w:pStyle w:val="ListParagraph"/>
        <w:numPr>
          <w:ilvl w:val="0"/>
          <w:numId w:val="2"/>
        </w:numPr>
        <w:spacing w:after="60" w:line="260"/>
      </w:pPr>
      <w:r>
        <w:rPr>
          <w:rFonts w:ascii="Calibri" w:cs="Calibri" w:eastAsia="Calibri" w:hAnsi="Calibri"/>
          <w:sz w:val="20"/>
          <w:szCs w:val="20"/>
        </w:rPr>
        <w:t xml:space="preserve">Validation par le créateur du voyage + Président Eventy.</w:t>
      </w:r>
    </w:p>
    <w:p>
      <w:pPr>
        <w:pStyle w:val="ListParagraph"/>
        <w:numPr>
          <w:ilvl w:val="0"/>
          <w:numId w:val="2"/>
        </w:numPr>
        <w:spacing w:after="60" w:line="260"/>
      </w:pPr>
      <w:r>
        <w:rPr>
          <w:rFonts w:ascii="Calibri" w:cs="Calibri" w:eastAsia="Calibri" w:hAnsi="Calibri"/>
          <w:sz w:val="20"/>
          <w:szCs w:val="20"/>
        </w:rPr>
        <w:t xml:space="preserve">Sources : France Diplomatie, OMS, ambassade locale, partenaires HRA sur place.</w:t>
      </w:r>
    </w:p>
    <w:p>
      <w:pPr>
        <w:pStyle w:val="ListParagraph"/>
        <w:numPr>
          <w:ilvl w:val="0"/>
          <w:numId w:val="2"/>
        </w:numPr>
        <w:spacing w:after="60" w:line="260"/>
      </w:pPr>
      <w:r>
        <w:rPr>
          <w:rFonts w:ascii="Calibri" w:cs="Calibri" w:eastAsia="Calibri" w:hAnsi="Calibri"/>
          <w:sz w:val="20"/>
          <w:szCs w:val="20"/>
        </w:rPr>
        <w:t xml:space="preserve">Mise à jour exceptionnelle si crise / événement (cohérence Procédure de gestion de crise communication).</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et information voyageur — Version 1.0 — 2 mai 2026. Validité 6 mois.</w:t>
      </w:r>
    </w:p>
    <w:p>
      <w:pPr>
        <w:spacing w:after="100" w:line="280"/>
        <w:jc w:val="both"/>
      </w:pPr>
      <w:r>
        <w:rPr>
          <w:rFonts w:ascii="Calibri" w:cs="Calibri" w:eastAsia="Calibri" w:hAnsi="Calibri"/>
          <w:i/>
          <w:iCs/>
          <w:color w:val="555555"/>
          <w:sz w:val="18"/>
          <w:szCs w:val="18"/>
        </w:rPr>
        <w:t xml:space="preserve">Cohérence avec : Manuel d'incident voyage, Pack Sérénité, Fiche santé voyageur international, Document administratif voyageur, Procédure de gestion de crise communication, Grille de décision destinations.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Consignes sécurité destination</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Consignes sécurité destination</dc:title>
  <dc:creator>David Eventy — Eventy Life SAS</dc:creator>
  <dc:description>Modèle de fiche pays sécurité voyageur international.</dc:description>
  <cp:lastModifiedBy>Un-named</cp:lastModifiedBy>
  <cp:revision>1</cp:revision>
  <dcterms:created xsi:type="dcterms:W3CDTF">2026-05-01T23:23:19.390Z</dcterms:created>
  <dcterms:modified xsi:type="dcterms:W3CDTF">2026-05-01T23:23:19.391Z</dcterms:modified>
</cp:coreProperties>
</file>

<file path=docProps/custom.xml><?xml version="1.0" encoding="utf-8"?>
<Properties xmlns="http://schemas.openxmlformats.org/officeDocument/2006/custom-properties" xmlns:vt="http://schemas.openxmlformats.org/officeDocument/2006/docPropsVTypes"/>
</file>