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GUIDE UTILISATION PORTAIL HRA EVENTY</w:t>
            </w:r>
          </w:p>
          <w:p>
            <w:pPr>
              <w:spacing w:after="0"/>
              <w:jc w:val="center"/>
            </w:pPr>
            <w:r>
              <w:rPr>
                <w:rFonts w:ascii="Calibri" w:cs="Calibri" w:eastAsia="Calibri" w:hAnsi="Calibri"/>
                <w:i/>
                <w:iCs/>
                <w:color w:val="1F4E79"/>
                <w:sz w:val="18"/>
                <w:szCs w:val="18"/>
              </w:rPr>
              <w:t xml:space="preserve">Mode d'emploi pour Hôtels, Restaurants et sites d'Activité partenaires</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Ce guide accompagne les partenaires HRA (Hôtels, Restaurants, Activités) d'EVENTY LIFE SAS dans l'utilisation de leur portail dédié. Il complète le Contrat HRA Partenaire, la Charte fournisseurs, et la Procédure d'audit qualité HRA — il en est la traduction opérationnelle au quotidien.</w:t>
      </w:r>
    </w:p>
    <w:p>
      <w:pPr>
        <w:spacing w:after="100" w:line="280"/>
        <w:jc w:val="both"/>
      </w:pPr>
      <w:r>
        <w:rPr>
          <w:rFonts w:ascii="Calibri" w:cs="Calibri" w:eastAsia="Calibri" w:hAnsi="Calibri"/>
          <w:i/>
          <w:iCs/>
          <w:color w:val="1A1A1A"/>
          <w:sz w:val="20"/>
          <w:szCs w:val="20"/>
        </w:rPr>
        <w:t xml:space="preserve">Le portail HRA est ton outil de coordination avec Eventy : tu y reçois les commandes des voyages Eventy, tu confirmes la disponibilité, tu suis tes facturations, et tu accèdes à tes statistiques. Il est conçu pour être simple, rapide, utilisable même sans grande aisance technique.</w:t>
      </w:r>
    </w:p>
    <w:p>
      <w:pPr>
        <w:spacing w:after="160" w:before="240"/>
      </w:pPr>
      <w:r>
        <w:rPr>
          <w:rFonts w:ascii="Calibri" w:cs="Calibri" w:eastAsia="Calibri" w:hAnsi="Calibri"/>
          <w:b/>
          <w:bCs/>
          <w:color w:val="1F4E79"/>
          <w:sz w:val="32"/>
          <w:szCs w:val="32"/>
        </w:rPr>
        <w:t xml:space="preserve">1. Accès et premiers pas</w:t>
      </w:r>
    </w:p>
    <w:p>
      <w:pPr>
        <w:spacing w:after="100" w:before="220"/>
      </w:pPr>
      <w:r>
        <w:rPr>
          <w:rFonts w:ascii="Calibri" w:cs="Calibri" w:eastAsia="Calibri" w:hAnsi="Calibri"/>
          <w:b/>
          <w:bCs/>
          <w:color w:val="E87722"/>
          <w:sz w:val="22"/>
          <w:szCs w:val="22"/>
        </w:rPr>
        <w:t xml:space="preserve">1.1. Connexion</w:t>
      </w:r>
    </w:p>
    <w:p>
      <w:pPr>
        <w:pStyle w:val="ListParagraph"/>
        <w:numPr>
          <w:ilvl w:val="0"/>
          <w:numId w:val="2"/>
        </w:numPr>
        <w:spacing w:after="60" w:line="260"/>
      </w:pPr>
      <w:r>
        <w:rPr>
          <w:rFonts w:ascii="Calibri" w:cs="Calibri" w:eastAsia="Calibri" w:hAnsi="Calibri"/>
          <w:sz w:val="20"/>
          <w:szCs w:val="20"/>
        </w:rPr>
        <w:t xml:space="preserve">URL : eventylife.fr/maisons.</w:t>
      </w:r>
    </w:p>
    <w:p>
      <w:pPr>
        <w:pStyle w:val="ListParagraph"/>
        <w:numPr>
          <w:ilvl w:val="0"/>
          <w:numId w:val="2"/>
        </w:numPr>
        <w:spacing w:after="60" w:line="260"/>
      </w:pPr>
      <w:r>
        <w:rPr>
          <w:rFonts w:ascii="Calibri" w:cs="Calibri" w:eastAsia="Calibri" w:hAnsi="Calibri"/>
          <w:sz w:val="20"/>
          <w:szCs w:val="20"/>
        </w:rPr>
        <w:t xml:space="preserve">Identifiants : email + mot de passe (12 caractères minimum).</w:t>
      </w:r>
    </w:p>
    <w:p>
      <w:pPr>
        <w:pStyle w:val="ListParagraph"/>
        <w:numPr>
          <w:ilvl w:val="0"/>
          <w:numId w:val="2"/>
        </w:numPr>
        <w:spacing w:after="60" w:line="260"/>
      </w:pPr>
      <w:r>
        <w:rPr>
          <w:rFonts w:ascii="Calibri" w:cs="Calibri" w:eastAsia="Calibri" w:hAnsi="Calibri"/>
          <w:sz w:val="20"/>
          <w:szCs w:val="20"/>
        </w:rPr>
        <w:t xml:space="preserve">MFA obligatoire (cohérence Politique cybersécurité).</w:t>
      </w:r>
    </w:p>
    <w:p>
      <w:pPr>
        <w:pStyle w:val="ListParagraph"/>
        <w:numPr>
          <w:ilvl w:val="0"/>
          <w:numId w:val="2"/>
        </w:numPr>
        <w:spacing w:after="60" w:line="260"/>
      </w:pPr>
      <w:r>
        <w:rPr>
          <w:rFonts w:ascii="Calibri" w:cs="Calibri" w:eastAsia="Calibri" w:hAnsi="Calibri"/>
          <w:sz w:val="20"/>
          <w:szCs w:val="20"/>
        </w:rPr>
        <w:t xml:space="preserve">Compte créé après signature du Contrat HRA Partenaire.</w:t>
      </w:r>
    </w:p>
    <w:p>
      <w:pPr>
        <w:spacing w:after="100" w:before="220"/>
      </w:pPr>
      <w:r>
        <w:rPr>
          <w:rFonts w:ascii="Calibri" w:cs="Calibri" w:eastAsia="Calibri" w:hAnsi="Calibri"/>
          <w:b/>
          <w:bCs/>
          <w:color w:val="E87722"/>
          <w:sz w:val="22"/>
          <w:szCs w:val="22"/>
        </w:rPr>
        <w:t xml:space="preserve">1.2. Tableau de bord d'accueil</w:t>
      </w:r>
    </w:p>
    <w:p>
      <w:pPr>
        <w:pStyle w:val="ListParagraph"/>
        <w:numPr>
          <w:ilvl w:val="0"/>
          <w:numId w:val="2"/>
        </w:numPr>
        <w:spacing w:after="60" w:line="260"/>
      </w:pPr>
      <w:r>
        <w:rPr>
          <w:rFonts w:ascii="Calibri" w:cs="Calibri" w:eastAsia="Calibri" w:hAnsi="Calibri"/>
          <w:sz w:val="20"/>
          <w:szCs w:val="20"/>
        </w:rPr>
        <w:t xml:space="preserve">Commandes en cours (à confirmer, à honorer prochainement).</w:t>
      </w:r>
    </w:p>
    <w:p>
      <w:pPr>
        <w:pStyle w:val="ListParagraph"/>
        <w:numPr>
          <w:ilvl w:val="0"/>
          <w:numId w:val="2"/>
        </w:numPr>
        <w:spacing w:after="60" w:line="260"/>
      </w:pPr>
      <w:r>
        <w:rPr>
          <w:rFonts w:ascii="Calibri" w:cs="Calibri" w:eastAsia="Calibri" w:hAnsi="Calibri"/>
          <w:sz w:val="20"/>
          <w:szCs w:val="20"/>
        </w:rPr>
        <w:t xml:space="preserve">Calendrier des voyages prévus dans ton établissement.</w:t>
      </w:r>
    </w:p>
    <w:p>
      <w:pPr>
        <w:pStyle w:val="ListParagraph"/>
        <w:numPr>
          <w:ilvl w:val="0"/>
          <w:numId w:val="2"/>
        </w:numPr>
        <w:spacing w:after="60" w:line="260"/>
      </w:pPr>
      <w:r>
        <w:rPr>
          <w:rFonts w:ascii="Calibri" w:cs="Calibri" w:eastAsia="Calibri" w:hAnsi="Calibri"/>
          <w:sz w:val="20"/>
          <w:szCs w:val="20"/>
        </w:rPr>
        <w:t xml:space="preserve">Indicateurs : taux d'occupation Eventy, NPS voyageurs, factures à régler.</w:t>
      </w:r>
    </w:p>
    <w:p>
      <w:pPr>
        <w:pStyle w:val="ListParagraph"/>
        <w:numPr>
          <w:ilvl w:val="0"/>
          <w:numId w:val="2"/>
        </w:numPr>
        <w:spacing w:after="60" w:line="260"/>
      </w:pPr>
      <w:r>
        <w:rPr>
          <w:rFonts w:ascii="Calibri" w:cs="Calibri" w:eastAsia="Calibri" w:hAnsi="Calibri"/>
          <w:sz w:val="20"/>
          <w:szCs w:val="20"/>
        </w:rPr>
        <w:t xml:space="preserve">Notifications : nouvelle commande, audit programmé, message Eventy.</w:t>
      </w:r>
    </w:p>
    <w:p>
      <w:pPr>
        <w:spacing w:after="160" w:before="240"/>
      </w:pPr>
      <w:r>
        <w:rPr>
          <w:rFonts w:ascii="Calibri" w:cs="Calibri" w:eastAsia="Calibri" w:hAnsi="Calibri"/>
          <w:b/>
          <w:bCs/>
          <w:color w:val="1F4E79"/>
          <w:sz w:val="32"/>
          <w:szCs w:val="32"/>
        </w:rPr>
        <w:t xml:space="preserve">2. Profil de l'établissement</w:t>
      </w:r>
    </w:p>
    <w:p>
      <w:pPr>
        <w:spacing w:after="100" w:before="220"/>
      </w:pPr>
      <w:r>
        <w:rPr>
          <w:rFonts w:ascii="Calibri" w:cs="Calibri" w:eastAsia="Calibri" w:hAnsi="Calibri"/>
          <w:b/>
          <w:bCs/>
          <w:color w:val="E87722"/>
          <w:sz w:val="22"/>
          <w:szCs w:val="22"/>
        </w:rPr>
        <w:t xml:space="preserve">2.1. Onglet « Mon établissement »</w:t>
      </w:r>
    </w:p>
    <w:p>
      <w:pPr>
        <w:pStyle w:val="ListParagraph"/>
        <w:numPr>
          <w:ilvl w:val="0"/>
          <w:numId w:val="2"/>
        </w:numPr>
        <w:spacing w:after="60" w:line="260"/>
      </w:pPr>
      <w:r>
        <w:rPr>
          <w:rFonts w:ascii="Calibri" w:cs="Calibri" w:eastAsia="Calibri" w:hAnsi="Calibri"/>
          <w:sz w:val="20"/>
          <w:szCs w:val="20"/>
        </w:rPr>
        <w:t xml:space="preserve">Identité (raison sociale, SIREN, adresse, contact principal).</w:t>
      </w:r>
    </w:p>
    <w:p>
      <w:pPr>
        <w:pStyle w:val="ListParagraph"/>
        <w:numPr>
          <w:ilvl w:val="0"/>
          <w:numId w:val="2"/>
        </w:numPr>
        <w:spacing w:after="60" w:line="260"/>
      </w:pPr>
      <w:r>
        <w:rPr>
          <w:rFonts w:ascii="Calibri" w:cs="Calibri" w:eastAsia="Calibri" w:hAnsi="Calibri"/>
          <w:sz w:val="20"/>
          <w:szCs w:val="20"/>
        </w:rPr>
        <w:t xml:space="preserve">Description (services, spécialités, capacité d'accueil).</w:t>
      </w:r>
    </w:p>
    <w:p>
      <w:pPr>
        <w:pStyle w:val="ListParagraph"/>
        <w:numPr>
          <w:ilvl w:val="0"/>
          <w:numId w:val="2"/>
        </w:numPr>
        <w:spacing w:after="60" w:line="260"/>
      </w:pPr>
      <w:r>
        <w:rPr>
          <w:rFonts w:ascii="Calibri" w:cs="Calibri" w:eastAsia="Calibri" w:hAnsi="Calibri"/>
          <w:sz w:val="20"/>
          <w:szCs w:val="20"/>
        </w:rPr>
        <w:t xml:space="preserve">Photos haute définition (≥ 8, mises à jour annuelles recommandées).</w:t>
      </w:r>
    </w:p>
    <w:p>
      <w:pPr>
        <w:pStyle w:val="ListParagraph"/>
        <w:numPr>
          <w:ilvl w:val="0"/>
          <w:numId w:val="2"/>
        </w:numPr>
        <w:spacing w:after="60" w:line="260"/>
      </w:pPr>
      <w:r>
        <w:rPr>
          <w:rFonts w:ascii="Calibri" w:cs="Calibri" w:eastAsia="Calibri" w:hAnsi="Calibri"/>
          <w:sz w:val="20"/>
          <w:szCs w:val="20"/>
        </w:rPr>
        <w:t xml:space="preserve">Labels et certifications (Clef Verte, Écolabel, Tourisme et Handicap, Maître Restaurateur).</w:t>
      </w:r>
    </w:p>
    <w:p>
      <w:pPr>
        <w:pStyle w:val="ListParagraph"/>
        <w:numPr>
          <w:ilvl w:val="0"/>
          <w:numId w:val="2"/>
        </w:numPr>
        <w:spacing w:after="60" w:line="260"/>
      </w:pPr>
      <w:r>
        <w:rPr>
          <w:rFonts w:ascii="Calibri" w:cs="Calibri" w:eastAsia="Calibri" w:hAnsi="Calibri"/>
          <w:sz w:val="20"/>
          <w:szCs w:val="20"/>
        </w:rPr>
        <w:t xml:space="preserve">Fiches techniques (chambres, menus, activités, tarifs négociés).</w:t>
      </w:r>
    </w:p>
    <w:p>
      <w:pPr>
        <w:spacing w:after="100" w:before="220"/>
      </w:pPr>
      <w:r>
        <w:rPr>
          <w:rFonts w:ascii="Calibri" w:cs="Calibri" w:eastAsia="Calibri" w:hAnsi="Calibri"/>
          <w:b/>
          <w:bCs/>
          <w:color w:val="E87722"/>
          <w:sz w:val="22"/>
          <w:szCs w:val="22"/>
        </w:rPr>
        <w:t xml:space="preserve">2.2. Disponibilités et calendrier</w:t>
      </w:r>
    </w:p>
    <w:p>
      <w:pPr>
        <w:pStyle w:val="ListParagraph"/>
        <w:numPr>
          <w:ilvl w:val="0"/>
          <w:numId w:val="2"/>
        </w:numPr>
        <w:spacing w:after="60" w:line="260"/>
      </w:pPr>
      <w:r>
        <w:rPr>
          <w:rFonts w:ascii="Calibri" w:cs="Calibri" w:eastAsia="Calibri" w:hAnsi="Calibri"/>
          <w:sz w:val="20"/>
          <w:szCs w:val="20"/>
        </w:rPr>
        <w:t xml:space="preserve">Calendrier de disponibilité (à mettre à jour mensuellement).</w:t>
      </w:r>
    </w:p>
    <w:p>
      <w:pPr>
        <w:pStyle w:val="ListParagraph"/>
        <w:numPr>
          <w:ilvl w:val="0"/>
          <w:numId w:val="2"/>
        </w:numPr>
        <w:spacing w:after="60" w:line="260"/>
      </w:pPr>
      <w:r>
        <w:rPr>
          <w:rFonts w:ascii="Calibri" w:cs="Calibri" w:eastAsia="Calibri" w:hAnsi="Calibri"/>
          <w:sz w:val="20"/>
          <w:szCs w:val="20"/>
        </w:rPr>
        <w:t xml:space="preserve">Périodes de fermeture annuelles.</w:t>
      </w:r>
    </w:p>
    <w:p>
      <w:pPr>
        <w:pStyle w:val="ListParagraph"/>
        <w:numPr>
          <w:ilvl w:val="0"/>
          <w:numId w:val="2"/>
        </w:numPr>
        <w:spacing w:after="60" w:line="260"/>
      </w:pPr>
      <w:r>
        <w:rPr>
          <w:rFonts w:ascii="Calibri" w:cs="Calibri" w:eastAsia="Calibri" w:hAnsi="Calibri"/>
          <w:sz w:val="20"/>
          <w:szCs w:val="20"/>
        </w:rPr>
        <w:t xml:space="preserve">Saisonnalité tarifaire (haute / moyenne / basse saison).</w:t>
      </w:r>
    </w:p>
    <w:p>
      <w:pPr>
        <w:pStyle w:val="ListParagraph"/>
        <w:numPr>
          <w:ilvl w:val="0"/>
          <w:numId w:val="2"/>
        </w:numPr>
        <w:spacing w:after="60" w:line="260"/>
      </w:pPr>
      <w:r>
        <w:rPr>
          <w:rFonts w:ascii="Calibri" w:cs="Calibri" w:eastAsia="Calibri" w:hAnsi="Calibri"/>
          <w:sz w:val="20"/>
          <w:szCs w:val="20"/>
        </w:rPr>
        <w:t xml:space="preserve">Nombre maximum de voyageurs Eventy par période.</w:t>
      </w:r>
    </w:p>
    <w:p>
      <w:pPr>
        <w:spacing w:after="100" w:before="220"/>
      </w:pPr>
      <w:r>
        <w:rPr>
          <w:rFonts w:ascii="Calibri" w:cs="Calibri" w:eastAsia="Calibri" w:hAnsi="Calibri"/>
          <w:b/>
          <w:bCs/>
          <w:color w:val="E87722"/>
          <w:sz w:val="22"/>
          <w:szCs w:val="22"/>
        </w:rPr>
        <w:t xml:space="preserve">2.3. Engagement RSE</w:t>
      </w:r>
    </w:p>
    <w:p>
      <w:pPr>
        <w:pStyle w:val="ListParagraph"/>
        <w:numPr>
          <w:ilvl w:val="0"/>
          <w:numId w:val="2"/>
        </w:numPr>
        <w:spacing w:after="60" w:line="260"/>
      </w:pPr>
      <w:r>
        <w:rPr>
          <w:rFonts w:ascii="Calibri" w:cs="Calibri" w:eastAsia="Calibri" w:hAnsi="Calibri"/>
          <w:sz w:val="20"/>
          <w:szCs w:val="20"/>
        </w:rPr>
        <w:t xml:space="preserve">Engagement RSE volontaire (cohérence Charte fournisseurs).</w:t>
      </w:r>
    </w:p>
    <w:p>
      <w:pPr>
        <w:pStyle w:val="ListParagraph"/>
        <w:numPr>
          <w:ilvl w:val="0"/>
          <w:numId w:val="2"/>
        </w:numPr>
        <w:spacing w:after="60" w:line="260"/>
      </w:pPr>
      <w:r>
        <w:rPr>
          <w:rFonts w:ascii="Calibri" w:cs="Calibri" w:eastAsia="Calibri" w:hAnsi="Calibri"/>
          <w:sz w:val="20"/>
          <w:szCs w:val="20"/>
        </w:rPr>
        <w:t xml:space="preserve">Diagnostic énergétique (DPE).</w:t>
      </w:r>
    </w:p>
    <w:p>
      <w:pPr>
        <w:pStyle w:val="ListParagraph"/>
        <w:numPr>
          <w:ilvl w:val="0"/>
          <w:numId w:val="2"/>
        </w:numPr>
        <w:spacing w:after="60" w:line="260"/>
      </w:pPr>
      <w:r>
        <w:rPr>
          <w:rFonts w:ascii="Calibri" w:cs="Calibri" w:eastAsia="Calibri" w:hAnsi="Calibri"/>
          <w:sz w:val="20"/>
          <w:szCs w:val="20"/>
        </w:rPr>
        <w:t xml:space="preserve">Politique déchets, eau, économies d'énergie.</w:t>
      </w:r>
    </w:p>
    <w:p>
      <w:pPr>
        <w:pStyle w:val="ListParagraph"/>
        <w:numPr>
          <w:ilvl w:val="0"/>
          <w:numId w:val="2"/>
        </w:numPr>
        <w:spacing w:after="60" w:line="260"/>
      </w:pPr>
      <w:r>
        <w:rPr>
          <w:rFonts w:ascii="Calibri" w:cs="Calibri" w:eastAsia="Calibri" w:hAnsi="Calibri"/>
          <w:sz w:val="20"/>
          <w:szCs w:val="20"/>
        </w:rPr>
        <w:t xml:space="preserve">Approvisionnement local (restaurants).</w:t>
      </w:r>
    </w:p>
    <w:p>
      <w:pPr>
        <w:spacing w:after="160" w:before="240"/>
      </w:pPr>
      <w:r>
        <w:rPr>
          <w:rFonts w:ascii="Calibri" w:cs="Calibri" w:eastAsia="Calibri" w:hAnsi="Calibri"/>
          <w:b/>
          <w:bCs/>
          <w:color w:val="1F4E79"/>
          <w:sz w:val="32"/>
          <w:szCs w:val="32"/>
        </w:rPr>
        <w:t xml:space="preserve">3. Recevoir et confirmer une commande</w:t>
      </w:r>
    </w:p>
    <w:p>
      <w:pPr>
        <w:spacing w:after="100" w:before="220"/>
      </w:pPr>
      <w:r>
        <w:rPr>
          <w:rFonts w:ascii="Calibri" w:cs="Calibri" w:eastAsia="Calibri" w:hAnsi="Calibri"/>
          <w:b/>
          <w:bCs/>
          <w:color w:val="E87722"/>
          <w:sz w:val="22"/>
          <w:szCs w:val="22"/>
        </w:rPr>
        <w:t xml:space="preserve">3.1. Réception</w:t>
      </w:r>
    </w:p>
    <w:p>
      <w:pPr>
        <w:pStyle w:val="ListParagraph"/>
        <w:numPr>
          <w:ilvl w:val="0"/>
          <w:numId w:val="2"/>
        </w:numPr>
        <w:spacing w:after="60" w:line="260"/>
      </w:pPr>
      <w:r>
        <w:rPr>
          <w:rFonts w:ascii="Calibri" w:cs="Calibri" w:eastAsia="Calibri" w:hAnsi="Calibri"/>
          <w:sz w:val="20"/>
          <w:szCs w:val="20"/>
        </w:rPr>
        <w:t xml:space="preserve">Notification email + alerte sur portail à chaque nouvelle commande.</w:t>
      </w:r>
    </w:p>
    <w:p>
      <w:pPr>
        <w:pStyle w:val="ListParagraph"/>
        <w:numPr>
          <w:ilvl w:val="0"/>
          <w:numId w:val="2"/>
        </w:numPr>
        <w:spacing w:after="60" w:line="260"/>
      </w:pPr>
      <w:r>
        <w:rPr>
          <w:rFonts w:ascii="Calibri" w:cs="Calibri" w:eastAsia="Calibri" w:hAnsi="Calibri"/>
          <w:sz w:val="20"/>
          <w:szCs w:val="20"/>
        </w:rPr>
        <w:t xml:space="preserve">Détail : voyage Eventy concerné, dates, nombre de voyageurs, prestations attendues.</w:t>
      </w:r>
    </w:p>
    <w:p>
      <w:pPr>
        <w:pStyle w:val="ListParagraph"/>
        <w:numPr>
          <w:ilvl w:val="0"/>
          <w:numId w:val="2"/>
        </w:numPr>
        <w:spacing w:after="60" w:line="260"/>
      </w:pPr>
      <w:r>
        <w:rPr>
          <w:rFonts w:ascii="Calibri" w:cs="Calibri" w:eastAsia="Calibri" w:hAnsi="Calibri"/>
          <w:sz w:val="20"/>
          <w:szCs w:val="20"/>
        </w:rPr>
        <w:t xml:space="preserve">Délai de confirmation : sous 7 jours ouvrés (idéalement 48 h).</w:t>
      </w:r>
    </w:p>
    <w:p>
      <w:pPr>
        <w:spacing w:after="100" w:before="220"/>
      </w:pPr>
      <w:r>
        <w:rPr>
          <w:rFonts w:ascii="Calibri" w:cs="Calibri" w:eastAsia="Calibri" w:hAnsi="Calibri"/>
          <w:b/>
          <w:bCs/>
          <w:color w:val="E87722"/>
          <w:sz w:val="22"/>
          <w:szCs w:val="22"/>
        </w:rPr>
        <w:t xml:space="preserve">3.2. Confirmation</w:t>
      </w:r>
    </w:p>
    <w:p>
      <w:pPr>
        <w:pStyle w:val="ListParagraph"/>
        <w:numPr>
          <w:ilvl w:val="0"/>
          <w:numId w:val="2"/>
        </w:numPr>
        <w:spacing w:after="60" w:line="260"/>
      </w:pPr>
      <w:r>
        <w:rPr>
          <w:rFonts w:ascii="Calibri" w:cs="Calibri" w:eastAsia="Calibri" w:hAnsi="Calibri"/>
          <w:sz w:val="20"/>
          <w:szCs w:val="20"/>
        </w:rPr>
        <w:t xml:space="preserve">Boutons « Confirmer » / « Demander des informations » / « Refuser ».</w:t>
      </w:r>
    </w:p>
    <w:p>
      <w:pPr>
        <w:pStyle w:val="ListParagraph"/>
        <w:numPr>
          <w:ilvl w:val="0"/>
          <w:numId w:val="2"/>
        </w:numPr>
        <w:spacing w:after="60" w:line="260"/>
      </w:pPr>
      <w:r>
        <w:rPr>
          <w:rFonts w:ascii="Calibri" w:cs="Calibri" w:eastAsia="Calibri" w:hAnsi="Calibri"/>
          <w:sz w:val="20"/>
          <w:szCs w:val="20"/>
        </w:rPr>
        <w:t xml:space="preserve">Possibilité d'ajouter des notes opérationnelles (besoins spécifiques voyageurs, allergies).</w:t>
      </w:r>
    </w:p>
    <w:p>
      <w:pPr>
        <w:pStyle w:val="ListParagraph"/>
        <w:numPr>
          <w:ilvl w:val="0"/>
          <w:numId w:val="2"/>
        </w:numPr>
        <w:spacing w:after="60" w:line="260"/>
      </w:pPr>
      <w:r>
        <w:rPr>
          <w:rFonts w:ascii="Calibri" w:cs="Calibri" w:eastAsia="Calibri" w:hAnsi="Calibri"/>
          <w:sz w:val="20"/>
          <w:szCs w:val="20"/>
        </w:rPr>
        <w:t xml:space="preserve">Bon de commande HRA généré automatiquement (cohérence Bon de Commande HRA).</w:t>
      </w:r>
    </w:p>
    <w:p>
      <w:pPr>
        <w:spacing w:after="100" w:before="220"/>
      </w:pPr>
      <w:r>
        <w:rPr>
          <w:rFonts w:ascii="Calibri" w:cs="Calibri" w:eastAsia="Calibri" w:hAnsi="Calibri"/>
          <w:b/>
          <w:bCs/>
          <w:color w:val="E87722"/>
          <w:sz w:val="22"/>
          <w:szCs w:val="22"/>
        </w:rPr>
        <w:t xml:space="preserve">3.3. Modifications</w:t>
      </w:r>
    </w:p>
    <w:p>
      <w:pPr>
        <w:pStyle w:val="ListParagraph"/>
        <w:numPr>
          <w:ilvl w:val="0"/>
          <w:numId w:val="2"/>
        </w:numPr>
        <w:spacing w:after="60" w:line="260"/>
      </w:pPr>
      <w:r>
        <w:rPr>
          <w:rFonts w:ascii="Calibri" w:cs="Calibri" w:eastAsia="Calibri" w:hAnsi="Calibri"/>
          <w:sz w:val="20"/>
          <w:szCs w:val="20"/>
        </w:rPr>
        <w:t xml:space="preserve">Modifications mineures (nombre voyageurs ± 3) acceptées sous 7 j avant arrivée.</w:t>
      </w:r>
    </w:p>
    <w:p>
      <w:pPr>
        <w:pStyle w:val="ListParagraph"/>
        <w:numPr>
          <w:ilvl w:val="0"/>
          <w:numId w:val="2"/>
        </w:numPr>
        <w:spacing w:after="60" w:line="260"/>
      </w:pPr>
      <w:r>
        <w:rPr>
          <w:rFonts w:ascii="Calibri" w:cs="Calibri" w:eastAsia="Calibri" w:hAnsi="Calibri"/>
          <w:sz w:val="20"/>
          <w:szCs w:val="20"/>
        </w:rPr>
        <w:t xml:space="preserve">Modifications majeures : concertation avec Eventy.</w:t>
      </w:r>
    </w:p>
    <w:p>
      <w:pPr>
        <w:pStyle w:val="ListParagraph"/>
        <w:numPr>
          <w:ilvl w:val="0"/>
          <w:numId w:val="2"/>
        </w:numPr>
        <w:spacing w:after="60" w:line="260"/>
      </w:pPr>
      <w:r>
        <w:rPr>
          <w:rFonts w:ascii="Calibri" w:cs="Calibri" w:eastAsia="Calibri" w:hAnsi="Calibri"/>
          <w:sz w:val="20"/>
          <w:szCs w:val="20"/>
        </w:rPr>
        <w:t xml:space="preserve">Annulation par Eventy : délais et conditions cohérents avec contrat HRA.</w:t>
      </w:r>
    </w:p>
    <w:p>
      <w:pPr>
        <w:spacing w:after="160" w:before="240"/>
      </w:pPr>
      <w:r>
        <w:rPr>
          <w:rFonts w:ascii="Calibri" w:cs="Calibri" w:eastAsia="Calibri" w:hAnsi="Calibri"/>
          <w:b/>
          <w:bCs/>
          <w:color w:val="1F4E79"/>
          <w:sz w:val="32"/>
          <w:szCs w:val="32"/>
        </w:rPr>
        <w:t xml:space="preserve">4. Pendant le voyage</w:t>
      </w:r>
    </w:p>
    <w:p>
      <w:pPr>
        <w:spacing w:after="100" w:before="220"/>
      </w:pPr>
      <w:r>
        <w:rPr>
          <w:rFonts w:ascii="Calibri" w:cs="Calibri" w:eastAsia="Calibri" w:hAnsi="Calibri"/>
          <w:b/>
          <w:bCs/>
          <w:color w:val="E87722"/>
          <w:sz w:val="22"/>
          <w:szCs w:val="22"/>
        </w:rPr>
        <w:t xml:space="preserve">4.1. Liste des voyageurs</w:t>
      </w:r>
    </w:p>
    <w:p>
      <w:pPr>
        <w:pStyle w:val="ListParagraph"/>
        <w:numPr>
          <w:ilvl w:val="0"/>
          <w:numId w:val="2"/>
        </w:numPr>
        <w:spacing w:after="60" w:line="260"/>
      </w:pPr>
      <w:r>
        <w:rPr>
          <w:rFonts w:ascii="Calibri" w:cs="Calibri" w:eastAsia="Calibri" w:hAnsi="Calibri"/>
          <w:sz w:val="20"/>
          <w:szCs w:val="20"/>
        </w:rPr>
        <w:t xml:space="preserve">Liste nominative reçue J-7 avant l'arrivée (cohérence RGPD : finalité opérationnelle uniquement).</w:t>
      </w:r>
    </w:p>
    <w:p>
      <w:pPr>
        <w:pStyle w:val="ListParagraph"/>
        <w:numPr>
          <w:ilvl w:val="0"/>
          <w:numId w:val="2"/>
        </w:numPr>
        <w:spacing w:after="60" w:line="260"/>
      </w:pPr>
      <w:r>
        <w:rPr>
          <w:rFonts w:ascii="Calibri" w:cs="Calibri" w:eastAsia="Calibri" w:hAnsi="Calibri"/>
          <w:sz w:val="20"/>
          <w:szCs w:val="20"/>
        </w:rPr>
        <w:t xml:space="preserve">Besoins spécifiques signalés (allergies, mobilité, animaux d'assistance).</w:t>
      </w:r>
    </w:p>
    <w:p>
      <w:pPr>
        <w:pStyle w:val="ListParagraph"/>
        <w:numPr>
          <w:ilvl w:val="0"/>
          <w:numId w:val="2"/>
        </w:numPr>
        <w:spacing w:after="60" w:line="260"/>
      </w:pPr>
      <w:r>
        <w:rPr>
          <w:rFonts w:ascii="Calibri" w:cs="Calibri" w:eastAsia="Calibri" w:hAnsi="Calibri"/>
          <w:sz w:val="20"/>
          <w:szCs w:val="20"/>
        </w:rPr>
        <w:t xml:space="preserve">Suppression automatique des données après le voyage (durée légale comptable conservée séparément).</w:t>
      </w:r>
    </w:p>
    <w:p>
      <w:pPr>
        <w:spacing w:after="100" w:before="220"/>
      </w:pPr>
      <w:r>
        <w:rPr>
          <w:rFonts w:ascii="Calibri" w:cs="Calibri" w:eastAsia="Calibri" w:hAnsi="Calibri"/>
          <w:b/>
          <w:bCs/>
          <w:color w:val="E87722"/>
          <w:sz w:val="22"/>
          <w:szCs w:val="22"/>
        </w:rPr>
        <w:t xml:space="preserve">4.2. Communication accompagnateur</w:t>
      </w:r>
    </w:p>
    <w:p>
      <w:pPr>
        <w:pStyle w:val="ListParagraph"/>
        <w:numPr>
          <w:ilvl w:val="0"/>
          <w:numId w:val="2"/>
        </w:numPr>
        <w:spacing w:after="60" w:line="260"/>
      </w:pPr>
      <w:r>
        <w:rPr>
          <w:rFonts w:ascii="Calibri" w:cs="Calibri" w:eastAsia="Calibri" w:hAnsi="Calibri"/>
          <w:sz w:val="20"/>
          <w:szCs w:val="20"/>
        </w:rPr>
        <w:t xml:space="preserve">Coordonnées de l'accompagnateur Eventy reçues J-7.</w:t>
      </w:r>
    </w:p>
    <w:p>
      <w:pPr>
        <w:pStyle w:val="ListParagraph"/>
        <w:numPr>
          <w:ilvl w:val="0"/>
          <w:numId w:val="2"/>
        </w:numPr>
        <w:spacing w:after="60" w:line="260"/>
      </w:pPr>
      <w:r>
        <w:rPr>
          <w:rFonts w:ascii="Calibri" w:cs="Calibri" w:eastAsia="Calibri" w:hAnsi="Calibri"/>
          <w:sz w:val="20"/>
          <w:szCs w:val="20"/>
        </w:rPr>
        <w:t xml:space="preserve">Application messagerie ou WhatsApp pour la coordination quotidienne.</w:t>
      </w:r>
    </w:p>
    <w:p>
      <w:pPr>
        <w:pStyle w:val="ListParagraph"/>
        <w:numPr>
          <w:ilvl w:val="0"/>
          <w:numId w:val="2"/>
        </w:numPr>
        <w:spacing w:after="60" w:line="260"/>
      </w:pPr>
      <w:r>
        <w:rPr>
          <w:rFonts w:ascii="Calibri" w:cs="Calibri" w:eastAsia="Calibri" w:hAnsi="Calibri"/>
          <w:sz w:val="20"/>
          <w:szCs w:val="20"/>
        </w:rPr>
        <w:t xml:space="preserve">Procédure incident en cas de problème (cohérence Manuel d'incident voyage).</w:t>
      </w:r>
    </w:p>
    <w:p>
      <w:pPr>
        <w:spacing w:after="160" w:before="240"/>
      </w:pPr>
      <w:r>
        <w:rPr>
          <w:rFonts w:ascii="Calibri" w:cs="Calibri" w:eastAsia="Calibri" w:hAnsi="Calibri"/>
          <w:b/>
          <w:bCs/>
          <w:color w:val="1F4E79"/>
          <w:sz w:val="32"/>
          <w:szCs w:val="32"/>
        </w:rPr>
        <w:t xml:space="preserve">5. Facturation et paiement</w:t>
      </w:r>
    </w:p>
    <w:p>
      <w:pPr>
        <w:spacing w:after="100" w:before="220"/>
      </w:pPr>
      <w:r>
        <w:rPr>
          <w:rFonts w:ascii="Calibri" w:cs="Calibri" w:eastAsia="Calibri" w:hAnsi="Calibri"/>
          <w:b/>
          <w:bCs/>
          <w:color w:val="E87722"/>
          <w:sz w:val="22"/>
          <w:szCs w:val="22"/>
        </w:rPr>
        <w:t xml:space="preserve">5.1. Émission des factures</w:t>
      </w:r>
    </w:p>
    <w:p>
      <w:pPr>
        <w:pStyle w:val="ListParagraph"/>
        <w:numPr>
          <w:ilvl w:val="0"/>
          <w:numId w:val="2"/>
        </w:numPr>
        <w:spacing w:after="60" w:line="260"/>
      </w:pPr>
      <w:r>
        <w:rPr>
          <w:rFonts w:ascii="Calibri" w:cs="Calibri" w:eastAsia="Calibri" w:hAnsi="Calibri"/>
          <w:sz w:val="20"/>
          <w:szCs w:val="20"/>
        </w:rPr>
        <w:t xml:space="preserve">Facture émise par toi à l'attention d'Eventy après prestation effectuée.</w:t>
      </w:r>
    </w:p>
    <w:p>
      <w:pPr>
        <w:pStyle w:val="ListParagraph"/>
        <w:numPr>
          <w:ilvl w:val="0"/>
          <w:numId w:val="2"/>
        </w:numPr>
        <w:spacing w:after="60" w:line="260"/>
      </w:pPr>
      <w:r>
        <w:rPr>
          <w:rFonts w:ascii="Calibri" w:cs="Calibri" w:eastAsia="Calibri" w:hAnsi="Calibri"/>
          <w:sz w:val="20"/>
          <w:szCs w:val="20"/>
        </w:rPr>
        <w:t xml:space="preserve">Mentions obligatoires : SIREN, TVA si applicable, références voyage Eventy, détail prestations.</w:t>
      </w:r>
    </w:p>
    <w:p>
      <w:pPr>
        <w:pStyle w:val="ListParagraph"/>
        <w:numPr>
          <w:ilvl w:val="0"/>
          <w:numId w:val="2"/>
        </w:numPr>
        <w:spacing w:after="60" w:line="260"/>
      </w:pPr>
      <w:r>
        <w:rPr>
          <w:rFonts w:ascii="Calibri" w:cs="Calibri" w:eastAsia="Calibri" w:hAnsi="Calibri"/>
          <w:sz w:val="20"/>
          <w:szCs w:val="20"/>
        </w:rPr>
        <w:t xml:space="preserve">Téléversement via portail (PDF) ou envoi email.</w:t>
      </w:r>
    </w:p>
    <w:p>
      <w:pPr>
        <w:spacing w:after="100" w:before="220"/>
      </w:pPr>
      <w:r>
        <w:rPr>
          <w:rFonts w:ascii="Calibri" w:cs="Calibri" w:eastAsia="Calibri" w:hAnsi="Calibri"/>
          <w:b/>
          <w:bCs/>
          <w:color w:val="E87722"/>
          <w:sz w:val="22"/>
          <w:szCs w:val="22"/>
        </w:rPr>
        <w:t xml:space="preserve">5.2. Conditions de paiement</w:t>
      </w:r>
    </w:p>
    <w:p>
      <w:pPr>
        <w:pStyle w:val="ListParagraph"/>
        <w:numPr>
          <w:ilvl w:val="0"/>
          <w:numId w:val="2"/>
        </w:numPr>
        <w:spacing w:after="60" w:line="260"/>
      </w:pPr>
      <w:r>
        <w:rPr>
          <w:rFonts w:ascii="Calibri" w:cs="Calibri" w:eastAsia="Calibri" w:hAnsi="Calibri"/>
          <w:sz w:val="20"/>
          <w:szCs w:val="20"/>
        </w:rPr>
        <w:t xml:space="preserve">Paiement à 30 jours fin de mois maximum (LME).</w:t>
      </w:r>
    </w:p>
    <w:p>
      <w:pPr>
        <w:pStyle w:val="ListParagraph"/>
        <w:numPr>
          <w:ilvl w:val="0"/>
          <w:numId w:val="2"/>
        </w:numPr>
        <w:spacing w:after="60" w:line="260"/>
      </w:pPr>
      <w:r>
        <w:rPr>
          <w:rFonts w:ascii="Calibri" w:cs="Calibri" w:eastAsia="Calibri" w:hAnsi="Calibri"/>
          <w:sz w:val="20"/>
          <w:szCs w:val="20"/>
        </w:rPr>
        <w:t xml:space="preserve">Paiement à 15 jours pour micro-entreprises locales (engagement Eventy renforcé).</w:t>
      </w:r>
    </w:p>
    <w:p>
      <w:pPr>
        <w:pStyle w:val="ListParagraph"/>
        <w:numPr>
          <w:ilvl w:val="0"/>
          <w:numId w:val="2"/>
        </w:numPr>
        <w:spacing w:after="60" w:line="260"/>
      </w:pPr>
      <w:r>
        <w:rPr>
          <w:rFonts w:ascii="Calibri" w:cs="Calibri" w:eastAsia="Calibri" w:hAnsi="Calibri"/>
          <w:sz w:val="20"/>
          <w:szCs w:val="20"/>
        </w:rPr>
        <w:t xml:space="preserve">Versement par virement (RIB enregistré dans le profil).</w:t>
      </w:r>
    </w:p>
    <w:p>
      <w:pPr>
        <w:pStyle w:val="ListParagraph"/>
        <w:numPr>
          <w:ilvl w:val="0"/>
          <w:numId w:val="2"/>
        </w:numPr>
        <w:spacing w:after="60" w:line="260"/>
      </w:pPr>
      <w:r>
        <w:rPr>
          <w:rFonts w:ascii="Calibri" w:cs="Calibri" w:eastAsia="Calibri" w:hAnsi="Calibri"/>
          <w:sz w:val="20"/>
          <w:szCs w:val="20"/>
        </w:rPr>
        <w:t xml:space="preserve">Aucun retard injustifié toléré chez Eventy (cohérence Politique d'achats responsables).</w:t>
      </w:r>
    </w:p>
    <w:p>
      <w:pPr>
        <w:spacing w:after="100" w:before="220"/>
      </w:pPr>
      <w:r>
        <w:rPr>
          <w:rFonts w:ascii="Calibri" w:cs="Calibri" w:eastAsia="Calibri" w:hAnsi="Calibri"/>
          <w:b/>
          <w:bCs/>
          <w:color w:val="E87722"/>
          <w:sz w:val="22"/>
          <w:szCs w:val="22"/>
        </w:rPr>
        <w:t xml:space="preserve">5.3. Suivi</w:t>
      </w:r>
    </w:p>
    <w:p>
      <w:pPr>
        <w:pStyle w:val="ListParagraph"/>
        <w:numPr>
          <w:ilvl w:val="0"/>
          <w:numId w:val="2"/>
        </w:numPr>
        <w:spacing w:after="60" w:line="260"/>
      </w:pPr>
      <w:r>
        <w:rPr>
          <w:rFonts w:ascii="Calibri" w:cs="Calibri" w:eastAsia="Calibri" w:hAnsi="Calibri"/>
          <w:sz w:val="20"/>
          <w:szCs w:val="20"/>
        </w:rPr>
        <w:t xml:space="preserve">Tableau factures émises / payées.</w:t>
      </w:r>
    </w:p>
    <w:p>
      <w:pPr>
        <w:pStyle w:val="ListParagraph"/>
        <w:numPr>
          <w:ilvl w:val="0"/>
          <w:numId w:val="2"/>
        </w:numPr>
        <w:spacing w:after="60" w:line="260"/>
      </w:pPr>
      <w:r>
        <w:rPr>
          <w:rFonts w:ascii="Calibri" w:cs="Calibri" w:eastAsia="Calibri" w:hAnsi="Calibri"/>
          <w:sz w:val="20"/>
          <w:szCs w:val="20"/>
        </w:rPr>
        <w:t xml:space="preserve">Échéancier prévisionnel.</w:t>
      </w:r>
    </w:p>
    <w:p>
      <w:pPr>
        <w:pStyle w:val="ListParagraph"/>
        <w:numPr>
          <w:ilvl w:val="0"/>
          <w:numId w:val="2"/>
        </w:numPr>
        <w:spacing w:after="60" w:line="260"/>
      </w:pPr>
      <w:r>
        <w:rPr>
          <w:rFonts w:ascii="Calibri" w:cs="Calibri" w:eastAsia="Calibri" w:hAnsi="Calibri"/>
          <w:sz w:val="20"/>
          <w:szCs w:val="20"/>
        </w:rPr>
        <w:t xml:space="preserve">Rappels automatiques en cas de retard.</w:t>
      </w:r>
    </w:p>
    <w:p>
      <w:pPr>
        <w:spacing w:after="160" w:before="240"/>
      </w:pPr>
      <w:r>
        <w:rPr>
          <w:rFonts w:ascii="Calibri" w:cs="Calibri" w:eastAsia="Calibri" w:hAnsi="Calibri"/>
          <w:b/>
          <w:bCs/>
          <w:color w:val="1F4E79"/>
          <w:sz w:val="32"/>
          <w:szCs w:val="32"/>
        </w:rPr>
        <w:t xml:space="preserve">6. Audits et qualité</w:t>
      </w:r>
    </w:p>
    <w:p>
      <w:pPr>
        <w:spacing w:after="100" w:before="220"/>
      </w:pPr>
      <w:r>
        <w:rPr>
          <w:rFonts w:ascii="Calibri" w:cs="Calibri" w:eastAsia="Calibri" w:hAnsi="Calibri"/>
          <w:b/>
          <w:bCs/>
          <w:color w:val="E87722"/>
          <w:sz w:val="22"/>
          <w:szCs w:val="22"/>
        </w:rPr>
        <w:t xml:space="preserve">6.1. Audit annuel</w:t>
      </w:r>
    </w:p>
    <w:p>
      <w:pPr>
        <w:pStyle w:val="ListParagraph"/>
        <w:numPr>
          <w:ilvl w:val="0"/>
          <w:numId w:val="2"/>
        </w:numPr>
        <w:spacing w:after="60" w:line="260"/>
      </w:pPr>
      <w:r>
        <w:rPr>
          <w:rFonts w:ascii="Calibri" w:cs="Calibri" w:eastAsia="Calibri" w:hAnsi="Calibri"/>
          <w:sz w:val="20"/>
          <w:szCs w:val="20"/>
        </w:rPr>
        <w:t xml:space="preserve">Audit qualité annuel programmé via le portail (cohérence Procédure d'audit qualité HRA).</w:t>
      </w:r>
    </w:p>
    <w:p>
      <w:pPr>
        <w:pStyle w:val="ListParagraph"/>
        <w:numPr>
          <w:ilvl w:val="0"/>
          <w:numId w:val="2"/>
        </w:numPr>
        <w:spacing w:after="60" w:line="260"/>
      </w:pPr>
      <w:r>
        <w:rPr>
          <w:rFonts w:ascii="Calibri" w:cs="Calibri" w:eastAsia="Calibri" w:hAnsi="Calibri"/>
          <w:sz w:val="20"/>
          <w:szCs w:val="20"/>
        </w:rPr>
        <w:t xml:space="preserve">Préparation : checklist communiquée 7 jours avant.</w:t>
      </w:r>
    </w:p>
    <w:p>
      <w:pPr>
        <w:pStyle w:val="ListParagraph"/>
        <w:numPr>
          <w:ilvl w:val="0"/>
          <w:numId w:val="2"/>
        </w:numPr>
        <w:spacing w:after="60" w:line="260"/>
      </w:pPr>
      <w:r>
        <w:rPr>
          <w:rFonts w:ascii="Calibri" w:cs="Calibri" w:eastAsia="Calibri" w:hAnsi="Calibri"/>
          <w:sz w:val="20"/>
          <w:szCs w:val="20"/>
        </w:rPr>
        <w:t xml:space="preserve">Restitution : note + recommandations.</w:t>
      </w:r>
    </w:p>
    <w:p>
      <w:pPr>
        <w:pStyle w:val="ListParagraph"/>
        <w:numPr>
          <w:ilvl w:val="0"/>
          <w:numId w:val="2"/>
        </w:numPr>
        <w:spacing w:after="60" w:line="260"/>
      </w:pPr>
      <w:r>
        <w:rPr>
          <w:rFonts w:ascii="Calibri" w:cs="Calibri" w:eastAsia="Calibri" w:hAnsi="Calibri"/>
          <w:sz w:val="20"/>
          <w:szCs w:val="20"/>
        </w:rPr>
        <w:t xml:space="preserve">Plan d'amélioration personnalisé si note &lt; 3,5 / 5.</w:t>
      </w:r>
    </w:p>
    <w:p>
      <w:pPr>
        <w:spacing w:after="100" w:before="220"/>
      </w:pPr>
      <w:r>
        <w:rPr>
          <w:rFonts w:ascii="Calibri" w:cs="Calibri" w:eastAsia="Calibri" w:hAnsi="Calibri"/>
          <w:b/>
          <w:bCs/>
          <w:color w:val="E87722"/>
          <w:sz w:val="22"/>
          <w:szCs w:val="22"/>
        </w:rPr>
        <w:t xml:space="preserve">6.2. NPS voyageurs</w:t>
      </w:r>
    </w:p>
    <w:p>
      <w:pPr>
        <w:pStyle w:val="ListParagraph"/>
        <w:numPr>
          <w:ilvl w:val="0"/>
          <w:numId w:val="2"/>
        </w:numPr>
        <w:spacing w:after="60" w:line="260"/>
      </w:pPr>
      <w:r>
        <w:rPr>
          <w:rFonts w:ascii="Calibri" w:cs="Calibri" w:eastAsia="Calibri" w:hAnsi="Calibri"/>
          <w:sz w:val="20"/>
          <w:szCs w:val="20"/>
        </w:rPr>
        <w:t xml:space="preserve">NPS spécifique à ton établissement, calculé après chaque voyage.</w:t>
      </w:r>
    </w:p>
    <w:p>
      <w:pPr>
        <w:pStyle w:val="ListParagraph"/>
        <w:numPr>
          <w:ilvl w:val="0"/>
          <w:numId w:val="2"/>
        </w:numPr>
        <w:spacing w:after="60" w:line="260"/>
      </w:pPr>
      <w:r>
        <w:rPr>
          <w:rFonts w:ascii="Calibri" w:cs="Calibri" w:eastAsia="Calibri" w:hAnsi="Calibri"/>
          <w:sz w:val="20"/>
          <w:szCs w:val="20"/>
        </w:rPr>
        <w:t xml:space="preserve">Verbatim positifs et négatifs (anonymisés).</w:t>
      </w:r>
    </w:p>
    <w:p>
      <w:pPr>
        <w:pStyle w:val="ListParagraph"/>
        <w:numPr>
          <w:ilvl w:val="0"/>
          <w:numId w:val="2"/>
        </w:numPr>
        <w:spacing w:after="60" w:line="260"/>
      </w:pPr>
      <w:r>
        <w:rPr>
          <w:rFonts w:ascii="Calibri" w:cs="Calibri" w:eastAsia="Calibri" w:hAnsi="Calibri"/>
          <w:sz w:val="20"/>
          <w:szCs w:val="20"/>
        </w:rPr>
        <w:t xml:space="preserve">Évolution dans le temps.</w:t>
      </w:r>
    </w:p>
    <w:p>
      <w:pPr>
        <w:pStyle w:val="ListParagraph"/>
        <w:numPr>
          <w:ilvl w:val="0"/>
          <w:numId w:val="2"/>
        </w:numPr>
        <w:spacing w:after="60" w:line="260"/>
      </w:pPr>
      <w:r>
        <w:rPr>
          <w:rFonts w:ascii="Calibri" w:cs="Calibri" w:eastAsia="Calibri" w:hAnsi="Calibri"/>
          <w:sz w:val="20"/>
          <w:szCs w:val="20"/>
        </w:rPr>
        <w:t xml:space="preserve">Comparaison avec moyenne HRA Eventy (anonymisé).</w:t>
      </w:r>
    </w:p>
    <w:p>
      <w:pPr>
        <w:spacing w:after="100" w:before="220"/>
      </w:pPr>
      <w:r>
        <w:rPr>
          <w:rFonts w:ascii="Calibri" w:cs="Calibri" w:eastAsia="Calibri" w:hAnsi="Calibri"/>
          <w:b/>
          <w:bCs/>
          <w:color w:val="E87722"/>
          <w:sz w:val="22"/>
          <w:szCs w:val="22"/>
        </w:rPr>
        <w:t xml:space="preserve">6.3. Voyageurs-mystères (An 2-3)</w:t>
      </w:r>
    </w:p>
    <w:p>
      <w:pPr>
        <w:pStyle w:val="ListParagraph"/>
        <w:numPr>
          <w:ilvl w:val="0"/>
          <w:numId w:val="2"/>
        </w:numPr>
        <w:spacing w:after="60" w:line="260"/>
      </w:pPr>
      <w:r>
        <w:rPr>
          <w:rFonts w:ascii="Calibri" w:cs="Calibri" w:eastAsia="Calibri" w:hAnsi="Calibri"/>
          <w:sz w:val="20"/>
          <w:szCs w:val="20"/>
        </w:rPr>
        <w:t xml:space="preserve">Programme de voyageurs-mystères évaluant ponctuellement.</w:t>
      </w:r>
    </w:p>
    <w:p>
      <w:pPr>
        <w:pStyle w:val="ListParagraph"/>
        <w:numPr>
          <w:ilvl w:val="0"/>
          <w:numId w:val="2"/>
        </w:numPr>
        <w:spacing w:after="60" w:line="260"/>
      </w:pPr>
      <w:r>
        <w:rPr>
          <w:rFonts w:ascii="Calibri" w:cs="Calibri" w:eastAsia="Calibri" w:hAnsi="Calibri"/>
          <w:sz w:val="20"/>
          <w:szCs w:val="20"/>
        </w:rPr>
        <w:t xml:space="preserve">Feedback intégré au tableau de bord.</w:t>
      </w:r>
    </w:p>
    <w:p>
      <w:pPr>
        <w:spacing w:after="160" w:before="240"/>
      </w:pPr>
      <w:r>
        <w:rPr>
          <w:rFonts w:ascii="Calibri" w:cs="Calibri" w:eastAsia="Calibri" w:hAnsi="Calibri"/>
          <w:b/>
          <w:bCs/>
          <w:color w:val="1F4E79"/>
          <w:sz w:val="32"/>
          <w:szCs w:val="32"/>
        </w:rPr>
        <w:t xml:space="preserve">7. Statistiques et performance</w:t>
      </w:r>
    </w:p>
    <w:p>
      <w:pPr>
        <w:pStyle w:val="ListParagraph"/>
        <w:numPr>
          <w:ilvl w:val="0"/>
          <w:numId w:val="2"/>
        </w:numPr>
        <w:spacing w:after="60" w:line="260"/>
      </w:pPr>
      <w:r>
        <w:rPr>
          <w:rFonts w:ascii="Calibri" w:cs="Calibri" w:eastAsia="Calibri" w:hAnsi="Calibri"/>
          <w:sz w:val="20"/>
          <w:szCs w:val="20"/>
        </w:rPr>
        <w:t xml:space="preserve">Voyageurs Eventy accueillis (cumul + tendance).</w:t>
      </w:r>
    </w:p>
    <w:p>
      <w:pPr>
        <w:pStyle w:val="ListParagraph"/>
        <w:numPr>
          <w:ilvl w:val="0"/>
          <w:numId w:val="2"/>
        </w:numPr>
        <w:spacing w:after="60" w:line="260"/>
      </w:pPr>
      <w:r>
        <w:rPr>
          <w:rFonts w:ascii="Calibri" w:cs="Calibri" w:eastAsia="Calibri" w:hAnsi="Calibri"/>
          <w:sz w:val="20"/>
          <w:szCs w:val="20"/>
        </w:rPr>
        <w:t xml:space="preserve">CA Eventy généré.</w:t>
      </w:r>
    </w:p>
    <w:p>
      <w:pPr>
        <w:pStyle w:val="ListParagraph"/>
        <w:numPr>
          <w:ilvl w:val="0"/>
          <w:numId w:val="2"/>
        </w:numPr>
        <w:spacing w:after="60" w:line="260"/>
      </w:pPr>
      <w:r>
        <w:rPr>
          <w:rFonts w:ascii="Calibri" w:cs="Calibri" w:eastAsia="Calibri" w:hAnsi="Calibri"/>
          <w:sz w:val="20"/>
          <w:szCs w:val="20"/>
        </w:rPr>
        <w:t xml:space="preserve">Taux d'occupation Eventy / occupation totale.</w:t>
      </w:r>
    </w:p>
    <w:p>
      <w:pPr>
        <w:pStyle w:val="ListParagraph"/>
        <w:numPr>
          <w:ilvl w:val="0"/>
          <w:numId w:val="2"/>
        </w:numPr>
        <w:spacing w:after="60" w:line="260"/>
      </w:pPr>
      <w:r>
        <w:rPr>
          <w:rFonts w:ascii="Calibri" w:cs="Calibri" w:eastAsia="Calibri" w:hAnsi="Calibri"/>
          <w:sz w:val="20"/>
          <w:szCs w:val="20"/>
        </w:rPr>
        <w:t xml:space="preserve">Retours voyageurs.</w:t>
      </w:r>
    </w:p>
    <w:p>
      <w:pPr>
        <w:pStyle w:val="ListParagraph"/>
        <w:numPr>
          <w:ilvl w:val="0"/>
          <w:numId w:val="2"/>
        </w:numPr>
        <w:spacing w:after="60" w:line="260"/>
      </w:pPr>
      <w:r>
        <w:rPr>
          <w:rFonts w:ascii="Calibri" w:cs="Calibri" w:eastAsia="Calibri" w:hAnsi="Calibri"/>
          <w:sz w:val="20"/>
          <w:szCs w:val="20"/>
        </w:rPr>
        <w:t xml:space="preserve">Saisonnalité observée.</w:t>
      </w:r>
    </w:p>
    <w:p>
      <w:pPr>
        <w:spacing w:after="160" w:before="240"/>
      </w:pPr>
      <w:r>
        <w:rPr>
          <w:rFonts w:ascii="Calibri" w:cs="Calibri" w:eastAsia="Calibri" w:hAnsi="Calibri"/>
          <w:b/>
          <w:bCs/>
          <w:color w:val="1F4E79"/>
          <w:sz w:val="32"/>
          <w:szCs w:val="32"/>
        </w:rPr>
        <w:t xml:space="preserve">8. Communication avec Eventy</w:t>
      </w:r>
    </w:p>
    <w:p>
      <w:pPr>
        <w:spacing w:after="100" w:before="220"/>
      </w:pPr>
      <w:r>
        <w:rPr>
          <w:rFonts w:ascii="Calibri" w:cs="Calibri" w:eastAsia="Calibri" w:hAnsi="Calibri"/>
          <w:b/>
          <w:bCs/>
          <w:color w:val="E87722"/>
          <w:sz w:val="22"/>
          <w:szCs w:val="22"/>
        </w:rPr>
        <w:t xml:space="preserve">8.1. Messagerie</w:t>
      </w:r>
    </w:p>
    <w:p>
      <w:pPr>
        <w:pStyle w:val="ListParagraph"/>
        <w:numPr>
          <w:ilvl w:val="0"/>
          <w:numId w:val="2"/>
        </w:numPr>
        <w:spacing w:after="60" w:line="260"/>
      </w:pPr>
      <w:r>
        <w:rPr>
          <w:rFonts w:ascii="Calibri" w:cs="Calibri" w:eastAsia="Calibri" w:hAnsi="Calibri"/>
          <w:sz w:val="20"/>
          <w:szCs w:val="20"/>
        </w:rPr>
        <w:t xml:space="preserve">Messagerie intégrée pour échanger avec l'équipe Eventy.</w:t>
      </w:r>
    </w:p>
    <w:p>
      <w:pPr>
        <w:pStyle w:val="ListParagraph"/>
        <w:numPr>
          <w:ilvl w:val="0"/>
          <w:numId w:val="2"/>
        </w:numPr>
        <w:spacing w:after="60" w:line="260"/>
      </w:pPr>
      <w:r>
        <w:rPr>
          <w:rFonts w:ascii="Calibri" w:cs="Calibri" w:eastAsia="Calibri" w:hAnsi="Calibri"/>
          <w:sz w:val="20"/>
          <w:szCs w:val="20"/>
        </w:rPr>
        <w:t xml:space="preserve">Réponse Eventy sous 24 h ouvrées.</w:t>
      </w:r>
    </w:p>
    <w:p>
      <w:pPr>
        <w:pStyle w:val="ListParagraph"/>
        <w:numPr>
          <w:ilvl w:val="0"/>
          <w:numId w:val="2"/>
        </w:numPr>
        <w:spacing w:after="60" w:line="260"/>
      </w:pPr>
      <w:r>
        <w:rPr>
          <w:rFonts w:ascii="Calibri" w:cs="Calibri" w:eastAsia="Calibri" w:hAnsi="Calibri"/>
          <w:sz w:val="20"/>
          <w:szCs w:val="20"/>
        </w:rPr>
        <w:t xml:space="preserve">Tickets pour problèmes techniques.</w:t>
      </w:r>
    </w:p>
    <w:p>
      <w:pPr>
        <w:spacing w:after="100" w:before="220"/>
      </w:pPr>
      <w:r>
        <w:rPr>
          <w:rFonts w:ascii="Calibri" w:cs="Calibri" w:eastAsia="Calibri" w:hAnsi="Calibri"/>
          <w:b/>
          <w:bCs/>
          <w:color w:val="E87722"/>
          <w:sz w:val="22"/>
          <w:szCs w:val="22"/>
        </w:rPr>
        <w:t xml:space="preserve">8.2. Réunions et événements</w:t>
      </w:r>
    </w:p>
    <w:p>
      <w:pPr>
        <w:pStyle w:val="ListParagraph"/>
        <w:numPr>
          <w:ilvl w:val="0"/>
          <w:numId w:val="2"/>
        </w:numPr>
        <w:spacing w:after="60" w:line="260"/>
      </w:pPr>
      <w:r>
        <w:rPr>
          <w:rFonts w:ascii="Calibri" w:cs="Calibri" w:eastAsia="Calibri" w:hAnsi="Calibri"/>
          <w:sz w:val="20"/>
          <w:szCs w:val="20"/>
        </w:rPr>
        <w:t xml:space="preserve">Réunion partenaires HRA annuelle (visio ou présentiel).</w:t>
      </w:r>
    </w:p>
    <w:p>
      <w:pPr>
        <w:pStyle w:val="ListParagraph"/>
        <w:numPr>
          <w:ilvl w:val="0"/>
          <w:numId w:val="2"/>
        </w:numPr>
        <w:spacing w:after="60" w:line="260"/>
      </w:pPr>
      <w:r>
        <w:rPr>
          <w:rFonts w:ascii="Calibri" w:cs="Calibri" w:eastAsia="Calibri" w:hAnsi="Calibri"/>
          <w:sz w:val="20"/>
          <w:szCs w:val="20"/>
        </w:rPr>
        <w:t xml:space="preserve">Newsletters trimestrielles (5-10 min de lecture).</w:t>
      </w:r>
    </w:p>
    <w:p>
      <w:pPr>
        <w:pStyle w:val="ListParagraph"/>
        <w:numPr>
          <w:ilvl w:val="0"/>
          <w:numId w:val="2"/>
        </w:numPr>
        <w:spacing w:after="60" w:line="260"/>
      </w:pPr>
      <w:r>
        <w:rPr>
          <w:rFonts w:ascii="Calibri" w:cs="Calibri" w:eastAsia="Calibri" w:hAnsi="Calibri"/>
          <w:sz w:val="20"/>
          <w:szCs w:val="20"/>
        </w:rPr>
        <w:t xml:space="preserve">Forum HRA partenaires (entraide, bonnes pratiques).</w:t>
      </w:r>
    </w:p>
    <w:p>
      <w:pPr>
        <w:spacing w:after="160" w:before="240"/>
      </w:pPr>
      <w:r>
        <w:rPr>
          <w:rFonts w:ascii="Calibri" w:cs="Calibri" w:eastAsia="Calibri" w:hAnsi="Calibri"/>
          <w:b/>
          <w:bCs/>
          <w:color w:val="1F4E79"/>
          <w:sz w:val="32"/>
          <w:szCs w:val="32"/>
        </w:rPr>
        <w:t xml:space="preserve">9. Bonnes pratiques</w:t>
      </w:r>
    </w:p>
    <w:p>
      <w:pPr>
        <w:pStyle w:val="ListParagraph"/>
        <w:numPr>
          <w:ilvl w:val="0"/>
          <w:numId w:val="2"/>
        </w:numPr>
        <w:spacing w:after="60" w:line="260"/>
      </w:pPr>
      <w:r>
        <w:rPr>
          <w:rFonts w:ascii="Calibri" w:cs="Calibri" w:eastAsia="Calibri" w:hAnsi="Calibri"/>
          <w:sz w:val="20"/>
          <w:szCs w:val="20"/>
        </w:rPr>
        <w:t xml:space="preserve">Mettre à jour le calendrier de disponibilité chaque mois.</w:t>
      </w:r>
    </w:p>
    <w:p>
      <w:pPr>
        <w:pStyle w:val="ListParagraph"/>
        <w:numPr>
          <w:ilvl w:val="0"/>
          <w:numId w:val="2"/>
        </w:numPr>
        <w:spacing w:after="60" w:line="260"/>
      </w:pPr>
      <w:r>
        <w:rPr>
          <w:rFonts w:ascii="Calibri" w:cs="Calibri" w:eastAsia="Calibri" w:hAnsi="Calibri"/>
          <w:sz w:val="20"/>
          <w:szCs w:val="20"/>
        </w:rPr>
        <w:t xml:space="preserve">Confirmer les commandes sous 48 h.</w:t>
      </w:r>
    </w:p>
    <w:p>
      <w:pPr>
        <w:pStyle w:val="ListParagraph"/>
        <w:numPr>
          <w:ilvl w:val="0"/>
          <w:numId w:val="2"/>
        </w:numPr>
        <w:spacing w:after="60" w:line="260"/>
      </w:pPr>
      <w:r>
        <w:rPr>
          <w:rFonts w:ascii="Calibri" w:cs="Calibri" w:eastAsia="Calibri" w:hAnsi="Calibri"/>
          <w:sz w:val="20"/>
          <w:szCs w:val="20"/>
        </w:rPr>
        <w:t xml:space="preserve">Communiquer rapidement en cas d'incident.</w:t>
      </w:r>
    </w:p>
    <w:p>
      <w:pPr>
        <w:pStyle w:val="ListParagraph"/>
        <w:numPr>
          <w:ilvl w:val="0"/>
          <w:numId w:val="2"/>
        </w:numPr>
        <w:spacing w:after="60" w:line="260"/>
      </w:pPr>
      <w:r>
        <w:rPr>
          <w:rFonts w:ascii="Calibri" w:cs="Calibri" w:eastAsia="Calibri" w:hAnsi="Calibri"/>
          <w:sz w:val="20"/>
          <w:szCs w:val="20"/>
        </w:rPr>
        <w:t xml:space="preserve">Maintenir la qualité de service constante.</w:t>
      </w:r>
    </w:p>
    <w:p>
      <w:pPr>
        <w:pStyle w:val="ListParagraph"/>
        <w:numPr>
          <w:ilvl w:val="0"/>
          <w:numId w:val="2"/>
        </w:numPr>
        <w:spacing w:after="60" w:line="260"/>
      </w:pPr>
      <w:r>
        <w:rPr>
          <w:rFonts w:ascii="Calibri" w:cs="Calibri" w:eastAsia="Calibri" w:hAnsi="Calibri"/>
          <w:sz w:val="20"/>
          <w:szCs w:val="20"/>
        </w:rPr>
        <w:t xml:space="preserve">Encourager les voyageurs à donner un avis (cohérence Politique avis voyageurs).</w:t>
      </w:r>
    </w:p>
    <w:p>
      <w:pPr>
        <w:pStyle w:val="ListParagraph"/>
        <w:numPr>
          <w:ilvl w:val="0"/>
          <w:numId w:val="2"/>
        </w:numPr>
        <w:spacing w:after="60" w:line="260"/>
      </w:pPr>
      <w:r>
        <w:rPr>
          <w:rFonts w:ascii="Calibri" w:cs="Calibri" w:eastAsia="Calibri" w:hAnsi="Calibri"/>
          <w:sz w:val="20"/>
          <w:szCs w:val="20"/>
        </w:rPr>
        <w:t xml:space="preserve">Renouveler les photos annuellement.</w:t>
      </w:r>
    </w:p>
    <w:p>
      <w:pPr>
        <w:spacing w:after="160" w:before="240"/>
      </w:pPr>
      <w:r>
        <w:rPr>
          <w:rFonts w:ascii="Calibri" w:cs="Calibri" w:eastAsia="Calibri" w:hAnsi="Calibri"/>
          <w:b/>
          <w:bCs/>
          <w:color w:val="1F4E79"/>
          <w:sz w:val="32"/>
          <w:szCs w:val="32"/>
        </w:rPr>
        <w:t xml:space="preserve">10. Support et contact</w:t>
      </w:r>
    </w:p>
    <w:p>
      <w:pPr>
        <w:pStyle w:val="ListParagraph"/>
        <w:numPr>
          <w:ilvl w:val="0"/>
          <w:numId w:val="2"/>
        </w:numPr>
        <w:spacing w:after="60" w:line="260"/>
      </w:pPr>
      <w:r>
        <w:rPr>
          <w:rFonts w:ascii="Calibri" w:cs="Calibri" w:eastAsia="Calibri" w:hAnsi="Calibri"/>
          <w:sz w:val="20"/>
          <w:szCs w:val="20"/>
        </w:rPr>
        <w:t xml:space="preserve">Email dédié : maisons@eventylife.fr.</w:t>
      </w:r>
    </w:p>
    <w:p>
      <w:pPr>
        <w:pStyle w:val="ListParagraph"/>
        <w:numPr>
          <w:ilvl w:val="0"/>
          <w:numId w:val="2"/>
        </w:numPr>
        <w:spacing w:after="60" w:line="260"/>
      </w:pPr>
      <w:r>
        <w:rPr>
          <w:rFonts w:ascii="Calibri" w:cs="Calibri" w:eastAsia="Calibri" w:hAnsi="Calibri"/>
          <w:sz w:val="20"/>
          <w:szCs w:val="20"/>
        </w:rPr>
        <w:t xml:space="preserve">Téléphone direct : [À compléter].</w:t>
      </w:r>
    </w:p>
    <w:p>
      <w:pPr>
        <w:pStyle w:val="ListParagraph"/>
        <w:numPr>
          <w:ilvl w:val="0"/>
          <w:numId w:val="2"/>
        </w:numPr>
        <w:spacing w:after="60" w:line="260"/>
      </w:pPr>
      <w:r>
        <w:rPr>
          <w:rFonts w:ascii="Calibri" w:cs="Calibri" w:eastAsia="Calibri" w:hAnsi="Calibri"/>
          <w:sz w:val="20"/>
          <w:szCs w:val="20"/>
        </w:rPr>
        <w:t xml:space="preserve">Centre d'aide intégré (recherche, articles).</w:t>
      </w:r>
    </w:p>
    <w:p>
      <w:pPr>
        <w:pStyle w:val="ListParagraph"/>
        <w:numPr>
          <w:ilvl w:val="0"/>
          <w:numId w:val="2"/>
        </w:numPr>
        <w:spacing w:after="60" w:line="260"/>
      </w:pPr>
      <w:r>
        <w:rPr>
          <w:rFonts w:ascii="Calibri" w:cs="Calibri" w:eastAsia="Calibri" w:hAnsi="Calibri"/>
          <w:sz w:val="20"/>
          <w:szCs w:val="20"/>
        </w:rPr>
        <w:t xml:space="preserve">Réponse sous 24 h ouvrées (4 h pour urgences voyage en cours).</w:t>
      </w:r>
    </w:p>
    <w:p>
      <w:pPr>
        <w:spacing w:after="160" w:before="240"/>
      </w:pPr>
      <w:r>
        <w:rPr>
          <w:rFonts w:ascii="Calibri" w:cs="Calibri" w:eastAsia="Calibri" w:hAnsi="Calibri"/>
          <w:b/>
          <w:bCs/>
          <w:color w:val="1F4E79"/>
          <w:sz w:val="32"/>
          <w:szCs w:val="32"/>
        </w:rPr>
        <w:t xml:space="preserve">11. Engagements opposables Eventy envers les HRA</w:t>
      </w:r>
    </w:p>
    <w:p>
      <w:pPr>
        <w:pStyle w:val="ListParagraph"/>
        <w:numPr>
          <w:ilvl w:val="0"/>
          <w:numId w:val="2"/>
        </w:numPr>
        <w:spacing w:after="60" w:line="260"/>
      </w:pPr>
      <w:r>
        <w:rPr>
          <w:rFonts w:ascii="Calibri" w:cs="Calibri" w:eastAsia="Calibri" w:hAnsi="Calibri"/>
          <w:sz w:val="20"/>
          <w:szCs w:val="20"/>
        </w:rPr>
        <w:t xml:space="preserve">Paiement à 30 jours fin de mois sans retard injustifié.</w:t>
      </w:r>
    </w:p>
    <w:p>
      <w:pPr>
        <w:pStyle w:val="ListParagraph"/>
        <w:numPr>
          <w:ilvl w:val="0"/>
          <w:numId w:val="2"/>
        </w:numPr>
        <w:spacing w:after="60" w:line="260"/>
      </w:pPr>
      <w:r>
        <w:rPr>
          <w:rFonts w:ascii="Calibri" w:cs="Calibri" w:eastAsia="Calibri" w:hAnsi="Calibri"/>
          <w:sz w:val="20"/>
          <w:szCs w:val="20"/>
        </w:rPr>
        <w:t xml:space="preserve">Information transparente sur les commandes (jamais surprise).</w:t>
      </w:r>
    </w:p>
    <w:p>
      <w:pPr>
        <w:pStyle w:val="ListParagraph"/>
        <w:numPr>
          <w:ilvl w:val="0"/>
          <w:numId w:val="2"/>
        </w:numPr>
        <w:spacing w:after="60" w:line="260"/>
      </w:pPr>
      <w:r>
        <w:rPr>
          <w:rFonts w:ascii="Calibri" w:cs="Calibri" w:eastAsia="Calibri" w:hAnsi="Calibri"/>
          <w:sz w:val="20"/>
          <w:szCs w:val="20"/>
        </w:rPr>
        <w:t xml:space="preserve">Audit qualité avec restitution et plan d'amélioration.</w:t>
      </w:r>
    </w:p>
    <w:p>
      <w:pPr>
        <w:pStyle w:val="ListParagraph"/>
        <w:numPr>
          <w:ilvl w:val="0"/>
          <w:numId w:val="2"/>
        </w:numPr>
        <w:spacing w:after="60" w:line="260"/>
      </w:pPr>
      <w:r>
        <w:rPr>
          <w:rFonts w:ascii="Calibri" w:cs="Calibri" w:eastAsia="Calibri" w:hAnsi="Calibri"/>
          <w:sz w:val="20"/>
          <w:szCs w:val="20"/>
        </w:rPr>
        <w:t xml:space="preserve">Refus des pratiques d'achat extractives (marges raisonnables).</w:t>
      </w:r>
    </w:p>
    <w:p>
      <w:pPr>
        <w:pStyle w:val="ListParagraph"/>
        <w:numPr>
          <w:ilvl w:val="0"/>
          <w:numId w:val="2"/>
        </w:numPr>
        <w:spacing w:after="60" w:line="260"/>
      </w:pPr>
      <w:r>
        <w:rPr>
          <w:rFonts w:ascii="Calibri" w:cs="Calibri" w:eastAsia="Calibri" w:hAnsi="Calibri"/>
          <w:sz w:val="20"/>
          <w:szCs w:val="20"/>
        </w:rPr>
        <w:t xml:space="preserve">Confidentialité absolue des informations partenaires.</w:t>
      </w:r>
    </w:p>
    <w:p>
      <w:pPr>
        <w:pStyle w:val="ListParagraph"/>
        <w:numPr>
          <w:ilvl w:val="0"/>
          <w:numId w:val="2"/>
        </w:numPr>
        <w:spacing w:after="60" w:line="260"/>
      </w:pPr>
      <w:r>
        <w:rPr>
          <w:rFonts w:ascii="Calibri" w:cs="Calibri" w:eastAsia="Calibri" w:hAnsi="Calibri"/>
          <w:sz w:val="20"/>
          <w:szCs w:val="20"/>
        </w:rPr>
        <w:t xml:space="preserve">Refus de toute pratique de corruption ou favoritisme (cohérence Politique anti-corruption).</w:t>
      </w:r>
    </w:p>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 Version 1.0 — 2 mai 2026. Mise à jour à chaque évolution majeure du portail.</w:t>
      </w:r>
    </w:p>
    <w:p>
      <w:pPr>
        <w:spacing w:after="100" w:line="280"/>
        <w:jc w:val="both"/>
      </w:pPr>
      <w:r>
        <w:rPr>
          <w:rFonts w:ascii="Calibri" w:cs="Calibri" w:eastAsia="Calibri" w:hAnsi="Calibri"/>
          <w:i/>
          <w:iCs/>
          <w:color w:val="555555"/>
          <w:sz w:val="18"/>
          <w:szCs w:val="18"/>
        </w:rPr>
        <w:t xml:space="preserve">Cohérence avec : Contrat HRA Partenaire, Charte fournisseurs, Procédure d'audit qualité HRA, Procédure de sourcing HRA, Politique d'achats responsables, Bon de Commande HRA, Politique cybersécurité, Politique RGPD, Politique anti-corruption.</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Guide portail HRA</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Guide utilisation portail HRA</dc:title>
  <dc:creator>David Eventy — Eventy Life SAS</dc:creator>
  <dc:description>Mode d'emploi pas-à-pas du portail HRA partenaires Eventy.</dc:description>
  <cp:lastModifiedBy>Un-named</cp:lastModifiedBy>
  <cp:revision>1</cp:revision>
  <dcterms:created xsi:type="dcterms:W3CDTF">2026-05-02T00:07:31.319Z</dcterms:created>
  <dcterms:modified xsi:type="dcterms:W3CDTF">2026-05-02T00:07:31.319Z</dcterms:modified>
</cp:coreProperties>
</file>

<file path=docProps/custom.xml><?xml version="1.0" encoding="utf-8"?>
<Properties xmlns="http://schemas.openxmlformats.org/officeDocument/2006/custom-properties" xmlns:vt="http://schemas.openxmlformats.org/officeDocument/2006/docPropsVTypes"/>
</file>