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Artigo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do Valor limite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"O comportamento nos limites de uma partição de equivalência é onde existe maior probabilidade de estar incorreto. Portanto, limites são áreas onde testes estão mais propensos a indicar defeitos. Os valores limites de uma partição são seu máximo e seu mínimo.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análise do valor limite pode ser aplicada em todos os níveis de teste e é relativamente fácil aplicá-la. Sua capacidade de encontrar defeitos é alta e especificações detalhadas podem ser úteis em sua elaboração. Pode ser aplicada para entradas manuais como, por exemplo, em escalas de tempo ou tabela de limites."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581275" cy="18383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 seja, análise do valor limite nada mais é do que uma técnica de teste utilizada para exercitar os limites do domínio de entrada.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exemplo seria: "O campo </w:t>
      </w:r>
      <w:r w:rsidDel="00000000" w:rsidR="00000000" w:rsidRPr="00000000">
        <w:rPr>
          <w:b w:val="1"/>
          <w:rtl w:val="0"/>
        </w:rPr>
        <w:t xml:space="preserve">Idade</w:t>
      </w:r>
      <w:r w:rsidDel="00000000" w:rsidR="00000000" w:rsidRPr="00000000">
        <w:rPr>
          <w:rtl w:val="0"/>
        </w:rPr>
        <w:t xml:space="preserve"> deve aceitar valores entre 18 e 65".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Quando você for testar o funcionamento deste campo, deve considerar testar os limites do intervalo: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17 e 18 anos;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65 e 66 anos.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comum encontrar falhas em sistemas quando testamos os limites dos intervalos que determinam quais valores são ou não válidos.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Syllabus - CTFL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