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5198" w:type="dxa"/>
        <w:jc w:val="center"/>
        <w:tblBorders>
          <w:insideH w:val="none" w:sz="0" w:space="0" w:color="auto"/>
          <w:insideV w:val="none" w:sz="0" w:space="0" w:color="auto"/>
        </w:tblBorders>
        <w:shd w:val="clear" w:color="auto" w:fill="DBE5F1" w:themeFill="accent1" w:themeFillTint="33"/>
        <w:tblLayout w:type="fixed"/>
        <w:tblCellMar>
          <w:top w:w="115" w:type="dxa"/>
          <w:left w:w="115" w:type="dxa"/>
          <w:right w:w="115" w:type="dxa"/>
        </w:tblCellMar>
        <w:tblLook w:val="06A0" w:firstRow="1" w:lastRow="0" w:firstColumn="1" w:lastColumn="0" w:noHBand="1" w:noVBand="1"/>
      </w:tblPr>
      <w:tblGrid>
        <w:gridCol w:w="3639"/>
        <w:gridCol w:w="1396"/>
        <w:gridCol w:w="10163"/>
      </w:tblGrid>
      <w:tr w:rsidR="00233A73" w:rsidTr="00F30E5D">
        <w:trPr>
          <w:trHeight w:val="998"/>
          <w:jc w:val="center"/>
        </w:trPr>
        <w:tc>
          <w:tcPr>
            <w:tcW w:w="1519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3321DE" w:rsidRPr="00F30E5D" w:rsidRDefault="00F30E5D" w:rsidP="003321DE">
            <w:pPr>
              <w:pStyle w:val="Heading1"/>
              <w:spacing w:before="120"/>
              <w:jc w:val="center"/>
              <w:outlineLvl w:val="0"/>
              <w:rPr>
                <w:rFonts w:asciiTheme="minorHAnsi" w:hAnsiTheme="minorHAnsi"/>
                <w:bCs w:val="0"/>
                <w:color w:val="4F6228" w:themeColor="accent3" w:themeShade="80"/>
                <w:sz w:val="28"/>
              </w:rPr>
            </w:pPr>
            <w:bookmarkStart w:id="0" w:name="_GoBack"/>
            <w:bookmarkEnd w:id="0"/>
            <w:r w:rsidRPr="00F30E5D">
              <w:rPr>
                <w:rFonts w:asciiTheme="minorHAnsi" w:hAnsiTheme="minorHAnsi"/>
                <w:noProof/>
                <w:color w:val="4F6228" w:themeColor="accent3" w:themeShade="80"/>
                <w:sz w:val="28"/>
              </w:rPr>
              <w:drawing>
                <wp:anchor distT="0" distB="0" distL="114300" distR="114300" simplePos="0" relativeHeight="251662336" behindDoc="0" locked="0" layoutInCell="1" allowOverlap="1" wp14:anchorId="2B2D2E20" wp14:editId="7F4F5551">
                  <wp:simplePos x="0" y="0"/>
                  <wp:positionH relativeFrom="column">
                    <wp:posOffset>104775</wp:posOffset>
                  </wp:positionH>
                  <wp:positionV relativeFrom="paragraph">
                    <wp:posOffset>-78740</wp:posOffset>
                  </wp:positionV>
                  <wp:extent cx="1080135" cy="539750"/>
                  <wp:effectExtent l="0" t="0" r="0" b="0"/>
                  <wp:wrapSquare wrapText="bothSides"/>
                  <wp:docPr id="3" name="Picture 3" descr="C:\MidState Region\Marketing &amp; Customer Service\MSHN Logo\Color Logos for Light Background\Color Logo for Light Backgro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MidState Region\Marketing &amp; Customer Service\MSHN Logo\Color Logos for Light Background\Color Logo for Light Background.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80135" cy="5397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30E5D">
              <w:rPr>
                <w:rFonts w:asciiTheme="minorHAnsi" w:hAnsiTheme="minorHAnsi"/>
                <w:bCs w:val="0"/>
                <w:color w:val="4F6228" w:themeColor="accent3" w:themeShade="80"/>
                <w:sz w:val="28"/>
              </w:rPr>
              <w:t>Council, Committee or Workgroup Meeting Snapshot</w:t>
            </w:r>
          </w:p>
          <w:p w:rsidR="00F30E5D" w:rsidRPr="00F30E5D" w:rsidRDefault="00F30E5D" w:rsidP="00F30E5D"/>
        </w:tc>
      </w:tr>
      <w:tr w:rsidR="00F30E5D" w:rsidTr="00B11297">
        <w:trPr>
          <w:trHeight w:val="298"/>
          <w:jc w:val="center"/>
        </w:trPr>
        <w:tc>
          <w:tcPr>
            <w:tcW w:w="5035" w:type="dxa"/>
            <w:gridSpan w:val="2"/>
            <w:vMerge w:val="restart"/>
            <w:tcBorders>
              <w:top w:val="dotted" w:sz="4" w:space="0" w:color="auto"/>
              <w:left w:val="single" w:sz="4" w:space="0" w:color="000000" w:themeColor="text1"/>
              <w:right w:val="single" w:sz="4" w:space="0" w:color="000000" w:themeColor="text1"/>
            </w:tcBorders>
            <w:shd w:val="clear" w:color="auto" w:fill="auto"/>
            <w:vAlign w:val="center"/>
          </w:tcPr>
          <w:p w:rsidR="00F30E5D" w:rsidRDefault="001E70A6" w:rsidP="00392543">
            <w:pPr>
              <w:pStyle w:val="Heading1"/>
              <w:outlineLvl w:val="0"/>
              <w:rPr>
                <w:noProof/>
              </w:rPr>
            </w:pPr>
            <w:r>
              <w:rPr>
                <w:noProof/>
              </w:rPr>
              <mc:AlternateContent>
                <mc:Choice Requires="wps">
                  <w:drawing>
                    <wp:anchor distT="0" distB="0" distL="114300" distR="114300" simplePos="0" relativeHeight="251661312" behindDoc="0" locked="1" layoutInCell="1" allowOverlap="1" wp14:anchorId="321F97D8" wp14:editId="01111A35">
                      <wp:simplePos x="0" y="0"/>
                      <wp:positionH relativeFrom="column">
                        <wp:posOffset>-69215</wp:posOffset>
                      </wp:positionH>
                      <wp:positionV relativeFrom="page">
                        <wp:posOffset>-74930</wp:posOffset>
                      </wp:positionV>
                      <wp:extent cx="2825496" cy="393192"/>
                      <wp:effectExtent l="19050" t="19050" r="32385" b="64135"/>
                      <wp:wrapNone/>
                      <wp:docPr id="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5496" cy="393192"/>
                              </a:xfrm>
                              <a:prstGeom prst="rect">
                                <a:avLst/>
                              </a:prstGeom>
                              <a:solidFill>
                                <a:schemeClr val="accent3">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3">
                                    <a:lumMod val="50000"/>
                                    <a:lumOff val="0"/>
                                    <a:alpha val="50000"/>
                                  </a:schemeClr>
                                </a:outerShdw>
                              </a:effectLst>
                            </wps:spPr>
                            <wps:txbx>
                              <w:txbxContent>
                                <w:p w:rsidR="00F30E5D" w:rsidRPr="00F30E5D" w:rsidRDefault="00F30E5D">
                                  <w:pPr>
                                    <w:rPr>
                                      <w:b/>
                                      <w:sz w:val="28"/>
                                      <w:szCs w:val="28"/>
                                    </w:rPr>
                                  </w:pPr>
                                  <w:r w:rsidRPr="00F30E5D">
                                    <w:rPr>
                                      <w:b/>
                                      <w:sz w:val="28"/>
                                      <w:szCs w:val="28"/>
                                    </w:rPr>
                                    <w:t xml:space="preserve">Meeting: </w:t>
                                  </w:r>
                                  <w:r w:rsidR="001E70A6">
                                    <w:rPr>
                                      <w:b/>
                                      <w:sz w:val="28"/>
                                      <w:szCs w:val="28"/>
                                    </w:rPr>
                                    <w:t>Finance Council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1F97D8" id="_x0000_t202" coordsize="21600,21600" o:spt="202" path="m,l,21600r21600,l21600,xe">
                      <v:stroke joinstyle="miter"/>
                      <v:path gradientshapeok="t" o:connecttype="rect"/>
                    </v:shapetype>
                    <v:shape id="Text Box 7" o:spid="_x0000_s1026" type="#_x0000_t202" style="position:absolute;margin-left:-5.45pt;margin-top:-5.9pt;width:222.5pt;height:30.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" fillcolor="#9bbb59 [3206]" strokecolor="#f2f2f2 [3041]" strokeweight="3pt">
                      <v:shadow on="t" color="#4e6128 [1606]" opacity=".5" offset="1pt"/>
                      <v:textbox>
                        <w:txbxContent>
                          <w:p w:rsidR="00F30E5D" w:rsidRPr="00F30E5D" w:rsidRDefault="00F30E5D">
                            <w:pPr>
                              <w:rPr>
                                <w:b/>
                                <w:sz w:val="28"/>
                                <w:szCs w:val="28"/>
                              </w:rPr>
                            </w:pPr>
                            <w:r w:rsidRPr="00F30E5D">
                              <w:rPr>
                                <w:b/>
                                <w:sz w:val="28"/>
                                <w:szCs w:val="28"/>
                              </w:rPr>
                              <w:t xml:space="preserve">Meeting: </w:t>
                            </w:r>
                            <w:r w:rsidR="001E70A6">
                              <w:rPr>
                                <w:b/>
                                <w:sz w:val="28"/>
                                <w:szCs w:val="28"/>
                              </w:rPr>
                              <w:t>Finance Council</w:t>
                            </w:r>
                          </w:p>
                        </w:txbxContent>
                      </v:textbox>
                      <w10:wrap anchory="page"/>
                      <w10:anchorlock/>
                    </v:shape>
                  </w:pict>
                </mc:Fallback>
              </mc:AlternateContent>
            </w:r>
          </w:p>
          <w:p w:rsidR="00F30E5D" w:rsidRPr="00B11297" w:rsidRDefault="00F30E5D" w:rsidP="00F30E5D">
            <w:pPr>
              <w:rPr>
                <w:b/>
              </w:rPr>
            </w:pPr>
            <w:r w:rsidRPr="00B11297">
              <w:rPr>
                <w:b/>
              </w:rPr>
              <w:t>Date:</w:t>
            </w:r>
            <w:r w:rsidR="00B11297">
              <w:rPr>
                <w:b/>
              </w:rPr>
              <w:t xml:space="preserve"> </w:t>
            </w:r>
            <w:r w:rsidR="001E70A6">
              <w:rPr>
                <w:b/>
              </w:rPr>
              <w:t>6.16.14</w:t>
            </w:r>
          </w:p>
          <w:p w:rsidR="001E70A6" w:rsidRDefault="00F30E5D" w:rsidP="001E70A6">
            <w:pPr>
              <w:rPr>
                <w:b/>
              </w:rPr>
            </w:pPr>
            <w:r w:rsidRPr="00B11297">
              <w:rPr>
                <w:b/>
              </w:rPr>
              <w:t>MSHN Representatives:</w:t>
            </w:r>
            <w:r w:rsidR="00B11297">
              <w:rPr>
                <w:b/>
              </w:rPr>
              <w:t xml:space="preserve"> </w:t>
            </w:r>
          </w:p>
          <w:p w:rsidR="00F30E5D" w:rsidRDefault="001E70A6" w:rsidP="001E70A6">
            <w:pPr>
              <w:rPr>
                <w:b/>
              </w:rPr>
            </w:pPr>
            <w:r>
              <w:rPr>
                <w:b/>
              </w:rPr>
              <w:t>P. Keyes</w:t>
            </w:r>
          </w:p>
          <w:p w:rsidR="001E70A6" w:rsidRDefault="001E70A6" w:rsidP="001E70A6">
            <w:pPr>
              <w:rPr>
                <w:b/>
              </w:rPr>
            </w:pPr>
            <w:r>
              <w:rPr>
                <w:b/>
              </w:rPr>
              <w:t xml:space="preserve">CMHSP Representatives:  </w:t>
            </w:r>
          </w:p>
          <w:p w:rsidR="001E70A6" w:rsidRDefault="001E70A6" w:rsidP="001E70A6">
            <w:pPr>
              <w:rPr>
                <w:b/>
              </w:rPr>
            </w:pPr>
            <w:r>
              <w:rPr>
                <w:b/>
              </w:rPr>
              <w:t xml:space="preserve">A. </w:t>
            </w:r>
            <w:proofErr w:type="spellStart"/>
            <w:r>
              <w:rPr>
                <w:b/>
              </w:rPr>
              <w:t>Keinath</w:t>
            </w:r>
            <w:proofErr w:type="spellEnd"/>
            <w:r>
              <w:rPr>
                <w:b/>
              </w:rPr>
              <w:t xml:space="preserve"> – Shiawassee</w:t>
            </w:r>
          </w:p>
          <w:p w:rsidR="001E70A6" w:rsidRDefault="001E70A6" w:rsidP="001E70A6">
            <w:pPr>
              <w:rPr>
                <w:b/>
              </w:rPr>
            </w:pPr>
            <w:r>
              <w:rPr>
                <w:b/>
              </w:rPr>
              <w:t xml:space="preserve">B. </w:t>
            </w:r>
            <w:proofErr w:type="spellStart"/>
            <w:r>
              <w:rPr>
                <w:b/>
              </w:rPr>
              <w:t>Krogman</w:t>
            </w:r>
            <w:proofErr w:type="spellEnd"/>
            <w:r>
              <w:rPr>
                <w:b/>
              </w:rPr>
              <w:t xml:space="preserve"> – Central</w:t>
            </w:r>
          </w:p>
          <w:p w:rsidR="001E70A6" w:rsidRDefault="001E70A6" w:rsidP="001E70A6">
            <w:pPr>
              <w:rPr>
                <w:b/>
              </w:rPr>
            </w:pPr>
            <w:r>
              <w:rPr>
                <w:b/>
              </w:rPr>
              <w:t>C. Mills – Newaygo</w:t>
            </w:r>
          </w:p>
          <w:p w:rsidR="001E70A6" w:rsidRDefault="001E70A6" w:rsidP="001E70A6">
            <w:pPr>
              <w:rPr>
                <w:b/>
              </w:rPr>
            </w:pPr>
            <w:r>
              <w:rPr>
                <w:b/>
              </w:rPr>
              <w:t>D. Ford-Heinrich – Saginaw</w:t>
            </w:r>
          </w:p>
          <w:p w:rsidR="001E70A6" w:rsidRDefault="001E70A6" w:rsidP="001E70A6">
            <w:pPr>
              <w:rPr>
                <w:b/>
              </w:rPr>
            </w:pPr>
            <w:r>
              <w:rPr>
                <w:b/>
              </w:rPr>
              <w:t>J. Wise – Montcalm</w:t>
            </w:r>
          </w:p>
          <w:p w:rsidR="001E70A6" w:rsidRDefault="001E70A6" w:rsidP="001E70A6">
            <w:pPr>
              <w:rPr>
                <w:b/>
              </w:rPr>
            </w:pPr>
            <w:r>
              <w:rPr>
                <w:b/>
              </w:rPr>
              <w:t>S. Chick – CEI</w:t>
            </w:r>
          </w:p>
          <w:p w:rsidR="001E70A6" w:rsidRDefault="001E70A6" w:rsidP="001E70A6">
            <w:pPr>
              <w:rPr>
                <w:b/>
              </w:rPr>
            </w:pPr>
            <w:r>
              <w:rPr>
                <w:b/>
              </w:rPr>
              <w:t xml:space="preserve">G. </w:t>
            </w:r>
            <w:proofErr w:type="spellStart"/>
            <w:r>
              <w:rPr>
                <w:b/>
              </w:rPr>
              <w:t>Roeser</w:t>
            </w:r>
            <w:proofErr w:type="spellEnd"/>
            <w:r>
              <w:rPr>
                <w:b/>
              </w:rPr>
              <w:t xml:space="preserve"> – CEI</w:t>
            </w:r>
          </w:p>
          <w:p w:rsidR="001E70A6" w:rsidRDefault="001E70A6" w:rsidP="001E70A6">
            <w:pPr>
              <w:rPr>
                <w:b/>
              </w:rPr>
            </w:pPr>
            <w:r>
              <w:rPr>
                <w:b/>
              </w:rPr>
              <w:t xml:space="preserve">E. </w:t>
            </w:r>
            <w:proofErr w:type="spellStart"/>
            <w:r>
              <w:rPr>
                <w:b/>
              </w:rPr>
              <w:t>Lesniak</w:t>
            </w:r>
            <w:proofErr w:type="spellEnd"/>
            <w:r>
              <w:rPr>
                <w:b/>
              </w:rPr>
              <w:t xml:space="preserve"> – Bay Arenac</w:t>
            </w:r>
          </w:p>
          <w:p w:rsidR="001E70A6" w:rsidRDefault="001E70A6" w:rsidP="001E70A6">
            <w:pPr>
              <w:rPr>
                <w:b/>
              </w:rPr>
            </w:pPr>
            <w:r>
              <w:rPr>
                <w:b/>
              </w:rPr>
              <w:t>M. Wiley – Tuscola</w:t>
            </w:r>
          </w:p>
          <w:p w:rsidR="001E70A6" w:rsidRDefault="001E70A6" w:rsidP="001E70A6">
            <w:pPr>
              <w:rPr>
                <w:b/>
              </w:rPr>
            </w:pPr>
            <w:r>
              <w:rPr>
                <w:b/>
              </w:rPr>
              <w:t xml:space="preserve">R. Carpenter – </w:t>
            </w:r>
            <w:proofErr w:type="spellStart"/>
            <w:r>
              <w:rPr>
                <w:b/>
              </w:rPr>
              <w:t>LifeWays</w:t>
            </w:r>
            <w:proofErr w:type="spellEnd"/>
          </w:p>
          <w:p w:rsidR="001E70A6" w:rsidRDefault="001E70A6" w:rsidP="001E70A6">
            <w:pPr>
              <w:rPr>
                <w:b/>
              </w:rPr>
            </w:pPr>
            <w:r>
              <w:rPr>
                <w:b/>
              </w:rPr>
              <w:t>Absent:</w:t>
            </w:r>
          </w:p>
          <w:p w:rsidR="001E70A6" w:rsidRDefault="001E70A6" w:rsidP="001E70A6">
            <w:pPr>
              <w:rPr>
                <w:b/>
              </w:rPr>
            </w:pPr>
            <w:r>
              <w:rPr>
                <w:b/>
              </w:rPr>
              <w:t>S. Vernon - Gratiot</w:t>
            </w:r>
          </w:p>
          <w:p w:rsidR="001E70A6" w:rsidRPr="001E70A6" w:rsidRDefault="001E70A6" w:rsidP="001E70A6">
            <w:pPr>
              <w:rPr>
                <w:b/>
              </w:rPr>
            </w:pPr>
          </w:p>
        </w:tc>
        <w:tc>
          <w:tcPr>
            <w:tcW w:w="1016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76923C" w:themeFill="accent3" w:themeFillShade="BF"/>
            <w:vAlign w:val="center"/>
          </w:tcPr>
          <w:p w:rsidR="00F30E5D" w:rsidRPr="00F30E5D" w:rsidRDefault="00F30E5D" w:rsidP="00F30E5D">
            <w:pPr>
              <w:jc w:val="center"/>
              <w:rPr>
                <w:b/>
                <w:color w:val="FFFFFF" w:themeColor="background1"/>
                <w:sz w:val="24"/>
              </w:rPr>
            </w:pPr>
            <w:r>
              <w:rPr>
                <w:b/>
                <w:color w:val="FFFFFF" w:themeColor="background1"/>
                <w:sz w:val="24"/>
              </w:rPr>
              <w:t>Key Discussion Topics</w:t>
            </w:r>
          </w:p>
        </w:tc>
      </w:tr>
      <w:tr w:rsidR="00F30E5D" w:rsidTr="00B11297">
        <w:trPr>
          <w:trHeight w:val="1010"/>
          <w:jc w:val="center"/>
        </w:trPr>
        <w:tc>
          <w:tcPr>
            <w:tcW w:w="5035" w:type="dxa"/>
            <w:gridSpan w:val="2"/>
            <w:vMerge/>
            <w:tcBorders>
              <w:left w:val="single" w:sz="4" w:space="0" w:color="000000" w:themeColor="text1"/>
              <w:bottom w:val="single" w:sz="4" w:space="0" w:color="000000" w:themeColor="text1"/>
              <w:right w:val="single" w:sz="4" w:space="0" w:color="000000" w:themeColor="text1"/>
            </w:tcBorders>
            <w:shd w:val="clear" w:color="auto" w:fill="auto"/>
            <w:vAlign w:val="center"/>
          </w:tcPr>
          <w:p w:rsidR="00F30E5D" w:rsidRPr="00EE6616" w:rsidRDefault="00F30E5D" w:rsidP="00392543">
            <w:pPr>
              <w:pStyle w:val="Heading1"/>
              <w:outlineLvl w:val="0"/>
              <w:rPr>
                <w:noProof/>
              </w:rPr>
            </w:pPr>
          </w:p>
        </w:tc>
        <w:tc>
          <w:tcPr>
            <w:tcW w:w="1016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5C10FD" w:rsidRDefault="005C10FD" w:rsidP="005C10FD">
            <w:pPr>
              <w:pStyle w:val="ListParagraph"/>
              <w:numPr>
                <w:ilvl w:val="0"/>
                <w:numId w:val="4"/>
              </w:numPr>
              <w:spacing w:after="200" w:line="276" w:lineRule="auto"/>
              <w:jc w:val="both"/>
              <w:rPr>
                <w:sz w:val="24"/>
              </w:rPr>
            </w:pPr>
            <w:r>
              <w:rPr>
                <w:sz w:val="24"/>
              </w:rPr>
              <w:t>Recap items from last month’s meeting</w:t>
            </w:r>
          </w:p>
          <w:p w:rsidR="005C10FD" w:rsidRDefault="005C10FD" w:rsidP="005C10FD">
            <w:pPr>
              <w:pStyle w:val="ListParagraph"/>
              <w:numPr>
                <w:ilvl w:val="1"/>
                <w:numId w:val="4"/>
              </w:numPr>
              <w:spacing w:after="200" w:line="276" w:lineRule="auto"/>
              <w:jc w:val="both"/>
              <w:rPr>
                <w:sz w:val="24"/>
              </w:rPr>
            </w:pPr>
            <w:r>
              <w:rPr>
                <w:sz w:val="24"/>
              </w:rPr>
              <w:t>Cost Settlement 2nd Quarter of FY14</w:t>
            </w:r>
          </w:p>
          <w:p w:rsidR="005C10FD" w:rsidRDefault="005C10FD" w:rsidP="005C10FD">
            <w:pPr>
              <w:pStyle w:val="ListParagraph"/>
              <w:numPr>
                <w:ilvl w:val="1"/>
                <w:numId w:val="4"/>
              </w:numPr>
              <w:spacing w:after="200" w:line="276" w:lineRule="auto"/>
              <w:jc w:val="both"/>
              <w:rPr>
                <w:sz w:val="24"/>
              </w:rPr>
            </w:pPr>
            <w:r>
              <w:rPr>
                <w:sz w:val="24"/>
              </w:rPr>
              <w:t>5% EOB process for region</w:t>
            </w:r>
          </w:p>
          <w:p w:rsidR="005C10FD" w:rsidRPr="00D91D71" w:rsidRDefault="005C10FD" w:rsidP="005C10FD">
            <w:pPr>
              <w:pStyle w:val="ListParagraph"/>
              <w:numPr>
                <w:ilvl w:val="1"/>
                <w:numId w:val="4"/>
              </w:numPr>
              <w:spacing w:after="200" w:line="276" w:lineRule="auto"/>
              <w:jc w:val="both"/>
              <w:rPr>
                <w:sz w:val="24"/>
              </w:rPr>
            </w:pPr>
            <w:r>
              <w:rPr>
                <w:sz w:val="24"/>
              </w:rPr>
              <w:t>MSHN Finance Council Dashboard</w:t>
            </w:r>
          </w:p>
          <w:p w:rsidR="005C10FD" w:rsidRPr="001154B0" w:rsidRDefault="005C10FD" w:rsidP="005C10FD">
            <w:pPr>
              <w:pStyle w:val="ListParagraph"/>
              <w:numPr>
                <w:ilvl w:val="0"/>
                <w:numId w:val="4"/>
              </w:numPr>
              <w:spacing w:after="200" w:line="276" w:lineRule="auto"/>
              <w:jc w:val="both"/>
              <w:rPr>
                <w:sz w:val="24"/>
              </w:rPr>
            </w:pPr>
            <w:r>
              <w:rPr>
                <w:sz w:val="24"/>
              </w:rPr>
              <w:t>Transition of NMSAS CA and Transition to one CA Region</w:t>
            </w:r>
          </w:p>
          <w:p w:rsidR="005C10FD" w:rsidRDefault="005C10FD" w:rsidP="005C10FD">
            <w:pPr>
              <w:pStyle w:val="ListParagraph"/>
              <w:numPr>
                <w:ilvl w:val="0"/>
                <w:numId w:val="4"/>
              </w:numPr>
              <w:spacing w:after="200" w:line="276" w:lineRule="auto"/>
              <w:jc w:val="both"/>
              <w:rPr>
                <w:sz w:val="24"/>
              </w:rPr>
            </w:pPr>
            <w:r>
              <w:rPr>
                <w:sz w:val="24"/>
              </w:rPr>
              <w:t>Accounting System and Support RFP</w:t>
            </w:r>
          </w:p>
          <w:p w:rsidR="005C10FD" w:rsidRPr="001154B0" w:rsidRDefault="005C10FD" w:rsidP="005C10FD">
            <w:pPr>
              <w:pStyle w:val="ListParagraph"/>
              <w:numPr>
                <w:ilvl w:val="0"/>
                <w:numId w:val="4"/>
              </w:numPr>
              <w:spacing w:after="200" w:line="276" w:lineRule="auto"/>
              <w:jc w:val="both"/>
              <w:rPr>
                <w:sz w:val="24"/>
              </w:rPr>
            </w:pPr>
            <w:r>
              <w:rPr>
                <w:sz w:val="24"/>
              </w:rPr>
              <w:t>Medicaid Subcontract</w:t>
            </w:r>
          </w:p>
          <w:p w:rsidR="005C10FD" w:rsidRDefault="005C10FD" w:rsidP="005C10FD">
            <w:pPr>
              <w:pStyle w:val="ListParagraph"/>
              <w:numPr>
                <w:ilvl w:val="0"/>
                <w:numId w:val="4"/>
              </w:numPr>
              <w:spacing w:after="200" w:line="276" w:lineRule="auto"/>
              <w:jc w:val="both"/>
              <w:rPr>
                <w:sz w:val="24"/>
              </w:rPr>
            </w:pPr>
            <w:r>
              <w:rPr>
                <w:sz w:val="24"/>
              </w:rPr>
              <w:t>Medicaid Payment Calendar</w:t>
            </w:r>
          </w:p>
          <w:p w:rsidR="005C10FD" w:rsidRPr="00FA0B62" w:rsidRDefault="005C10FD" w:rsidP="005C10FD">
            <w:pPr>
              <w:pStyle w:val="ListParagraph"/>
              <w:numPr>
                <w:ilvl w:val="0"/>
                <w:numId w:val="4"/>
              </w:numPr>
              <w:spacing w:after="200" w:line="276" w:lineRule="auto"/>
              <w:jc w:val="both"/>
              <w:rPr>
                <w:sz w:val="24"/>
              </w:rPr>
            </w:pPr>
            <w:r>
              <w:rPr>
                <w:sz w:val="24"/>
              </w:rPr>
              <w:t>Policy &amp; Procedure Review – COFR, Costing, Claims</w:t>
            </w:r>
          </w:p>
          <w:p w:rsidR="005C10FD" w:rsidRDefault="005C10FD" w:rsidP="005C10FD">
            <w:pPr>
              <w:pStyle w:val="ListParagraph"/>
              <w:numPr>
                <w:ilvl w:val="0"/>
                <w:numId w:val="4"/>
              </w:numPr>
              <w:spacing w:after="200" w:line="276" w:lineRule="auto"/>
              <w:jc w:val="both"/>
              <w:rPr>
                <w:sz w:val="24"/>
              </w:rPr>
            </w:pPr>
            <w:r>
              <w:rPr>
                <w:sz w:val="24"/>
              </w:rPr>
              <w:t>HSW Recoupment prevention</w:t>
            </w:r>
          </w:p>
          <w:p w:rsidR="005C10FD" w:rsidRDefault="005C10FD" w:rsidP="005C10FD">
            <w:pPr>
              <w:pStyle w:val="ListParagraph"/>
              <w:numPr>
                <w:ilvl w:val="0"/>
                <w:numId w:val="4"/>
              </w:numPr>
              <w:spacing w:after="200" w:line="276" w:lineRule="auto"/>
              <w:jc w:val="both"/>
              <w:rPr>
                <w:sz w:val="24"/>
              </w:rPr>
            </w:pPr>
            <w:r>
              <w:rPr>
                <w:sz w:val="24"/>
              </w:rPr>
              <w:t>FY 2015 Budget for Medicaid &amp; SUD</w:t>
            </w:r>
          </w:p>
          <w:p w:rsidR="005C10FD" w:rsidRDefault="005C10FD" w:rsidP="005C10FD">
            <w:pPr>
              <w:pStyle w:val="ListParagraph"/>
              <w:numPr>
                <w:ilvl w:val="0"/>
                <w:numId w:val="4"/>
              </w:numPr>
              <w:spacing w:after="200" w:line="276" w:lineRule="auto"/>
              <w:jc w:val="both"/>
              <w:rPr>
                <w:sz w:val="24"/>
              </w:rPr>
            </w:pPr>
            <w:r>
              <w:rPr>
                <w:sz w:val="24"/>
              </w:rPr>
              <w:t>EQR Audit Preparation</w:t>
            </w:r>
          </w:p>
          <w:p w:rsidR="00EE661D" w:rsidRPr="007F3A59" w:rsidRDefault="005C10FD" w:rsidP="005C10FD">
            <w:pPr>
              <w:pStyle w:val="ListParagraph"/>
              <w:numPr>
                <w:ilvl w:val="0"/>
                <w:numId w:val="4"/>
              </w:numPr>
              <w:spacing w:after="0" w:line="360" w:lineRule="auto"/>
              <w:contextualSpacing w:val="0"/>
              <w:rPr>
                <w:szCs w:val="22"/>
              </w:rPr>
            </w:pPr>
            <w:r>
              <w:rPr>
                <w:sz w:val="24"/>
              </w:rPr>
              <w:t>SIS Training and Staffing in initial year and going forward</w:t>
            </w:r>
          </w:p>
        </w:tc>
      </w:tr>
      <w:tr w:rsidR="00835D56" w:rsidTr="00F30E5D">
        <w:trPr>
          <w:jc w:val="center"/>
        </w:trPr>
        <w:tc>
          <w:tcPr>
            <w:tcW w:w="36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B11297" w:rsidRDefault="00F30E5D" w:rsidP="00B11297">
            <w:pPr>
              <w:pStyle w:val="Heading3"/>
              <w:spacing w:after="0"/>
              <w:outlineLvl w:val="2"/>
            </w:pPr>
            <w:r>
              <w:lastRenderedPageBreak/>
              <w:t>Key Decisions</w:t>
            </w:r>
            <w:r w:rsidR="00B11297">
              <w:t>/</w:t>
            </w:r>
          </w:p>
          <w:p w:rsidR="00CD3C1F" w:rsidRDefault="00B11297" w:rsidP="00B11297">
            <w:pPr>
              <w:pStyle w:val="Heading3"/>
              <w:numPr>
                <w:ilvl w:val="0"/>
                <w:numId w:val="0"/>
              </w:numPr>
              <w:spacing w:after="0"/>
              <w:ind w:left="1080"/>
              <w:outlineLvl w:val="2"/>
            </w:pPr>
            <w:r>
              <w:t>Information</w:t>
            </w:r>
          </w:p>
          <w:p w:rsidR="00B11297" w:rsidRPr="00B11297" w:rsidRDefault="00B11297" w:rsidP="00B11297"/>
          <w:p w:rsidR="00B11297" w:rsidRPr="00B11297" w:rsidRDefault="00B11297" w:rsidP="00B11297"/>
        </w:tc>
        <w:tc>
          <w:tcPr>
            <w:tcW w:w="1155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5C10FD" w:rsidRDefault="005C10FD" w:rsidP="005C10FD">
            <w:pPr>
              <w:pStyle w:val="ListParagraph"/>
              <w:numPr>
                <w:ilvl w:val="0"/>
                <w:numId w:val="1"/>
              </w:numPr>
              <w:tabs>
                <w:tab w:val="left" w:pos="720"/>
              </w:tabs>
              <w:spacing w:after="0"/>
              <w:contextualSpacing w:val="0"/>
            </w:pPr>
            <w:r>
              <w:t xml:space="preserve">Welcome to Kerry </w:t>
            </w:r>
            <w:proofErr w:type="spellStart"/>
            <w:r>
              <w:t>Possehn</w:t>
            </w:r>
            <w:proofErr w:type="spellEnd"/>
            <w:r>
              <w:t>, new CFO at Ionia</w:t>
            </w:r>
          </w:p>
          <w:p w:rsidR="005C10FD" w:rsidRDefault="005C10FD" w:rsidP="005C10FD">
            <w:pPr>
              <w:pStyle w:val="ListParagraph"/>
              <w:numPr>
                <w:ilvl w:val="0"/>
                <w:numId w:val="1"/>
              </w:numPr>
              <w:tabs>
                <w:tab w:val="left" w:pos="720"/>
              </w:tabs>
              <w:spacing w:after="0"/>
              <w:contextualSpacing w:val="0"/>
            </w:pPr>
            <w:r>
              <w:t>Cost Settlement – New FY14 reporting forms are completed and MDCH is waiting for direction from CMS about whether Medicaid and Healthy Michigan funds will be able to be pooled.</w:t>
            </w:r>
          </w:p>
          <w:p w:rsidR="005C10FD" w:rsidRDefault="005C10FD" w:rsidP="005C10FD">
            <w:pPr>
              <w:pStyle w:val="ListParagraph"/>
              <w:numPr>
                <w:ilvl w:val="0"/>
                <w:numId w:val="1"/>
              </w:numPr>
              <w:tabs>
                <w:tab w:val="left" w:pos="720"/>
              </w:tabs>
              <w:spacing w:after="0"/>
              <w:contextualSpacing w:val="0"/>
            </w:pPr>
            <w:r>
              <w:t xml:space="preserve">5% EOB requirement – the delegation grid and Medicaid subcontract are silent on this requirement.  We want to have an efficient consistent process.  The CEI PIHP did not do the EOBs for its affiliates; BABH did do them for its affiliates because BABH prepared the encounters the EOBs were based upon.  Questions were raised about whether the requirement is 5% for the region or 5% per CMHSP.  </w:t>
            </w:r>
          </w:p>
          <w:p w:rsidR="005C10FD" w:rsidRDefault="005C10FD" w:rsidP="005C10FD">
            <w:pPr>
              <w:pStyle w:val="ListParagraph"/>
              <w:numPr>
                <w:ilvl w:val="0"/>
                <w:numId w:val="1"/>
              </w:numPr>
              <w:tabs>
                <w:tab w:val="left" w:pos="720"/>
              </w:tabs>
              <w:spacing w:after="0"/>
              <w:contextualSpacing w:val="0"/>
            </w:pPr>
            <w:r>
              <w:t xml:space="preserve">MSHN Finance Council Dashboard – SUD should be incorporated into the main dashboard.  Input on what ratios to use on the dashboard is requested.  </w:t>
            </w:r>
          </w:p>
          <w:p w:rsidR="00EE661D" w:rsidRPr="001E70A6" w:rsidRDefault="005C10FD" w:rsidP="005C10FD">
            <w:pPr>
              <w:pStyle w:val="ListParagraph"/>
              <w:numPr>
                <w:ilvl w:val="0"/>
                <w:numId w:val="1"/>
              </w:numPr>
              <w:spacing w:after="0"/>
              <w:contextualSpacing w:val="0"/>
              <w:rPr>
                <w:szCs w:val="22"/>
              </w:rPr>
            </w:pPr>
            <w:r>
              <w:t>Transition from NMSAS CA – RFPs have been released.  Expecting bids from CEI, Saginaw and BABH.  Only have intent from CEI for the SUD Finance/IT RFP.  Ellen to double check about BABH’s intent for the Finance piece.</w:t>
            </w:r>
          </w:p>
          <w:p w:rsidR="001E70A6" w:rsidRPr="001E70A6" w:rsidRDefault="001E70A6" w:rsidP="005C10FD">
            <w:pPr>
              <w:pStyle w:val="ListParagraph"/>
              <w:numPr>
                <w:ilvl w:val="0"/>
                <w:numId w:val="1"/>
              </w:numPr>
              <w:spacing w:after="0"/>
              <w:contextualSpacing w:val="0"/>
              <w:rPr>
                <w:szCs w:val="22"/>
              </w:rPr>
            </w:pPr>
            <w:r>
              <w:t xml:space="preserve">Accounting System and Support RFP - Richard excused himself as </w:t>
            </w:r>
            <w:proofErr w:type="spellStart"/>
            <w:r>
              <w:t>Rehmann</w:t>
            </w:r>
            <w:proofErr w:type="spellEnd"/>
            <w:r>
              <w:t xml:space="preserve"> is a potential bidder.  The opportunity to provide feedback on the RFP was offered.  The RFPs will be sent directly to Lansing area firms as well as several others.  It will also be advertised on the MACMHB and MSHN websites.  There was discussion about the procurement procedure and about priority being given to any of the members of the region who want to provide the service.</w:t>
            </w:r>
          </w:p>
          <w:p w:rsidR="001E70A6" w:rsidRPr="001E70A6" w:rsidRDefault="001E70A6" w:rsidP="005C10FD">
            <w:pPr>
              <w:pStyle w:val="ListParagraph"/>
              <w:numPr>
                <w:ilvl w:val="0"/>
                <w:numId w:val="1"/>
              </w:numPr>
              <w:spacing w:after="0"/>
              <w:contextualSpacing w:val="0"/>
              <w:rPr>
                <w:szCs w:val="22"/>
              </w:rPr>
            </w:pPr>
            <w:r>
              <w:t>Medicaid Subcontract – 6 members have signed and returned the subcontracts; the other 6 have indicated they are waiting for their next board meeting for presentation and approval.</w:t>
            </w:r>
          </w:p>
          <w:p w:rsidR="001E70A6" w:rsidRPr="00D911A3" w:rsidRDefault="001E70A6" w:rsidP="00D911A3">
            <w:pPr>
              <w:pStyle w:val="ListParagraph"/>
              <w:numPr>
                <w:ilvl w:val="0"/>
                <w:numId w:val="1"/>
              </w:numPr>
              <w:spacing w:after="0"/>
              <w:contextualSpacing w:val="0"/>
              <w:rPr>
                <w:szCs w:val="22"/>
              </w:rPr>
            </w:pPr>
            <w:r>
              <w:t>Medicaid Payment Calendar – B and B3 Payments moved from second payment cycle to the fourth.  It was noted that the cover letter explained why the change was happening:  Change to 834 and 820 schedule to be able to provide an update enrollment file on the second of the month to help reduce the need for 270/271 transactions and provide the most up-to-date eligibility information to the PIHPs.  Concern about cash flow was expressed.</w:t>
            </w:r>
          </w:p>
          <w:p w:rsidR="00D911A3" w:rsidRDefault="00D911A3" w:rsidP="00D911A3">
            <w:pPr>
              <w:pStyle w:val="ListParagraph"/>
              <w:numPr>
                <w:ilvl w:val="0"/>
                <w:numId w:val="7"/>
              </w:numPr>
              <w:spacing w:after="0"/>
              <w:rPr>
                <w:szCs w:val="22"/>
              </w:rPr>
            </w:pPr>
            <w:r>
              <w:rPr>
                <w:szCs w:val="22"/>
              </w:rPr>
              <w:t>DHS Incentive Monetary Payments – Pam is working on a worksheet to show break-out of incentive payments.  Incentive payments are accounted for on a cash basis.</w:t>
            </w:r>
          </w:p>
          <w:p w:rsidR="00D911A3" w:rsidRDefault="00D911A3" w:rsidP="00D911A3">
            <w:pPr>
              <w:pStyle w:val="ListParagraph"/>
              <w:numPr>
                <w:ilvl w:val="0"/>
                <w:numId w:val="7"/>
              </w:numPr>
              <w:spacing w:after="0"/>
              <w:rPr>
                <w:szCs w:val="22"/>
              </w:rPr>
            </w:pPr>
            <w:r>
              <w:rPr>
                <w:szCs w:val="22"/>
              </w:rPr>
              <w:t>Autism Services – Payments are less than expected.  Analysis of service data to determine why we aren’t receiving payments.  Autism services require a U5 modifier and a plan of service that is supposed to be submitted to a website and approved for services to be paid</w:t>
            </w:r>
          </w:p>
          <w:p w:rsidR="00D911A3" w:rsidRDefault="00D911A3" w:rsidP="00D911A3">
            <w:pPr>
              <w:pStyle w:val="ListParagraph"/>
              <w:numPr>
                <w:ilvl w:val="0"/>
                <w:numId w:val="8"/>
              </w:numPr>
              <w:spacing w:after="0"/>
              <w:rPr>
                <w:szCs w:val="22"/>
              </w:rPr>
            </w:pPr>
            <w:r>
              <w:rPr>
                <w:szCs w:val="22"/>
              </w:rPr>
              <w:t>MSHN Strategic Plan – the plan was discussed briefly and input was requested</w:t>
            </w:r>
          </w:p>
          <w:p w:rsidR="00D911A3" w:rsidRDefault="00D911A3" w:rsidP="00D911A3">
            <w:pPr>
              <w:pStyle w:val="ListParagraph"/>
              <w:numPr>
                <w:ilvl w:val="0"/>
                <w:numId w:val="8"/>
              </w:numPr>
              <w:spacing w:after="0"/>
              <w:rPr>
                <w:szCs w:val="22"/>
              </w:rPr>
            </w:pPr>
            <w:r>
              <w:rPr>
                <w:szCs w:val="22"/>
              </w:rPr>
              <w:t>COFR Policy – The intent of the COFR policy was discussed.  Timelines and statute of limitations were also discussed.  The policy is on the Operations Council agenda.  Discussion took place about GF costs, it was concluded that if GF costs exist, a COFR agreement will still be necessary (at least for a period of time).  It was suggested that after some period of time, say two years, the GF cost would become the responsibility of the CMHSP managing the case.  The draft policy was reviewed and language suggestions were incorporated into the draft.  The suggestions are intended to clarify the Medicaid versus Non-Medicaid (IE State Inpatient).  There was additional discussion about adding a dollar threshold.  It was suggested that MSHN could make the CMHSP taking on COFR cases whole on the back end.</w:t>
            </w:r>
          </w:p>
          <w:p w:rsidR="00D911A3" w:rsidRDefault="00D911A3" w:rsidP="00D911A3">
            <w:pPr>
              <w:pStyle w:val="ListParagraph"/>
              <w:numPr>
                <w:ilvl w:val="0"/>
                <w:numId w:val="8"/>
              </w:numPr>
              <w:spacing w:after="0"/>
              <w:rPr>
                <w:szCs w:val="22"/>
              </w:rPr>
            </w:pPr>
            <w:r>
              <w:rPr>
                <w:szCs w:val="22"/>
              </w:rPr>
              <w:t>Costing Policy – the policy was reviewed and language suggestions were offered.</w:t>
            </w:r>
          </w:p>
          <w:p w:rsidR="00D911A3" w:rsidRDefault="00D911A3" w:rsidP="00D911A3">
            <w:pPr>
              <w:pStyle w:val="ListParagraph"/>
              <w:numPr>
                <w:ilvl w:val="0"/>
                <w:numId w:val="8"/>
              </w:numPr>
              <w:spacing w:after="0"/>
              <w:rPr>
                <w:szCs w:val="22"/>
              </w:rPr>
            </w:pPr>
            <w:r>
              <w:rPr>
                <w:szCs w:val="22"/>
              </w:rPr>
              <w:t>Claims Procedure – the procedure was reviewed and language suggestions were offered.  Concern was shared regarding the language and how it would affect the CAs.</w:t>
            </w:r>
          </w:p>
          <w:p w:rsidR="00D911A3" w:rsidRDefault="00D911A3" w:rsidP="00D911A3">
            <w:pPr>
              <w:pStyle w:val="ListParagraph"/>
              <w:numPr>
                <w:ilvl w:val="0"/>
                <w:numId w:val="8"/>
              </w:numPr>
              <w:spacing w:after="0"/>
              <w:rPr>
                <w:szCs w:val="22"/>
              </w:rPr>
            </w:pPr>
            <w:r>
              <w:rPr>
                <w:szCs w:val="22"/>
              </w:rPr>
              <w:t>HSW Recoupments – discussion about how much funding is not being realized due to HSW cases not receiving one service in a month.  It was questioned whether MSHN had policy and/or procedure concerning</w:t>
            </w:r>
            <w:r w:rsidR="00257026">
              <w:rPr>
                <w:szCs w:val="22"/>
              </w:rPr>
              <w:t xml:space="preserve"> this topic.  It appears to be an opportunity to enhance Regional HSW funding by putting a system/process in place in our respective CMHSPs.  </w:t>
            </w:r>
          </w:p>
          <w:p w:rsidR="00257026" w:rsidRDefault="00257026" w:rsidP="00257026">
            <w:pPr>
              <w:pStyle w:val="ListParagraph"/>
              <w:numPr>
                <w:ilvl w:val="0"/>
                <w:numId w:val="8"/>
              </w:numPr>
              <w:spacing w:after="0"/>
              <w:rPr>
                <w:szCs w:val="22"/>
              </w:rPr>
            </w:pPr>
            <w:r>
              <w:rPr>
                <w:szCs w:val="22"/>
              </w:rPr>
              <w:lastRenderedPageBreak/>
              <w:t>CAP Payment &amp; Budget Procedure – the procedure specifies that the FY15 Medicaid budget amounts will be available by the end of June with CMHSP Expenditure budgets returned by July.  The information necessary to this may not be available to assumptions may be necessary to meet the timeline or the timeline may be shifted.  Possible methods for projecting FY15 Medicaid were discussed.</w:t>
            </w:r>
          </w:p>
          <w:p w:rsidR="00257026" w:rsidRDefault="00257026" w:rsidP="00257026">
            <w:pPr>
              <w:pStyle w:val="ListParagraph"/>
              <w:numPr>
                <w:ilvl w:val="0"/>
                <w:numId w:val="8"/>
              </w:numPr>
              <w:spacing w:after="0"/>
              <w:rPr>
                <w:szCs w:val="22"/>
              </w:rPr>
            </w:pPr>
            <w:r>
              <w:rPr>
                <w:szCs w:val="22"/>
              </w:rPr>
              <w:t>EQR Audit Preparation – Amanda is working with the QIC to gather information for the desk review.  Examine the desk review document Financial Management section for items to be reviewed.</w:t>
            </w:r>
          </w:p>
          <w:p w:rsidR="004A600C" w:rsidRPr="00D911A3" w:rsidRDefault="004A600C" w:rsidP="00257026">
            <w:pPr>
              <w:pStyle w:val="ListParagraph"/>
              <w:numPr>
                <w:ilvl w:val="0"/>
                <w:numId w:val="8"/>
              </w:numPr>
              <w:spacing w:after="0"/>
              <w:rPr>
                <w:szCs w:val="22"/>
              </w:rPr>
            </w:pPr>
            <w:r>
              <w:rPr>
                <w:szCs w:val="22"/>
              </w:rPr>
              <w:t>SIS Training and Staffing – the draft document was reviewed and discussed.  The document recommends each CMHSP have an Assessor on staff or contract with a CMHSP that does have one.  A uniform rate will be set by CFOs of providing CMHSPs.</w:t>
            </w:r>
          </w:p>
        </w:tc>
      </w:tr>
      <w:tr w:rsidR="00835D56" w:rsidTr="00F30E5D">
        <w:trPr>
          <w:jc w:val="center"/>
        </w:trPr>
        <w:tc>
          <w:tcPr>
            <w:tcW w:w="36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CD3C1F" w:rsidRPr="00F30E5D" w:rsidRDefault="00B11297" w:rsidP="00951999">
            <w:pPr>
              <w:pStyle w:val="Heading3"/>
              <w:outlineLvl w:val="2"/>
            </w:pPr>
            <w:r>
              <w:lastRenderedPageBreak/>
              <w:t>Action/Input Requirements</w:t>
            </w:r>
          </w:p>
        </w:tc>
        <w:tc>
          <w:tcPr>
            <w:tcW w:w="1155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5C10FD" w:rsidRDefault="005C10FD" w:rsidP="005C10FD">
            <w:pPr>
              <w:pStyle w:val="ListParagraph"/>
              <w:numPr>
                <w:ilvl w:val="0"/>
                <w:numId w:val="2"/>
              </w:numPr>
            </w:pPr>
            <w:r>
              <w:t>CEI and BABH to analyze 12/31/13 results to determine potential cost settlement issues.</w:t>
            </w:r>
          </w:p>
          <w:p w:rsidR="005C10FD" w:rsidRPr="003663F0" w:rsidRDefault="005C10FD" w:rsidP="005C10FD">
            <w:pPr>
              <w:pStyle w:val="ListParagraph"/>
              <w:numPr>
                <w:ilvl w:val="0"/>
                <w:numId w:val="2"/>
              </w:numPr>
              <w:spacing w:after="200" w:line="276" w:lineRule="auto"/>
              <w:jc w:val="both"/>
              <w:rPr>
                <w:sz w:val="24"/>
              </w:rPr>
            </w:pPr>
            <w:r w:rsidRPr="004804F5">
              <w:t>5% of Medicaid Recipient EOB Requirement</w:t>
            </w:r>
            <w:r>
              <w:t xml:space="preserve"> – Develop questionnaire to determine each CMHSP’s ability to complete this requirement.</w:t>
            </w:r>
          </w:p>
          <w:p w:rsidR="005C10FD" w:rsidRDefault="005C10FD" w:rsidP="005C10FD">
            <w:pPr>
              <w:pStyle w:val="ListParagraph"/>
              <w:numPr>
                <w:ilvl w:val="0"/>
                <w:numId w:val="2"/>
              </w:numPr>
            </w:pPr>
            <w:r>
              <w:t>MSHN Dashboard – Email input on what ratios to include on dashboard before Friday 6/20/14.</w:t>
            </w:r>
          </w:p>
          <w:p w:rsidR="005C10FD" w:rsidRDefault="005C10FD" w:rsidP="005C10FD">
            <w:pPr>
              <w:pStyle w:val="ListParagraph"/>
              <w:numPr>
                <w:ilvl w:val="0"/>
                <w:numId w:val="2"/>
              </w:numPr>
            </w:pPr>
            <w:r>
              <w:t>Medicaid Payment Calendar – Email Pam about cash flow concerns.</w:t>
            </w:r>
          </w:p>
          <w:p w:rsidR="00EE661D" w:rsidRDefault="005C10FD" w:rsidP="005C10FD">
            <w:pPr>
              <w:pStyle w:val="ListParagraph"/>
              <w:numPr>
                <w:ilvl w:val="0"/>
                <w:numId w:val="2"/>
              </w:numPr>
            </w:pPr>
            <w:r>
              <w:t>Autism Payments –MSHN to review Autism data for possible problems preventing payment.</w:t>
            </w:r>
          </w:p>
          <w:p w:rsidR="004A600C" w:rsidRDefault="004A600C" w:rsidP="005C10FD">
            <w:pPr>
              <w:pStyle w:val="ListParagraph"/>
              <w:numPr>
                <w:ilvl w:val="0"/>
                <w:numId w:val="2"/>
              </w:numPr>
            </w:pPr>
            <w:r>
              <w:t>Strategic Plan – review and provide feedback to Pam by Friday 6.20.14</w:t>
            </w:r>
          </w:p>
          <w:p w:rsidR="004A600C" w:rsidRDefault="004A600C" w:rsidP="005C10FD">
            <w:pPr>
              <w:pStyle w:val="ListParagraph"/>
              <w:numPr>
                <w:ilvl w:val="0"/>
                <w:numId w:val="2"/>
              </w:numPr>
            </w:pPr>
            <w:r>
              <w:t>COFR Policy – Pam to provide “track changes” version of policy to Operations Council</w:t>
            </w:r>
          </w:p>
          <w:p w:rsidR="004A600C" w:rsidRDefault="004A600C" w:rsidP="005C10FD">
            <w:pPr>
              <w:pStyle w:val="ListParagraph"/>
              <w:numPr>
                <w:ilvl w:val="0"/>
                <w:numId w:val="2"/>
              </w:numPr>
            </w:pPr>
            <w:r>
              <w:t>Costing Policy – Pam to e-mail revised version:  review and provide feedback to Pam</w:t>
            </w:r>
          </w:p>
          <w:p w:rsidR="004A600C" w:rsidRPr="005C10FD" w:rsidRDefault="004A600C" w:rsidP="005C10FD">
            <w:pPr>
              <w:pStyle w:val="ListParagraph"/>
              <w:numPr>
                <w:ilvl w:val="0"/>
                <w:numId w:val="2"/>
              </w:numPr>
            </w:pPr>
            <w:r>
              <w:t>HSW Recoupment – Pam to check with Nancy regarding HSW procedure and mail it out</w:t>
            </w:r>
          </w:p>
        </w:tc>
      </w:tr>
      <w:tr w:rsidR="00835D56" w:rsidTr="00F30E5D">
        <w:trPr>
          <w:jc w:val="center"/>
        </w:trPr>
        <w:tc>
          <w:tcPr>
            <w:tcW w:w="36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CD3C1F" w:rsidRPr="00F30E5D" w:rsidRDefault="00F30E5D" w:rsidP="00951999">
            <w:pPr>
              <w:pStyle w:val="Heading3"/>
              <w:outlineLvl w:val="2"/>
            </w:pPr>
            <w:r>
              <w:t>Key Data Points/Dates</w:t>
            </w:r>
          </w:p>
        </w:tc>
        <w:tc>
          <w:tcPr>
            <w:tcW w:w="1155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3321DE" w:rsidRPr="007F3A59" w:rsidRDefault="005C10FD" w:rsidP="006D7922">
            <w:pPr>
              <w:pStyle w:val="ListParagraph"/>
              <w:numPr>
                <w:ilvl w:val="0"/>
                <w:numId w:val="1"/>
              </w:numPr>
              <w:rPr>
                <w:b/>
                <w:sz w:val="24"/>
              </w:rPr>
            </w:pPr>
            <w:r w:rsidRPr="00445BAB">
              <w:t>The next Finance Council meeting will be Ju</w:t>
            </w:r>
            <w:r>
              <w:t>ly</w:t>
            </w:r>
            <w:r w:rsidRPr="00445BAB">
              <w:t xml:space="preserve"> 1</w:t>
            </w:r>
            <w:r>
              <w:t>7</w:t>
            </w:r>
            <w:r w:rsidRPr="00445BAB">
              <w:t xml:space="preserve">, 2014 from </w:t>
            </w:r>
            <w:r>
              <w:t>1</w:t>
            </w:r>
            <w:r w:rsidRPr="00445BAB">
              <w:t>:</w:t>
            </w:r>
            <w:r>
              <w:t>3</w:t>
            </w:r>
            <w:r w:rsidRPr="00445BAB">
              <w:t xml:space="preserve">0 – </w:t>
            </w:r>
            <w:r>
              <w:t>4</w:t>
            </w:r>
            <w:r w:rsidRPr="00445BAB">
              <w:t>:</w:t>
            </w:r>
            <w:r>
              <w:t>3</w:t>
            </w:r>
            <w:r w:rsidRPr="00445BAB">
              <w:t xml:space="preserve">0 </w:t>
            </w:r>
            <w:r>
              <w:t>at MACMHB</w:t>
            </w:r>
            <w:r w:rsidRPr="00445BAB">
              <w:t>.</w:t>
            </w:r>
            <w:r>
              <w:t xml:space="preserve">  Members are encouraged to attend in person.  </w:t>
            </w:r>
          </w:p>
        </w:tc>
      </w:tr>
    </w:tbl>
    <w:p w:rsidR="009932EE" w:rsidRPr="00F30E5D" w:rsidRDefault="009932EE" w:rsidP="00F30E5D">
      <w:pPr>
        <w:tabs>
          <w:tab w:val="left" w:pos="4530"/>
        </w:tabs>
      </w:pPr>
    </w:p>
    <w:sectPr w:rsidR="009932EE" w:rsidRPr="00F30E5D" w:rsidSect="00FA03D7">
      <w:pgSz w:w="15840" w:h="12240" w:orient="landscape"/>
      <w:pgMar w:top="288" w:right="720" w:bottom="288"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C732D1"/>
    <w:multiLevelType w:val="hybridMultilevel"/>
    <w:tmpl w:val="89586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A333AD"/>
    <w:multiLevelType w:val="hybridMultilevel"/>
    <w:tmpl w:val="5700372E"/>
    <w:lvl w:ilvl="0" w:tplc="04090003">
      <w:start w:val="1"/>
      <w:numFmt w:val="bullet"/>
      <w:lvlText w:val="o"/>
      <w:lvlJc w:val="left"/>
      <w:pPr>
        <w:ind w:left="1480" w:hanging="360"/>
      </w:pPr>
      <w:rPr>
        <w:rFonts w:ascii="Courier New" w:hAnsi="Courier New" w:cs="Courier New"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2">
    <w:nsid w:val="3A4A6AAC"/>
    <w:multiLevelType w:val="hybridMultilevel"/>
    <w:tmpl w:val="24D2139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B9D7B1F"/>
    <w:multiLevelType w:val="hybridMultilevel"/>
    <w:tmpl w:val="4FA82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45D0F92"/>
    <w:multiLevelType w:val="hybridMultilevel"/>
    <w:tmpl w:val="12BE5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5291BF2"/>
    <w:multiLevelType w:val="hybridMultilevel"/>
    <w:tmpl w:val="B8A056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708629D"/>
    <w:multiLevelType w:val="hybridMultilevel"/>
    <w:tmpl w:val="F42859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43600D3"/>
    <w:multiLevelType w:val="hybridMultilevel"/>
    <w:tmpl w:val="4B8EF584"/>
    <w:lvl w:ilvl="0" w:tplc="56101E3C">
      <w:start w:val="1"/>
      <w:numFmt w:val="bullet"/>
      <w:pStyle w:val="Heading3"/>
      <w:lvlText w:val=""/>
      <w:lvlJc w:val="left"/>
      <w:pPr>
        <w:ind w:left="1080" w:hanging="360"/>
      </w:pPr>
      <w:rPr>
        <w:rFonts w:ascii="Wingdings" w:hAnsi="Wingdings" w:hint="default"/>
        <w:b/>
        <w:i w:val="0"/>
        <w:sz w:val="3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3"/>
  </w:num>
  <w:num w:numId="3">
    <w:abstractNumId w:val="7"/>
  </w:num>
  <w:num w:numId="4">
    <w:abstractNumId w:val="6"/>
  </w:num>
  <w:num w:numId="5">
    <w:abstractNumId w:val="2"/>
  </w:num>
  <w:num w:numId="6">
    <w:abstractNumId w:val="5"/>
  </w:num>
  <w:num w:numId="7">
    <w:abstractNumId w:val="1"/>
  </w:num>
  <w:num w:numId="8">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E5D"/>
    <w:rsid w:val="000159FA"/>
    <w:rsid w:val="00020C97"/>
    <w:rsid w:val="0002452A"/>
    <w:rsid w:val="00046170"/>
    <w:rsid w:val="0005234E"/>
    <w:rsid w:val="000561CC"/>
    <w:rsid w:val="000803A0"/>
    <w:rsid w:val="0008648D"/>
    <w:rsid w:val="00097349"/>
    <w:rsid w:val="000A768A"/>
    <w:rsid w:val="000D09F7"/>
    <w:rsid w:val="000D3BD5"/>
    <w:rsid w:val="000D3F06"/>
    <w:rsid w:val="000E766E"/>
    <w:rsid w:val="0010067C"/>
    <w:rsid w:val="00116E1B"/>
    <w:rsid w:val="00123B1A"/>
    <w:rsid w:val="001331DA"/>
    <w:rsid w:val="00164484"/>
    <w:rsid w:val="001A4E38"/>
    <w:rsid w:val="001C6FB5"/>
    <w:rsid w:val="001D7A2F"/>
    <w:rsid w:val="001E70A6"/>
    <w:rsid w:val="001F0D99"/>
    <w:rsid w:val="00214C3C"/>
    <w:rsid w:val="0023256C"/>
    <w:rsid w:val="00233A73"/>
    <w:rsid w:val="00246F36"/>
    <w:rsid w:val="00252F44"/>
    <w:rsid w:val="00257026"/>
    <w:rsid w:val="00265CB0"/>
    <w:rsid w:val="00283764"/>
    <w:rsid w:val="00292CCA"/>
    <w:rsid w:val="002A30DE"/>
    <w:rsid w:val="002A4829"/>
    <w:rsid w:val="002C5252"/>
    <w:rsid w:val="002C74A0"/>
    <w:rsid w:val="002E6165"/>
    <w:rsid w:val="002F7A7C"/>
    <w:rsid w:val="00306908"/>
    <w:rsid w:val="00316C5D"/>
    <w:rsid w:val="00322255"/>
    <w:rsid w:val="0032766C"/>
    <w:rsid w:val="00332025"/>
    <w:rsid w:val="003321DE"/>
    <w:rsid w:val="0034039E"/>
    <w:rsid w:val="00367C2C"/>
    <w:rsid w:val="003715D5"/>
    <w:rsid w:val="00372B30"/>
    <w:rsid w:val="00375944"/>
    <w:rsid w:val="003867C2"/>
    <w:rsid w:val="00392543"/>
    <w:rsid w:val="003B64F1"/>
    <w:rsid w:val="003D3AEA"/>
    <w:rsid w:val="00405C13"/>
    <w:rsid w:val="00410463"/>
    <w:rsid w:val="004425E2"/>
    <w:rsid w:val="0046388C"/>
    <w:rsid w:val="00494882"/>
    <w:rsid w:val="004A3F6A"/>
    <w:rsid w:val="004A600C"/>
    <w:rsid w:val="004B203F"/>
    <w:rsid w:val="004B4F41"/>
    <w:rsid w:val="004D1D33"/>
    <w:rsid w:val="004D4230"/>
    <w:rsid w:val="004E05EF"/>
    <w:rsid w:val="004E3ED0"/>
    <w:rsid w:val="00507806"/>
    <w:rsid w:val="005418C2"/>
    <w:rsid w:val="005517A2"/>
    <w:rsid w:val="005660C7"/>
    <w:rsid w:val="005828C2"/>
    <w:rsid w:val="005A5440"/>
    <w:rsid w:val="005A7615"/>
    <w:rsid w:val="005C10FD"/>
    <w:rsid w:val="005D10FF"/>
    <w:rsid w:val="005D1D74"/>
    <w:rsid w:val="005D2D1D"/>
    <w:rsid w:val="005D3CCA"/>
    <w:rsid w:val="005D432D"/>
    <w:rsid w:val="005E17F7"/>
    <w:rsid w:val="005E338E"/>
    <w:rsid w:val="005E468A"/>
    <w:rsid w:val="005F4D81"/>
    <w:rsid w:val="005F7ADC"/>
    <w:rsid w:val="006202F2"/>
    <w:rsid w:val="00630D53"/>
    <w:rsid w:val="00641361"/>
    <w:rsid w:val="00642398"/>
    <w:rsid w:val="00652DAF"/>
    <w:rsid w:val="006561C5"/>
    <w:rsid w:val="00663A3A"/>
    <w:rsid w:val="00687DA1"/>
    <w:rsid w:val="006915B9"/>
    <w:rsid w:val="006D45BB"/>
    <w:rsid w:val="006D7922"/>
    <w:rsid w:val="006F54B3"/>
    <w:rsid w:val="00705A51"/>
    <w:rsid w:val="00714D98"/>
    <w:rsid w:val="00726DEF"/>
    <w:rsid w:val="00731CC5"/>
    <w:rsid w:val="00756351"/>
    <w:rsid w:val="0076063A"/>
    <w:rsid w:val="00764179"/>
    <w:rsid w:val="0077499F"/>
    <w:rsid w:val="0078296F"/>
    <w:rsid w:val="007876E4"/>
    <w:rsid w:val="007B017B"/>
    <w:rsid w:val="007B07DA"/>
    <w:rsid w:val="007C0ABA"/>
    <w:rsid w:val="007C1039"/>
    <w:rsid w:val="007C7CE9"/>
    <w:rsid w:val="007D12A8"/>
    <w:rsid w:val="007F3A59"/>
    <w:rsid w:val="007F65CB"/>
    <w:rsid w:val="00830010"/>
    <w:rsid w:val="00835D56"/>
    <w:rsid w:val="0083778A"/>
    <w:rsid w:val="00855111"/>
    <w:rsid w:val="008902F1"/>
    <w:rsid w:val="0089500C"/>
    <w:rsid w:val="008A26D8"/>
    <w:rsid w:val="008A3E15"/>
    <w:rsid w:val="008B331E"/>
    <w:rsid w:val="008C7799"/>
    <w:rsid w:val="00911F17"/>
    <w:rsid w:val="00935416"/>
    <w:rsid w:val="00947B77"/>
    <w:rsid w:val="00951999"/>
    <w:rsid w:val="0096472F"/>
    <w:rsid w:val="0096658A"/>
    <w:rsid w:val="00970F00"/>
    <w:rsid w:val="009932EE"/>
    <w:rsid w:val="009937B2"/>
    <w:rsid w:val="00994AAF"/>
    <w:rsid w:val="009B03FB"/>
    <w:rsid w:val="009B2663"/>
    <w:rsid w:val="009B411F"/>
    <w:rsid w:val="009C6BE6"/>
    <w:rsid w:val="009D2287"/>
    <w:rsid w:val="009D6D04"/>
    <w:rsid w:val="00A13C8F"/>
    <w:rsid w:val="00A24DA0"/>
    <w:rsid w:val="00A469C2"/>
    <w:rsid w:val="00A61DEC"/>
    <w:rsid w:val="00A87635"/>
    <w:rsid w:val="00A963B7"/>
    <w:rsid w:val="00A97916"/>
    <w:rsid w:val="00A97AA6"/>
    <w:rsid w:val="00AA1CC8"/>
    <w:rsid w:val="00AA2B79"/>
    <w:rsid w:val="00AE015E"/>
    <w:rsid w:val="00AE4492"/>
    <w:rsid w:val="00AE44F2"/>
    <w:rsid w:val="00AE7EA7"/>
    <w:rsid w:val="00AF70F9"/>
    <w:rsid w:val="00B001D8"/>
    <w:rsid w:val="00B012E5"/>
    <w:rsid w:val="00B11297"/>
    <w:rsid w:val="00B21236"/>
    <w:rsid w:val="00B326DD"/>
    <w:rsid w:val="00B41C9A"/>
    <w:rsid w:val="00B54BEF"/>
    <w:rsid w:val="00B62530"/>
    <w:rsid w:val="00B6504C"/>
    <w:rsid w:val="00B6788F"/>
    <w:rsid w:val="00B74844"/>
    <w:rsid w:val="00B77622"/>
    <w:rsid w:val="00BA1840"/>
    <w:rsid w:val="00BD3F2F"/>
    <w:rsid w:val="00BD4FF9"/>
    <w:rsid w:val="00C35EC0"/>
    <w:rsid w:val="00C422D9"/>
    <w:rsid w:val="00C46C1C"/>
    <w:rsid w:val="00CA2FDF"/>
    <w:rsid w:val="00CB05B6"/>
    <w:rsid w:val="00CB55CF"/>
    <w:rsid w:val="00CC4250"/>
    <w:rsid w:val="00CD17FF"/>
    <w:rsid w:val="00CD3C1F"/>
    <w:rsid w:val="00D061E9"/>
    <w:rsid w:val="00D23A01"/>
    <w:rsid w:val="00D24C02"/>
    <w:rsid w:val="00D27974"/>
    <w:rsid w:val="00D31A57"/>
    <w:rsid w:val="00D32E5A"/>
    <w:rsid w:val="00D330EF"/>
    <w:rsid w:val="00D74E0F"/>
    <w:rsid w:val="00D85749"/>
    <w:rsid w:val="00D90226"/>
    <w:rsid w:val="00D911A3"/>
    <w:rsid w:val="00D92A18"/>
    <w:rsid w:val="00D938E4"/>
    <w:rsid w:val="00D95635"/>
    <w:rsid w:val="00DA3E54"/>
    <w:rsid w:val="00DA4FAE"/>
    <w:rsid w:val="00DC5EF2"/>
    <w:rsid w:val="00DF475E"/>
    <w:rsid w:val="00DF4847"/>
    <w:rsid w:val="00E171CD"/>
    <w:rsid w:val="00E41C6B"/>
    <w:rsid w:val="00E70C18"/>
    <w:rsid w:val="00E73307"/>
    <w:rsid w:val="00E811EE"/>
    <w:rsid w:val="00E90EE0"/>
    <w:rsid w:val="00E91625"/>
    <w:rsid w:val="00EA63B0"/>
    <w:rsid w:val="00ED117B"/>
    <w:rsid w:val="00ED63B4"/>
    <w:rsid w:val="00ED650E"/>
    <w:rsid w:val="00EE2B37"/>
    <w:rsid w:val="00EE6616"/>
    <w:rsid w:val="00EE661D"/>
    <w:rsid w:val="00EF2AB8"/>
    <w:rsid w:val="00EF3B3C"/>
    <w:rsid w:val="00F13568"/>
    <w:rsid w:val="00F15497"/>
    <w:rsid w:val="00F30E5D"/>
    <w:rsid w:val="00F33BD3"/>
    <w:rsid w:val="00F35032"/>
    <w:rsid w:val="00F37D62"/>
    <w:rsid w:val="00F422AF"/>
    <w:rsid w:val="00F43890"/>
    <w:rsid w:val="00F44AE5"/>
    <w:rsid w:val="00F65E3E"/>
    <w:rsid w:val="00F70962"/>
    <w:rsid w:val="00F70FFF"/>
    <w:rsid w:val="00F76DEF"/>
    <w:rsid w:val="00F91789"/>
    <w:rsid w:val="00FA03D7"/>
    <w:rsid w:val="00FA788A"/>
    <w:rsid w:val="00FE287B"/>
    <w:rsid w:val="00FF44C4"/>
    <w:rsid w:val="00FF4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8C8382B-FB40-4F51-8931-30D8F8488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5440"/>
    <w:pPr>
      <w:spacing w:after="120" w:line="240" w:lineRule="auto"/>
    </w:pPr>
    <w:rPr>
      <w:rFonts w:eastAsia="Times New Roman" w:cs="Times New Roman"/>
      <w:szCs w:val="24"/>
    </w:rPr>
  </w:style>
  <w:style w:type="paragraph" w:styleId="Heading1">
    <w:name w:val="heading 1"/>
    <w:basedOn w:val="Normal"/>
    <w:next w:val="Normal"/>
    <w:link w:val="Heading1Char"/>
    <w:uiPriority w:val="9"/>
    <w:qFormat/>
    <w:rsid w:val="005D2D1D"/>
    <w:pPr>
      <w:keepNext/>
      <w:keepLines/>
      <w:spacing w:before="160" w:after="200"/>
      <w:outlineLvl w:val="0"/>
    </w:pPr>
    <w:rPr>
      <w:rFonts w:asciiTheme="majorHAnsi" w:eastAsiaTheme="majorEastAsia" w:hAnsiTheme="majorHAnsi" w:cstheme="majorBidi"/>
      <w:b/>
      <w:bCs/>
      <w:color w:val="5F497A" w:themeColor="accent4" w:themeShade="BF"/>
      <w:sz w:val="48"/>
      <w:szCs w:val="28"/>
    </w:rPr>
  </w:style>
  <w:style w:type="paragraph" w:styleId="Heading2">
    <w:name w:val="heading 2"/>
    <w:basedOn w:val="Normal"/>
    <w:next w:val="Normal"/>
    <w:link w:val="Heading2Char"/>
    <w:uiPriority w:val="9"/>
    <w:unhideWhenUsed/>
    <w:qFormat/>
    <w:rsid w:val="0032766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autoRedefine/>
    <w:uiPriority w:val="9"/>
    <w:unhideWhenUsed/>
    <w:qFormat/>
    <w:rsid w:val="00951999"/>
    <w:pPr>
      <w:keepNext/>
      <w:keepLines/>
      <w:numPr>
        <w:numId w:val="3"/>
      </w:numPr>
      <w:jc w:val="both"/>
      <w:outlineLvl w:val="2"/>
    </w:pPr>
    <w:rPr>
      <w:rFonts w:ascii="Calibri" w:eastAsiaTheme="majorEastAsia" w:hAnsi="Calibri" w:cstheme="majorBidi"/>
      <w:b/>
      <w:bCs/>
      <w:color w:val="4F6228" w:themeColor="accent3" w:themeShade="80"/>
      <w:sz w:val="24"/>
      <w:szCs w:val="22"/>
    </w:rPr>
  </w:style>
  <w:style w:type="paragraph" w:styleId="Heading4">
    <w:name w:val="heading 4"/>
    <w:basedOn w:val="Normal"/>
    <w:next w:val="Normal"/>
    <w:link w:val="Heading4Char"/>
    <w:uiPriority w:val="9"/>
    <w:unhideWhenUsed/>
    <w:qFormat/>
    <w:rsid w:val="005D10F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932E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D2D1D"/>
    <w:rPr>
      <w:rFonts w:asciiTheme="majorHAnsi" w:eastAsiaTheme="majorEastAsia" w:hAnsiTheme="majorHAnsi" w:cstheme="majorBidi"/>
      <w:b/>
      <w:bCs/>
      <w:color w:val="5F497A" w:themeColor="accent4" w:themeShade="BF"/>
      <w:sz w:val="48"/>
      <w:szCs w:val="28"/>
    </w:rPr>
  </w:style>
  <w:style w:type="character" w:customStyle="1" w:styleId="Heading2Char">
    <w:name w:val="Heading 2 Char"/>
    <w:basedOn w:val="DefaultParagraphFont"/>
    <w:link w:val="Heading2"/>
    <w:uiPriority w:val="9"/>
    <w:rsid w:val="0032766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51999"/>
    <w:rPr>
      <w:rFonts w:ascii="Calibri" w:eastAsiaTheme="majorEastAsia" w:hAnsi="Calibri" w:cstheme="majorBidi"/>
      <w:b/>
      <w:bCs/>
      <w:color w:val="4F6228" w:themeColor="accent3" w:themeShade="80"/>
      <w:sz w:val="24"/>
    </w:rPr>
  </w:style>
  <w:style w:type="paragraph" w:styleId="BalloonText">
    <w:name w:val="Balloon Text"/>
    <w:basedOn w:val="Normal"/>
    <w:link w:val="BalloonTextChar"/>
    <w:uiPriority w:val="99"/>
    <w:semiHidden/>
    <w:unhideWhenUsed/>
    <w:rsid w:val="00372B3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2B30"/>
    <w:rPr>
      <w:rFonts w:ascii="Tahoma" w:eastAsia="Times New Roman" w:hAnsi="Tahoma" w:cs="Tahoma"/>
      <w:sz w:val="16"/>
      <w:szCs w:val="16"/>
    </w:rPr>
  </w:style>
  <w:style w:type="paragraph" w:styleId="ListParagraph">
    <w:name w:val="List Paragraph"/>
    <w:basedOn w:val="Normal"/>
    <w:qFormat/>
    <w:rsid w:val="00164484"/>
    <w:pPr>
      <w:ind w:left="720"/>
      <w:contextualSpacing/>
    </w:pPr>
    <w:rPr>
      <w:rFonts w:ascii="Calibri" w:hAnsi="Calibri"/>
    </w:rPr>
  </w:style>
  <w:style w:type="character" w:customStyle="1" w:styleId="Heading4Char">
    <w:name w:val="Heading 4 Char"/>
    <w:basedOn w:val="DefaultParagraphFont"/>
    <w:link w:val="Heading4"/>
    <w:uiPriority w:val="9"/>
    <w:rsid w:val="005D10FF"/>
    <w:rPr>
      <w:rFonts w:asciiTheme="majorHAnsi" w:eastAsiaTheme="majorEastAsia" w:hAnsiTheme="majorHAnsi" w:cstheme="majorBidi"/>
      <w:b/>
      <w:bCs/>
      <w:i/>
      <w:iCs/>
      <w:color w:val="4F81BD" w:themeColor="accent1"/>
      <w:sz w:val="24"/>
      <w:szCs w:val="24"/>
    </w:rPr>
  </w:style>
  <w:style w:type="character" w:styleId="Hyperlink">
    <w:name w:val="Hyperlink"/>
    <w:uiPriority w:val="99"/>
    <w:rsid w:val="005A5440"/>
    <w:rPr>
      <w:color w:val="4F81BD" w:themeColor="accent1"/>
      <w:szCs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ncy\AppData\Roaming\Microsoft\Templates\Project%20Web%20Access%20quick%20reference%20guide%20for%20manager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E6BA50-69AF-4BBA-94E0-9476F29C5896}">
  <ds:schemaRefs>
    <ds:schemaRef ds:uri="http://schemas.microsoft.com/sharepoint/v3/contenttype/forms"/>
  </ds:schemaRefs>
</ds:datastoreItem>
</file>

<file path=customXml/itemProps2.xml><?xml version="1.0" encoding="utf-8"?>
<ds:datastoreItem xmlns:ds="http://schemas.openxmlformats.org/officeDocument/2006/customXml" ds:itemID="{8B4BE85C-A4A9-4A67-B480-8512FAF07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Web Access quick reference guide for managers</Template>
  <TotalTime>1</TotalTime>
  <Pages>3</Pages>
  <Words>1058</Words>
  <Characters>5527</Characters>
  <Application>Microsoft Office Word</Application>
  <DocSecurity>0</DocSecurity>
  <Lines>106</Lines>
  <Paragraphs>74</Paragraphs>
  <ScaleCrop>false</ScaleCrop>
  <HeadingPairs>
    <vt:vector size="2" baseType="variant">
      <vt:variant>
        <vt:lpstr>Title</vt:lpstr>
      </vt:variant>
      <vt:variant>
        <vt:i4>1</vt:i4>
      </vt:variant>
    </vt:vector>
  </HeadingPairs>
  <TitlesOfParts>
    <vt:vector size="1" baseType="lpstr">
      <vt:lpstr>Project Web Access quick reference guide for managers</vt:lpstr>
    </vt:vector>
  </TitlesOfParts>
  <Company/>
  <LinksUpToDate>false</LinksUpToDate>
  <CharactersWithSpaces>6511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Web Access quick reference guide for managers</dc:title>
  <dc:creator>Nancy Miller</dc:creator>
  <cp:keywords/>
  <cp:lastModifiedBy>Merre Ashley</cp:lastModifiedBy>
  <cp:revision>2</cp:revision>
  <cp:lastPrinted>2008-07-09T19:21:00Z</cp:lastPrinted>
  <dcterms:created xsi:type="dcterms:W3CDTF">2014-08-05T19:17:00Z</dcterms:created>
  <dcterms:modified xsi:type="dcterms:W3CDTF">2014-08-05T19:17:00Z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TC102865059990</vt:lpwstr>
  </property>
</Properties>
</file>