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213" w:rsidRDefault="003E7213"/>
    <w:tbl>
      <w:tblPr>
        <w:tblStyle w:val="TableGrid"/>
        <w:tblW w:w="15198" w:type="dxa"/>
        <w:jc w:val="center"/>
        <w:tblBorders>
          <w:insideH w:val="none" w:sz="0" w:space="0" w:color="auto"/>
          <w:insideV w:val="none" w:sz="0" w:space="0" w:color="auto"/>
        </w:tblBorders>
        <w:shd w:val="clear" w:color="auto" w:fill="DBE5F1" w:themeFill="accent1" w:themeFillTint="33"/>
        <w:tblLayout w:type="fixed"/>
        <w:tblCellMar>
          <w:top w:w="115" w:type="dxa"/>
          <w:left w:w="115" w:type="dxa"/>
          <w:right w:w="115" w:type="dxa"/>
        </w:tblCellMar>
        <w:tblLook w:val="06A0" w:firstRow="1" w:lastRow="0" w:firstColumn="1" w:lastColumn="0" w:noHBand="1" w:noVBand="1"/>
      </w:tblPr>
      <w:tblGrid>
        <w:gridCol w:w="3639"/>
        <w:gridCol w:w="1666"/>
        <w:gridCol w:w="9893"/>
      </w:tblGrid>
      <w:tr w:rsidR="00233A73" w:rsidTr="00F30E5D">
        <w:trPr>
          <w:trHeight w:val="998"/>
          <w:jc w:val="center"/>
        </w:trPr>
        <w:tc>
          <w:tcPr>
            <w:tcW w:w="1519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3321DE" w:rsidRPr="00B049FC" w:rsidRDefault="00F30E5D" w:rsidP="003321DE">
            <w:pPr>
              <w:pStyle w:val="Heading1"/>
              <w:spacing w:before="120"/>
              <w:jc w:val="center"/>
              <w:outlineLvl w:val="0"/>
              <w:rPr>
                <w:rFonts w:asciiTheme="minorHAnsi" w:hAnsiTheme="minorHAnsi"/>
                <w:bCs w:val="0"/>
                <w:color w:val="262626" w:themeColor="text1" w:themeTint="D9"/>
                <w:sz w:val="28"/>
              </w:rPr>
            </w:pPr>
            <w:r w:rsidRPr="00B049FC">
              <w:rPr>
                <w:rFonts w:asciiTheme="minorHAnsi" w:hAnsiTheme="minorHAnsi"/>
                <w:noProof/>
                <w:color w:val="262626" w:themeColor="text1" w:themeTint="D9"/>
                <w:sz w:val="28"/>
              </w:rPr>
              <w:drawing>
                <wp:anchor distT="0" distB="0" distL="114300" distR="114300" simplePos="0" relativeHeight="251662336" behindDoc="0" locked="0" layoutInCell="1" allowOverlap="1" wp14:anchorId="7D4C32B1" wp14:editId="6F41B5E5">
                  <wp:simplePos x="0" y="0"/>
                  <wp:positionH relativeFrom="column">
                    <wp:posOffset>104775</wp:posOffset>
                  </wp:positionH>
                  <wp:positionV relativeFrom="paragraph">
                    <wp:posOffset>-78740</wp:posOffset>
                  </wp:positionV>
                  <wp:extent cx="1080135" cy="539750"/>
                  <wp:effectExtent l="0" t="0" r="0" b="0"/>
                  <wp:wrapSquare wrapText="bothSides"/>
                  <wp:docPr id="3" name="Picture 3" descr="C:\MidState Region\Marketing &amp; Customer Service\MSHN Logo\Color Logos for Light Background\Color Logo for Light Backgroun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MidState Region\Marketing &amp; Customer Service\MSHN Logo\Color Logos for Light Background\Color Logo for Light Backgroun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135" cy="53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049FC">
              <w:rPr>
                <w:rFonts w:asciiTheme="minorHAnsi" w:hAnsiTheme="minorHAnsi"/>
                <w:bCs w:val="0"/>
                <w:color w:val="262626" w:themeColor="text1" w:themeTint="D9"/>
                <w:sz w:val="28"/>
              </w:rPr>
              <w:t>Council, Committee or Workgroup Meeting Snapshot</w:t>
            </w:r>
          </w:p>
          <w:p w:rsidR="00F30E5D" w:rsidRPr="00F30E5D" w:rsidRDefault="00F30E5D" w:rsidP="00F30E5D"/>
        </w:tc>
      </w:tr>
      <w:tr w:rsidR="00F30E5D" w:rsidTr="006C07CF">
        <w:trPr>
          <w:trHeight w:val="298"/>
          <w:jc w:val="center"/>
        </w:trPr>
        <w:tc>
          <w:tcPr>
            <w:tcW w:w="5305" w:type="dxa"/>
            <w:gridSpan w:val="2"/>
            <w:vMerge w:val="restart"/>
            <w:tcBorders>
              <w:top w:val="dotted" w:sz="4" w:space="0" w:color="auto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F30E5D" w:rsidRPr="003E7213" w:rsidRDefault="006C07CF" w:rsidP="00392543">
            <w:pPr>
              <w:pStyle w:val="Heading1"/>
              <w:outlineLvl w:val="0"/>
              <w:rPr>
                <w:noProof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525EE29" wp14:editId="1B2E47B4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22225</wp:posOffset>
                      </wp:positionV>
                      <wp:extent cx="3076575" cy="561975"/>
                      <wp:effectExtent l="19050" t="19050" r="47625" b="66675"/>
                      <wp:wrapNone/>
                      <wp:docPr id="4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76575" cy="561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38100" cmpd="sng">
                                <a:solidFill>
                                  <a:srgbClr val="CC99FF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F30E5D" w:rsidRPr="009A344F" w:rsidRDefault="00F30E5D">
                                  <w:r w:rsidRPr="006C07CF"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Meeting: </w:t>
                                  </w:r>
                                  <w:r w:rsidR="006C07CF"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 w:rsidR="006C07CF" w:rsidRPr="009A344F">
                                    <w:t>Provider Network Management Committee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25EE2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margin-left:5.7pt;margin-top:1.75pt;width:242.25pt;height:4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" fillcolor="#c9f" strokecolor="#c9f" strokeweight="3pt">
                      <v:shadow on="t" color="#4e6128 [1606]" opacity=".5" offset="1pt"/>
                      <v:textbox>
                        <w:txbxContent>
                          <w:p w:rsidR="00F30E5D" w:rsidRPr="009A344F" w:rsidRDefault="00F30E5D">
                            <w:r w:rsidRPr="006C07CF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Meeting: </w:t>
                            </w:r>
                            <w:r w:rsidR="006C07CF"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6C07CF" w:rsidRPr="009A344F">
                              <w:t>Provider Network Management Committee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E7213" w:rsidRDefault="003E7213" w:rsidP="00F30E5D">
            <w:pPr>
              <w:rPr>
                <w:sz w:val="24"/>
              </w:rPr>
            </w:pPr>
          </w:p>
          <w:p w:rsidR="00F30E5D" w:rsidRPr="00EE34AE" w:rsidRDefault="00F30E5D" w:rsidP="00F30E5D">
            <w:pPr>
              <w:rPr>
                <w:szCs w:val="22"/>
              </w:rPr>
            </w:pPr>
            <w:r w:rsidRPr="00EE34AE">
              <w:rPr>
                <w:b/>
                <w:szCs w:val="22"/>
              </w:rPr>
              <w:t>Date:</w:t>
            </w:r>
            <w:r w:rsidR="003E7213" w:rsidRPr="00EE34AE">
              <w:rPr>
                <w:b/>
                <w:szCs w:val="22"/>
              </w:rPr>
              <w:t xml:space="preserve"> </w:t>
            </w:r>
            <w:r w:rsidR="00B846DE" w:rsidRPr="007C31BA">
              <w:rPr>
                <w:szCs w:val="22"/>
              </w:rPr>
              <w:t>May 28, 2014</w:t>
            </w:r>
          </w:p>
          <w:p w:rsidR="006C07CF" w:rsidRPr="003E7213" w:rsidRDefault="00AA30C6" w:rsidP="00B846DE">
            <w:pPr>
              <w:spacing w:after="0"/>
              <w:rPr>
                <w:sz w:val="24"/>
              </w:rPr>
            </w:pPr>
            <w:r w:rsidRPr="00AA30C6">
              <w:rPr>
                <w:b/>
                <w:szCs w:val="22"/>
              </w:rPr>
              <w:t xml:space="preserve">Present: </w:t>
            </w:r>
            <w:r w:rsidR="006C07CF" w:rsidRPr="00EE34AE">
              <w:rPr>
                <w:szCs w:val="22"/>
              </w:rPr>
              <w:t xml:space="preserve">B. Roszatycki (BABH), J. Pinter(BABH), A. Hewat (CEI), T. </w:t>
            </w:r>
            <w:proofErr w:type="spellStart"/>
            <w:r w:rsidR="006C07CF" w:rsidRPr="00EE34AE">
              <w:rPr>
                <w:szCs w:val="22"/>
              </w:rPr>
              <w:t>Bondale</w:t>
            </w:r>
            <w:proofErr w:type="spellEnd"/>
            <w:r>
              <w:rPr>
                <w:szCs w:val="22"/>
              </w:rPr>
              <w:t xml:space="preserve"> </w:t>
            </w:r>
            <w:r w:rsidR="006C07CF" w:rsidRPr="00EE34AE">
              <w:rPr>
                <w:szCs w:val="22"/>
              </w:rPr>
              <w:t xml:space="preserve">(CM), S. Vernon (GCCMHA), T. Dore (HBH), </w:t>
            </w:r>
            <w:r w:rsidR="00B846DE">
              <w:rPr>
                <w:szCs w:val="22"/>
              </w:rPr>
              <w:t>S</w:t>
            </w:r>
            <w:r w:rsidR="006C07CF" w:rsidRPr="00EE34AE">
              <w:rPr>
                <w:szCs w:val="22"/>
              </w:rPr>
              <w:t>.</w:t>
            </w:r>
            <w:r w:rsidR="00B846DE">
              <w:rPr>
                <w:szCs w:val="22"/>
              </w:rPr>
              <w:t xml:space="preserve"> Richards</w:t>
            </w:r>
            <w:r w:rsidR="006C07CF" w:rsidRPr="00EE34AE">
              <w:rPr>
                <w:szCs w:val="22"/>
              </w:rPr>
              <w:t xml:space="preserve"> (Ionia), S. </w:t>
            </w:r>
            <w:proofErr w:type="spellStart"/>
            <w:r w:rsidR="006C07CF" w:rsidRPr="00EE34AE">
              <w:rPr>
                <w:szCs w:val="22"/>
              </w:rPr>
              <w:t>Vandermay</w:t>
            </w:r>
            <w:proofErr w:type="spellEnd"/>
            <w:r w:rsidR="006C07CF" w:rsidRPr="00EE34AE">
              <w:rPr>
                <w:szCs w:val="22"/>
              </w:rPr>
              <w:t xml:space="preserve"> (LifeWays), C. Stanton (MCBH), C. Mills (Newaygo), G. Reed </w:t>
            </w:r>
            <w:r>
              <w:rPr>
                <w:szCs w:val="22"/>
              </w:rPr>
              <w:t>(</w:t>
            </w:r>
            <w:r w:rsidR="006C07CF" w:rsidRPr="00EE34AE">
              <w:rPr>
                <w:szCs w:val="22"/>
              </w:rPr>
              <w:t>SCCMHA), P. Bush (S</w:t>
            </w:r>
            <w:r>
              <w:rPr>
                <w:szCs w:val="22"/>
              </w:rPr>
              <w:t>HIA</w:t>
            </w:r>
            <w:r w:rsidR="006C07CF" w:rsidRPr="00EE34AE">
              <w:rPr>
                <w:szCs w:val="22"/>
              </w:rPr>
              <w:t xml:space="preserve">CMHA), </w:t>
            </w:r>
            <w:r w:rsidR="00EE34AE">
              <w:rPr>
                <w:szCs w:val="22"/>
              </w:rPr>
              <w:t xml:space="preserve">and </w:t>
            </w:r>
            <w:r w:rsidR="006C07CF" w:rsidRPr="00EE34AE">
              <w:rPr>
                <w:szCs w:val="22"/>
              </w:rPr>
              <w:t xml:space="preserve">K. </w:t>
            </w:r>
            <w:proofErr w:type="spellStart"/>
            <w:r w:rsidR="006C07CF" w:rsidRPr="00EE34AE">
              <w:rPr>
                <w:szCs w:val="22"/>
              </w:rPr>
              <w:t>Jaskulka</w:t>
            </w:r>
            <w:proofErr w:type="spellEnd"/>
            <w:r w:rsidR="006C07CF" w:rsidRPr="00EE34AE">
              <w:rPr>
                <w:szCs w:val="22"/>
              </w:rPr>
              <w:t xml:space="preserve"> (TBHS)</w:t>
            </w:r>
            <w:r w:rsidR="00B846DE">
              <w:rPr>
                <w:szCs w:val="22"/>
              </w:rPr>
              <w:t xml:space="preserve">, </w:t>
            </w:r>
            <w:r w:rsidR="00B846DE" w:rsidRPr="00EE34AE">
              <w:rPr>
                <w:szCs w:val="22"/>
              </w:rPr>
              <w:t>A. Brown</w:t>
            </w:r>
            <w:r w:rsidR="00B846DE">
              <w:rPr>
                <w:szCs w:val="22"/>
              </w:rPr>
              <w:t xml:space="preserve"> (MSHN),</w:t>
            </w:r>
            <w:r w:rsidR="00B846DE" w:rsidRPr="00EE34AE">
              <w:rPr>
                <w:szCs w:val="22"/>
              </w:rPr>
              <w:t xml:space="preserve"> </w:t>
            </w:r>
            <w:r w:rsidR="00B846DE">
              <w:rPr>
                <w:szCs w:val="22"/>
              </w:rPr>
              <w:t xml:space="preserve">and </w:t>
            </w:r>
            <w:r w:rsidR="00B846DE" w:rsidRPr="00EE34AE">
              <w:rPr>
                <w:szCs w:val="22"/>
              </w:rPr>
              <w:t>N. Miller (MSHN)</w:t>
            </w:r>
          </w:p>
        </w:tc>
        <w:tc>
          <w:tcPr>
            <w:tcW w:w="98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99FF"/>
            <w:vAlign w:val="center"/>
          </w:tcPr>
          <w:p w:rsidR="00F30E5D" w:rsidRPr="003E7213" w:rsidRDefault="00F30E5D" w:rsidP="00F30E5D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3E7213">
              <w:rPr>
                <w:b/>
                <w:color w:val="FFFFFF" w:themeColor="background1"/>
                <w:sz w:val="24"/>
              </w:rPr>
              <w:t>Key Discussion Topics</w:t>
            </w:r>
          </w:p>
        </w:tc>
      </w:tr>
      <w:tr w:rsidR="00F30E5D" w:rsidTr="003E7213">
        <w:trPr>
          <w:trHeight w:val="1010"/>
          <w:jc w:val="center"/>
        </w:trPr>
        <w:tc>
          <w:tcPr>
            <w:tcW w:w="5305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F30E5D" w:rsidRPr="003E7213" w:rsidRDefault="00F30E5D" w:rsidP="00392543">
            <w:pPr>
              <w:pStyle w:val="Heading1"/>
              <w:outlineLvl w:val="0"/>
              <w:rPr>
                <w:noProof/>
                <w:sz w:val="24"/>
                <w:szCs w:val="24"/>
              </w:rPr>
            </w:pPr>
          </w:p>
        </w:tc>
        <w:tc>
          <w:tcPr>
            <w:tcW w:w="98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B846DE" w:rsidRPr="007C31BA" w:rsidRDefault="00B846DE" w:rsidP="00B846DE">
            <w:pPr>
              <w:pStyle w:val="ListParagraph"/>
              <w:numPr>
                <w:ilvl w:val="0"/>
                <w:numId w:val="3"/>
              </w:numPr>
              <w:spacing w:after="0"/>
              <w:rPr>
                <w:color w:val="000000" w:themeColor="text1"/>
                <w:szCs w:val="22"/>
              </w:rPr>
            </w:pPr>
            <w:r w:rsidRPr="007C31BA">
              <w:rPr>
                <w:color w:val="000000" w:themeColor="text1"/>
                <w:szCs w:val="22"/>
              </w:rPr>
              <w:t>Review and Approve Agenda</w:t>
            </w:r>
          </w:p>
          <w:p w:rsidR="00B846DE" w:rsidRPr="007C31BA" w:rsidRDefault="00B846DE" w:rsidP="00B846DE">
            <w:pPr>
              <w:pStyle w:val="ListParagraph"/>
              <w:numPr>
                <w:ilvl w:val="0"/>
                <w:numId w:val="3"/>
              </w:numPr>
              <w:spacing w:after="0"/>
              <w:rPr>
                <w:color w:val="000000" w:themeColor="text1"/>
                <w:szCs w:val="22"/>
              </w:rPr>
            </w:pPr>
            <w:r w:rsidRPr="007C31BA">
              <w:rPr>
                <w:color w:val="000000" w:themeColor="text1"/>
                <w:szCs w:val="22"/>
              </w:rPr>
              <w:t>Review PNMC Snapshot</w:t>
            </w:r>
            <w:r w:rsidR="0087019A" w:rsidRPr="007C31BA">
              <w:rPr>
                <w:color w:val="000000" w:themeColor="text1"/>
                <w:szCs w:val="22"/>
              </w:rPr>
              <w:t xml:space="preserve"> – approved as edited</w:t>
            </w:r>
          </w:p>
          <w:p w:rsidR="00B846DE" w:rsidRPr="007C31BA" w:rsidRDefault="00B846DE" w:rsidP="00B846DE">
            <w:pPr>
              <w:pStyle w:val="ListParagraph"/>
              <w:numPr>
                <w:ilvl w:val="0"/>
                <w:numId w:val="3"/>
              </w:numPr>
              <w:spacing w:after="0"/>
              <w:rPr>
                <w:color w:val="000000" w:themeColor="text1"/>
                <w:szCs w:val="22"/>
              </w:rPr>
            </w:pPr>
            <w:r w:rsidRPr="007C31BA">
              <w:rPr>
                <w:color w:val="000000" w:themeColor="text1"/>
                <w:szCs w:val="22"/>
              </w:rPr>
              <w:t>Updates on MSHN Development (N. Miller and A. Brown)</w:t>
            </w:r>
          </w:p>
          <w:p w:rsidR="00B846DE" w:rsidRPr="007C31BA" w:rsidRDefault="00B846DE" w:rsidP="00B846DE">
            <w:pPr>
              <w:pStyle w:val="ListParagraph"/>
              <w:numPr>
                <w:ilvl w:val="1"/>
                <w:numId w:val="3"/>
              </w:numPr>
              <w:spacing w:after="0"/>
              <w:rPr>
                <w:color w:val="000000" w:themeColor="text1"/>
                <w:szCs w:val="22"/>
              </w:rPr>
            </w:pPr>
            <w:r w:rsidRPr="007C31BA">
              <w:rPr>
                <w:color w:val="000000" w:themeColor="text1"/>
                <w:szCs w:val="22"/>
              </w:rPr>
              <w:t>Councils/Committees</w:t>
            </w:r>
          </w:p>
          <w:p w:rsidR="00B846DE" w:rsidRPr="007C31BA" w:rsidRDefault="00B846DE" w:rsidP="00B846DE">
            <w:pPr>
              <w:pStyle w:val="ListParagraph"/>
              <w:numPr>
                <w:ilvl w:val="1"/>
                <w:numId w:val="3"/>
              </w:numPr>
              <w:spacing w:after="0"/>
              <w:rPr>
                <w:color w:val="000000" w:themeColor="text1"/>
                <w:szCs w:val="22"/>
              </w:rPr>
            </w:pPr>
            <w:r w:rsidRPr="007C31BA">
              <w:rPr>
                <w:color w:val="000000" w:themeColor="text1"/>
                <w:szCs w:val="22"/>
              </w:rPr>
              <w:t>MDCH Site Reviews/HSAG EQR</w:t>
            </w:r>
          </w:p>
          <w:p w:rsidR="00B846DE" w:rsidRPr="007C31BA" w:rsidRDefault="00B846DE" w:rsidP="00B846DE">
            <w:pPr>
              <w:pStyle w:val="ListParagraph"/>
              <w:numPr>
                <w:ilvl w:val="1"/>
                <w:numId w:val="3"/>
              </w:numPr>
              <w:spacing w:after="0"/>
              <w:rPr>
                <w:color w:val="000000" w:themeColor="text1"/>
                <w:szCs w:val="22"/>
              </w:rPr>
            </w:pPr>
            <w:r w:rsidRPr="007C31BA">
              <w:rPr>
                <w:color w:val="000000" w:themeColor="text1"/>
                <w:szCs w:val="22"/>
              </w:rPr>
              <w:t>Strategic Plan Development</w:t>
            </w:r>
          </w:p>
          <w:p w:rsidR="00B846DE" w:rsidRPr="007C31BA" w:rsidRDefault="00B846DE" w:rsidP="00B846DE">
            <w:pPr>
              <w:pStyle w:val="ListParagraph"/>
              <w:numPr>
                <w:ilvl w:val="0"/>
                <w:numId w:val="3"/>
              </w:numPr>
              <w:spacing w:after="0"/>
              <w:rPr>
                <w:color w:val="000000" w:themeColor="text1"/>
                <w:szCs w:val="22"/>
              </w:rPr>
            </w:pPr>
            <w:r w:rsidRPr="007C31BA">
              <w:rPr>
                <w:color w:val="000000" w:themeColor="text1"/>
                <w:szCs w:val="22"/>
              </w:rPr>
              <w:t>Network Capacity Assessment  - Draft (J. Pinter)</w:t>
            </w:r>
          </w:p>
          <w:p w:rsidR="00B846DE" w:rsidRPr="007C31BA" w:rsidRDefault="00B846DE" w:rsidP="00B846DE">
            <w:pPr>
              <w:pStyle w:val="ListParagraph"/>
              <w:numPr>
                <w:ilvl w:val="1"/>
                <w:numId w:val="3"/>
              </w:numPr>
              <w:spacing w:after="0"/>
              <w:rPr>
                <w:color w:val="000000" w:themeColor="text1"/>
                <w:szCs w:val="22"/>
              </w:rPr>
            </w:pPr>
            <w:r w:rsidRPr="007C31BA">
              <w:rPr>
                <w:color w:val="000000" w:themeColor="text1"/>
                <w:szCs w:val="22"/>
              </w:rPr>
              <w:t xml:space="preserve">Closure of </w:t>
            </w:r>
            <w:proofErr w:type="spellStart"/>
            <w:r w:rsidRPr="007C31BA">
              <w:rPr>
                <w:color w:val="000000" w:themeColor="text1"/>
                <w:szCs w:val="22"/>
              </w:rPr>
              <w:t>Havenwyck</w:t>
            </w:r>
            <w:proofErr w:type="spellEnd"/>
          </w:p>
          <w:p w:rsidR="00B846DE" w:rsidRPr="007C31BA" w:rsidRDefault="00B846DE" w:rsidP="00B846DE">
            <w:pPr>
              <w:pStyle w:val="ListParagraph"/>
              <w:numPr>
                <w:ilvl w:val="1"/>
                <w:numId w:val="3"/>
              </w:numPr>
              <w:spacing w:after="0"/>
              <w:rPr>
                <w:color w:val="000000" w:themeColor="text1"/>
                <w:szCs w:val="22"/>
              </w:rPr>
            </w:pPr>
            <w:r w:rsidRPr="007C31BA">
              <w:rPr>
                <w:color w:val="000000" w:themeColor="text1"/>
                <w:szCs w:val="22"/>
              </w:rPr>
              <w:t>Inpatient Denial Survey</w:t>
            </w:r>
          </w:p>
          <w:p w:rsidR="00B846DE" w:rsidRPr="007C31BA" w:rsidRDefault="00B846DE" w:rsidP="00B846DE">
            <w:pPr>
              <w:pStyle w:val="ListParagraph"/>
              <w:numPr>
                <w:ilvl w:val="0"/>
                <w:numId w:val="3"/>
              </w:numPr>
              <w:spacing w:after="0"/>
              <w:rPr>
                <w:color w:val="000000" w:themeColor="text1"/>
                <w:szCs w:val="22"/>
              </w:rPr>
            </w:pPr>
            <w:r w:rsidRPr="007C31BA">
              <w:rPr>
                <w:color w:val="000000" w:themeColor="text1"/>
                <w:szCs w:val="22"/>
              </w:rPr>
              <w:t>COFR Policy Draft (C. Mills and S. Vernon)</w:t>
            </w:r>
          </w:p>
          <w:p w:rsidR="00B846DE" w:rsidRPr="007C31BA" w:rsidRDefault="00B846DE" w:rsidP="00B846DE">
            <w:pPr>
              <w:pStyle w:val="ListParagraph"/>
              <w:numPr>
                <w:ilvl w:val="0"/>
                <w:numId w:val="3"/>
              </w:numPr>
              <w:spacing w:after="0"/>
              <w:rPr>
                <w:color w:val="000000" w:themeColor="text1"/>
                <w:szCs w:val="22"/>
              </w:rPr>
            </w:pPr>
            <w:r w:rsidRPr="007C31BA">
              <w:rPr>
                <w:color w:val="000000" w:themeColor="text1"/>
                <w:szCs w:val="22"/>
              </w:rPr>
              <w:t>Draft Reciprocity Standards (G. Reed)</w:t>
            </w:r>
          </w:p>
          <w:p w:rsidR="00B846DE" w:rsidRPr="007C31BA" w:rsidRDefault="00B846DE" w:rsidP="00B846DE">
            <w:pPr>
              <w:pStyle w:val="ListParagraph"/>
              <w:numPr>
                <w:ilvl w:val="0"/>
                <w:numId w:val="3"/>
              </w:numPr>
              <w:spacing w:after="0"/>
              <w:rPr>
                <w:color w:val="000000" w:themeColor="text1"/>
                <w:szCs w:val="22"/>
              </w:rPr>
            </w:pPr>
            <w:r w:rsidRPr="007C31BA">
              <w:rPr>
                <w:color w:val="000000" w:themeColor="text1"/>
                <w:szCs w:val="22"/>
              </w:rPr>
              <w:t>PNMC Action Plan</w:t>
            </w:r>
          </w:p>
          <w:p w:rsidR="00766BFF" w:rsidRPr="007C31BA" w:rsidRDefault="00B846DE" w:rsidP="0087019A">
            <w:pPr>
              <w:pStyle w:val="ListParagraph"/>
              <w:numPr>
                <w:ilvl w:val="1"/>
                <w:numId w:val="3"/>
              </w:numPr>
              <w:spacing w:after="0"/>
              <w:rPr>
                <w:color w:val="000000" w:themeColor="text1"/>
                <w:szCs w:val="22"/>
              </w:rPr>
            </w:pPr>
            <w:r w:rsidRPr="007C31BA">
              <w:rPr>
                <w:color w:val="000000" w:themeColor="text1"/>
                <w:szCs w:val="22"/>
              </w:rPr>
              <w:t>Assignments &amp; Action Plan Development</w:t>
            </w:r>
          </w:p>
        </w:tc>
      </w:tr>
      <w:tr w:rsidR="00835D56" w:rsidTr="00F30E5D">
        <w:trPr>
          <w:jc w:val="center"/>
        </w:trPr>
        <w:tc>
          <w:tcPr>
            <w:tcW w:w="36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CD3C1F" w:rsidRPr="00B049FC" w:rsidRDefault="00F30E5D" w:rsidP="00B049FC">
            <w:pPr>
              <w:pStyle w:val="Heading3"/>
              <w:outlineLvl w:val="2"/>
            </w:pPr>
            <w:r w:rsidRPr="00B049FC">
              <w:t>Key Decisions</w:t>
            </w:r>
          </w:p>
        </w:tc>
        <w:tc>
          <w:tcPr>
            <w:tcW w:w="1155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766BFF" w:rsidRPr="007C31BA" w:rsidRDefault="0087019A" w:rsidP="009A344F">
            <w:pPr>
              <w:pStyle w:val="ListParagraph"/>
              <w:numPr>
                <w:ilvl w:val="0"/>
                <w:numId w:val="4"/>
              </w:numPr>
              <w:rPr>
                <w:szCs w:val="22"/>
              </w:rPr>
            </w:pPr>
            <w:r w:rsidRPr="007C31BA">
              <w:rPr>
                <w:szCs w:val="22"/>
              </w:rPr>
              <w:t>Agenda and snapshot approved as edited</w:t>
            </w:r>
          </w:p>
          <w:p w:rsidR="0087019A" w:rsidRPr="007C31BA" w:rsidRDefault="0087019A" w:rsidP="009A344F">
            <w:pPr>
              <w:pStyle w:val="ListParagraph"/>
              <w:numPr>
                <w:ilvl w:val="0"/>
                <w:numId w:val="4"/>
              </w:numPr>
              <w:rPr>
                <w:szCs w:val="22"/>
              </w:rPr>
            </w:pPr>
            <w:r w:rsidRPr="007C31BA">
              <w:rPr>
                <w:szCs w:val="22"/>
              </w:rPr>
              <w:t>The final draft on the Network Adequacy Assessment will be reviewed at the June meeting at which time conclusions and recommendations</w:t>
            </w:r>
            <w:r w:rsidR="007C31BA" w:rsidRPr="007C31BA">
              <w:rPr>
                <w:szCs w:val="22"/>
              </w:rPr>
              <w:t xml:space="preserve"> will be added</w:t>
            </w:r>
            <w:r w:rsidRPr="007C31BA">
              <w:rPr>
                <w:szCs w:val="22"/>
              </w:rPr>
              <w:t>.  The Assessment will be a dynamic tool and living documents that guides the work of the PNMC.</w:t>
            </w:r>
          </w:p>
        </w:tc>
      </w:tr>
      <w:tr w:rsidR="00835D56" w:rsidTr="00F30E5D">
        <w:trPr>
          <w:jc w:val="center"/>
        </w:trPr>
        <w:tc>
          <w:tcPr>
            <w:tcW w:w="36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CD3C1F" w:rsidRPr="00B049FC" w:rsidRDefault="00F30E5D" w:rsidP="00B049FC">
            <w:pPr>
              <w:pStyle w:val="Heading3"/>
              <w:outlineLvl w:val="2"/>
            </w:pPr>
            <w:r w:rsidRPr="00B049FC">
              <w:t>Action /Input Requires</w:t>
            </w:r>
          </w:p>
        </w:tc>
        <w:tc>
          <w:tcPr>
            <w:tcW w:w="1155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766BFF" w:rsidRPr="007C31BA" w:rsidRDefault="0087019A" w:rsidP="009A344F">
            <w:pPr>
              <w:pStyle w:val="ListParagraph"/>
              <w:numPr>
                <w:ilvl w:val="0"/>
                <w:numId w:val="1"/>
              </w:numPr>
              <w:rPr>
                <w:szCs w:val="22"/>
              </w:rPr>
            </w:pPr>
            <w:r w:rsidRPr="007C31BA">
              <w:rPr>
                <w:szCs w:val="22"/>
              </w:rPr>
              <w:t>N. Miller will update the inpatient “refused admission” report and forward it to J. Pinter</w:t>
            </w:r>
          </w:p>
          <w:p w:rsidR="0087019A" w:rsidRPr="007C31BA" w:rsidRDefault="0087019A" w:rsidP="009A344F">
            <w:pPr>
              <w:pStyle w:val="ListParagraph"/>
              <w:numPr>
                <w:ilvl w:val="0"/>
                <w:numId w:val="1"/>
              </w:numPr>
              <w:rPr>
                <w:szCs w:val="22"/>
              </w:rPr>
            </w:pPr>
            <w:r w:rsidRPr="007C31BA">
              <w:rPr>
                <w:szCs w:val="22"/>
              </w:rPr>
              <w:t>A. Brown will provide “Box” access for related file sharing EQR activities.  Instructions for use will also be provided.</w:t>
            </w:r>
          </w:p>
          <w:p w:rsidR="0087019A" w:rsidRPr="007C31BA" w:rsidRDefault="0087019A" w:rsidP="009A344F">
            <w:pPr>
              <w:pStyle w:val="ListParagraph"/>
              <w:numPr>
                <w:ilvl w:val="0"/>
                <w:numId w:val="1"/>
              </w:numPr>
              <w:rPr>
                <w:szCs w:val="22"/>
              </w:rPr>
            </w:pPr>
            <w:r w:rsidRPr="007C31BA">
              <w:rPr>
                <w:szCs w:val="22"/>
              </w:rPr>
              <w:t>N. Miller will distributed the draft MSHN strategic plan to committee/council members after edits are made by the OC (after 6.3.2014).</w:t>
            </w:r>
          </w:p>
          <w:p w:rsidR="0087019A" w:rsidRPr="007C31BA" w:rsidRDefault="007C31BA" w:rsidP="009A344F">
            <w:pPr>
              <w:pStyle w:val="ListParagraph"/>
              <w:numPr>
                <w:ilvl w:val="0"/>
                <w:numId w:val="1"/>
              </w:numPr>
              <w:rPr>
                <w:szCs w:val="22"/>
              </w:rPr>
            </w:pPr>
            <w:r w:rsidRPr="007C31BA">
              <w:rPr>
                <w:szCs w:val="22"/>
              </w:rPr>
              <w:t>J. Pinter will include SUD designees (D. McAllister and G. Reed) to support development of that section.</w:t>
            </w:r>
          </w:p>
        </w:tc>
      </w:tr>
      <w:tr w:rsidR="00835D56" w:rsidTr="00F30E5D">
        <w:trPr>
          <w:jc w:val="center"/>
        </w:trPr>
        <w:tc>
          <w:tcPr>
            <w:tcW w:w="36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CD3C1F" w:rsidRPr="00B049FC" w:rsidRDefault="00F30E5D" w:rsidP="00B049FC">
            <w:pPr>
              <w:pStyle w:val="Heading3"/>
              <w:outlineLvl w:val="2"/>
            </w:pPr>
            <w:r w:rsidRPr="00B049FC">
              <w:t>Key Data Points/Dates</w:t>
            </w:r>
          </w:p>
        </w:tc>
        <w:tc>
          <w:tcPr>
            <w:tcW w:w="1155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3321DE" w:rsidRPr="007C31BA" w:rsidRDefault="0087019A" w:rsidP="0087019A">
            <w:pPr>
              <w:pStyle w:val="ListParagraph"/>
              <w:numPr>
                <w:ilvl w:val="0"/>
                <w:numId w:val="5"/>
              </w:numPr>
              <w:rPr>
                <w:szCs w:val="22"/>
              </w:rPr>
            </w:pPr>
            <w:r w:rsidRPr="007C31BA">
              <w:rPr>
                <w:szCs w:val="22"/>
              </w:rPr>
              <w:t>Feedback on proposed delegated activity monitoring tools is due to A. Brown by 5.31.2014</w:t>
            </w:r>
          </w:p>
          <w:p w:rsidR="0087019A" w:rsidRPr="007C31BA" w:rsidRDefault="0087019A" w:rsidP="0087019A">
            <w:pPr>
              <w:pStyle w:val="ListParagraph"/>
              <w:numPr>
                <w:ilvl w:val="0"/>
                <w:numId w:val="5"/>
              </w:numPr>
              <w:rPr>
                <w:szCs w:val="22"/>
              </w:rPr>
            </w:pPr>
            <w:r w:rsidRPr="007C31BA">
              <w:rPr>
                <w:szCs w:val="22"/>
              </w:rPr>
              <w:t xml:space="preserve">Feedback to C. Mills related to the COFR policy are due by 6.13.2014.  Nancy will send out the policy draft and the related analysis of change impact. </w:t>
            </w:r>
          </w:p>
          <w:p w:rsidR="0087019A" w:rsidRPr="007C31BA" w:rsidRDefault="0087019A" w:rsidP="0087019A">
            <w:pPr>
              <w:pStyle w:val="ListParagraph"/>
              <w:numPr>
                <w:ilvl w:val="0"/>
                <w:numId w:val="5"/>
              </w:numPr>
              <w:rPr>
                <w:szCs w:val="22"/>
              </w:rPr>
            </w:pPr>
            <w:r w:rsidRPr="007C31BA">
              <w:rPr>
                <w:szCs w:val="22"/>
              </w:rPr>
              <w:t>Feedback related to the Network Adequacy Assessment should be provided to J. Pinter by 6.3.2014</w:t>
            </w:r>
            <w:r w:rsidR="007C31BA" w:rsidRPr="007C31BA">
              <w:rPr>
                <w:szCs w:val="22"/>
              </w:rPr>
              <w:t>.</w:t>
            </w:r>
          </w:p>
          <w:p w:rsidR="007C31BA" w:rsidRPr="007C31BA" w:rsidRDefault="004340BC" w:rsidP="0087019A">
            <w:pPr>
              <w:pStyle w:val="ListParagraph"/>
              <w:numPr>
                <w:ilvl w:val="0"/>
                <w:numId w:val="5"/>
              </w:numPr>
              <w:rPr>
                <w:szCs w:val="22"/>
              </w:rPr>
            </w:pPr>
            <w:r>
              <w:rPr>
                <w:szCs w:val="22"/>
              </w:rPr>
              <w:t>Feedback on the 490</w:t>
            </w:r>
            <w:r w:rsidR="007C31BA" w:rsidRPr="007C31BA">
              <w:rPr>
                <w:szCs w:val="22"/>
              </w:rPr>
              <w:t xml:space="preserve"> Policy Draft is due to G. Reed by 6.16.2014</w:t>
            </w:r>
          </w:p>
        </w:tc>
      </w:tr>
    </w:tbl>
    <w:p w:rsidR="009932EE" w:rsidRPr="00F30E5D" w:rsidRDefault="009932EE" w:rsidP="00F30E5D">
      <w:pPr>
        <w:tabs>
          <w:tab w:val="left" w:pos="4530"/>
        </w:tabs>
      </w:pPr>
    </w:p>
    <w:sectPr w:rsidR="009932EE" w:rsidRPr="00F30E5D" w:rsidSect="00AA30C6">
      <w:pgSz w:w="15840" w:h="12240" w:orient="landscape"/>
      <w:pgMar w:top="576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27C42"/>
    <w:multiLevelType w:val="hybridMultilevel"/>
    <w:tmpl w:val="ADAAF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B235A"/>
    <w:multiLevelType w:val="hybridMultilevel"/>
    <w:tmpl w:val="C7EC362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170301"/>
    <w:multiLevelType w:val="hybridMultilevel"/>
    <w:tmpl w:val="E698E7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7F9691A"/>
    <w:multiLevelType w:val="hybridMultilevel"/>
    <w:tmpl w:val="A588CE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B9D7B1F"/>
    <w:multiLevelType w:val="hybridMultilevel"/>
    <w:tmpl w:val="4FA82E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43600D3"/>
    <w:multiLevelType w:val="hybridMultilevel"/>
    <w:tmpl w:val="585055B8"/>
    <w:lvl w:ilvl="0" w:tplc="DB82BD18">
      <w:start w:val="1"/>
      <w:numFmt w:val="bullet"/>
      <w:pStyle w:val="Heading3"/>
      <w:lvlText w:val=""/>
      <w:lvlJc w:val="left"/>
      <w:pPr>
        <w:ind w:left="1080" w:hanging="360"/>
      </w:pPr>
      <w:rPr>
        <w:rFonts w:ascii="Wingdings" w:hAnsi="Wingdings" w:hint="default"/>
        <w:b/>
        <w:i w:val="0"/>
        <w:sz w:val="3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E5D"/>
    <w:rsid w:val="000159FA"/>
    <w:rsid w:val="00020C97"/>
    <w:rsid w:val="0002452A"/>
    <w:rsid w:val="00046170"/>
    <w:rsid w:val="0005234E"/>
    <w:rsid w:val="000561CC"/>
    <w:rsid w:val="000803A0"/>
    <w:rsid w:val="0008648D"/>
    <w:rsid w:val="000A768A"/>
    <w:rsid w:val="000D09F7"/>
    <w:rsid w:val="000D3BD5"/>
    <w:rsid w:val="000D3F06"/>
    <w:rsid w:val="000E766E"/>
    <w:rsid w:val="0010067C"/>
    <w:rsid w:val="00116E1B"/>
    <w:rsid w:val="00123B1A"/>
    <w:rsid w:val="001331DA"/>
    <w:rsid w:val="00164484"/>
    <w:rsid w:val="001A4E38"/>
    <w:rsid w:val="001C6FB5"/>
    <w:rsid w:val="001D49D8"/>
    <w:rsid w:val="001D7A2F"/>
    <w:rsid w:val="00214C3C"/>
    <w:rsid w:val="0023256C"/>
    <w:rsid w:val="00233A73"/>
    <w:rsid w:val="00246F36"/>
    <w:rsid w:val="00252F44"/>
    <w:rsid w:val="00265CB0"/>
    <w:rsid w:val="00283764"/>
    <w:rsid w:val="00292CCA"/>
    <w:rsid w:val="002A30DE"/>
    <w:rsid w:val="002A4829"/>
    <w:rsid w:val="002C5252"/>
    <w:rsid w:val="002C74A0"/>
    <w:rsid w:val="002E6165"/>
    <w:rsid w:val="002F7A7C"/>
    <w:rsid w:val="00306908"/>
    <w:rsid w:val="00316C5D"/>
    <w:rsid w:val="00322255"/>
    <w:rsid w:val="0032766C"/>
    <w:rsid w:val="00332025"/>
    <w:rsid w:val="003321DE"/>
    <w:rsid w:val="0034039E"/>
    <w:rsid w:val="00367C2C"/>
    <w:rsid w:val="003715D5"/>
    <w:rsid w:val="00372B30"/>
    <w:rsid w:val="00375944"/>
    <w:rsid w:val="003867C2"/>
    <w:rsid w:val="00392543"/>
    <w:rsid w:val="003B64F1"/>
    <w:rsid w:val="003D3AEA"/>
    <w:rsid w:val="003E7213"/>
    <w:rsid w:val="00405C13"/>
    <w:rsid w:val="00410463"/>
    <w:rsid w:val="004340BC"/>
    <w:rsid w:val="004425E2"/>
    <w:rsid w:val="0046388C"/>
    <w:rsid w:val="004735B9"/>
    <w:rsid w:val="00494882"/>
    <w:rsid w:val="004A3F6A"/>
    <w:rsid w:val="004B203F"/>
    <w:rsid w:val="004B4F41"/>
    <w:rsid w:val="004D1D33"/>
    <w:rsid w:val="004E05EF"/>
    <w:rsid w:val="004E3ED0"/>
    <w:rsid w:val="00507806"/>
    <w:rsid w:val="005418C2"/>
    <w:rsid w:val="005517A2"/>
    <w:rsid w:val="005660C7"/>
    <w:rsid w:val="005828C2"/>
    <w:rsid w:val="005A5440"/>
    <w:rsid w:val="005A7615"/>
    <w:rsid w:val="005D10FF"/>
    <w:rsid w:val="005D1D74"/>
    <w:rsid w:val="005D2D1D"/>
    <w:rsid w:val="005D3CCA"/>
    <w:rsid w:val="005E338E"/>
    <w:rsid w:val="005E468A"/>
    <w:rsid w:val="005F4D81"/>
    <w:rsid w:val="005F7ADC"/>
    <w:rsid w:val="006202F2"/>
    <w:rsid w:val="00630D53"/>
    <w:rsid w:val="00641361"/>
    <w:rsid w:val="00642398"/>
    <w:rsid w:val="00652DAF"/>
    <w:rsid w:val="006561C5"/>
    <w:rsid w:val="00663A3A"/>
    <w:rsid w:val="00687DA1"/>
    <w:rsid w:val="006915B9"/>
    <w:rsid w:val="006C07CF"/>
    <w:rsid w:val="006D45BB"/>
    <w:rsid w:val="006D7922"/>
    <w:rsid w:val="006F54B3"/>
    <w:rsid w:val="00705A51"/>
    <w:rsid w:val="00714D98"/>
    <w:rsid w:val="00726DEF"/>
    <w:rsid w:val="00731CC5"/>
    <w:rsid w:val="00756351"/>
    <w:rsid w:val="0076063A"/>
    <w:rsid w:val="00764179"/>
    <w:rsid w:val="00766BFF"/>
    <w:rsid w:val="0077499F"/>
    <w:rsid w:val="0078296F"/>
    <w:rsid w:val="007876E4"/>
    <w:rsid w:val="007B017B"/>
    <w:rsid w:val="007B07DA"/>
    <w:rsid w:val="007C0ABA"/>
    <w:rsid w:val="007C31BA"/>
    <w:rsid w:val="007C7CE9"/>
    <w:rsid w:val="007D12A8"/>
    <w:rsid w:val="007F65CB"/>
    <w:rsid w:val="00830010"/>
    <w:rsid w:val="00835D56"/>
    <w:rsid w:val="0083778A"/>
    <w:rsid w:val="00855111"/>
    <w:rsid w:val="0087019A"/>
    <w:rsid w:val="008902F1"/>
    <w:rsid w:val="0089500C"/>
    <w:rsid w:val="008A26D8"/>
    <w:rsid w:val="008A3E15"/>
    <w:rsid w:val="008B331E"/>
    <w:rsid w:val="008C7799"/>
    <w:rsid w:val="00911F17"/>
    <w:rsid w:val="00935416"/>
    <w:rsid w:val="00947B77"/>
    <w:rsid w:val="00951999"/>
    <w:rsid w:val="0096472F"/>
    <w:rsid w:val="0096658A"/>
    <w:rsid w:val="00970F00"/>
    <w:rsid w:val="009932EE"/>
    <w:rsid w:val="009937B2"/>
    <w:rsid w:val="00994AAF"/>
    <w:rsid w:val="009A344F"/>
    <w:rsid w:val="009B03FB"/>
    <w:rsid w:val="009B2663"/>
    <w:rsid w:val="009B411F"/>
    <w:rsid w:val="009C6BE6"/>
    <w:rsid w:val="009D2287"/>
    <w:rsid w:val="009D6D04"/>
    <w:rsid w:val="00A13C8F"/>
    <w:rsid w:val="00A24DA0"/>
    <w:rsid w:val="00A469C2"/>
    <w:rsid w:val="00A61DEC"/>
    <w:rsid w:val="00A87635"/>
    <w:rsid w:val="00A963B7"/>
    <w:rsid w:val="00A97916"/>
    <w:rsid w:val="00A97AA6"/>
    <w:rsid w:val="00AA1CC8"/>
    <w:rsid w:val="00AA2B79"/>
    <w:rsid w:val="00AA30C6"/>
    <w:rsid w:val="00AE015E"/>
    <w:rsid w:val="00AE4492"/>
    <w:rsid w:val="00AE44F2"/>
    <w:rsid w:val="00AE7EA7"/>
    <w:rsid w:val="00AF70F9"/>
    <w:rsid w:val="00B001D8"/>
    <w:rsid w:val="00B012E5"/>
    <w:rsid w:val="00B049FC"/>
    <w:rsid w:val="00B21236"/>
    <w:rsid w:val="00B326DD"/>
    <w:rsid w:val="00B41C9A"/>
    <w:rsid w:val="00B54BEF"/>
    <w:rsid w:val="00B62530"/>
    <w:rsid w:val="00B6504C"/>
    <w:rsid w:val="00B6788F"/>
    <w:rsid w:val="00B77622"/>
    <w:rsid w:val="00B846DE"/>
    <w:rsid w:val="00BA1840"/>
    <w:rsid w:val="00BD3F2F"/>
    <w:rsid w:val="00BD4FF9"/>
    <w:rsid w:val="00C35EC0"/>
    <w:rsid w:val="00C422D9"/>
    <w:rsid w:val="00C46C1C"/>
    <w:rsid w:val="00CA2FDF"/>
    <w:rsid w:val="00CB05B6"/>
    <w:rsid w:val="00CB55CF"/>
    <w:rsid w:val="00CC4250"/>
    <w:rsid w:val="00CD17FF"/>
    <w:rsid w:val="00CD3C1F"/>
    <w:rsid w:val="00D061E9"/>
    <w:rsid w:val="00D23A01"/>
    <w:rsid w:val="00D24C02"/>
    <w:rsid w:val="00D27974"/>
    <w:rsid w:val="00D32E5A"/>
    <w:rsid w:val="00D330EF"/>
    <w:rsid w:val="00D74E0F"/>
    <w:rsid w:val="00D85749"/>
    <w:rsid w:val="00D90226"/>
    <w:rsid w:val="00D92A18"/>
    <w:rsid w:val="00D938E4"/>
    <w:rsid w:val="00D95635"/>
    <w:rsid w:val="00DA3E54"/>
    <w:rsid w:val="00DA4FAE"/>
    <w:rsid w:val="00DC5EF2"/>
    <w:rsid w:val="00DF475E"/>
    <w:rsid w:val="00DF4847"/>
    <w:rsid w:val="00E171CD"/>
    <w:rsid w:val="00E41C6B"/>
    <w:rsid w:val="00E70C18"/>
    <w:rsid w:val="00E73307"/>
    <w:rsid w:val="00E811EE"/>
    <w:rsid w:val="00E90EE0"/>
    <w:rsid w:val="00E91625"/>
    <w:rsid w:val="00EA63B0"/>
    <w:rsid w:val="00ED117B"/>
    <w:rsid w:val="00ED63B4"/>
    <w:rsid w:val="00ED650E"/>
    <w:rsid w:val="00EE2B37"/>
    <w:rsid w:val="00EE34AE"/>
    <w:rsid w:val="00EE6616"/>
    <w:rsid w:val="00EF2AB8"/>
    <w:rsid w:val="00EF3B3C"/>
    <w:rsid w:val="00F13472"/>
    <w:rsid w:val="00F13568"/>
    <w:rsid w:val="00F15497"/>
    <w:rsid w:val="00F30E5D"/>
    <w:rsid w:val="00F33BD3"/>
    <w:rsid w:val="00F35032"/>
    <w:rsid w:val="00F37D62"/>
    <w:rsid w:val="00F422AF"/>
    <w:rsid w:val="00F43890"/>
    <w:rsid w:val="00F44AE5"/>
    <w:rsid w:val="00F65E3E"/>
    <w:rsid w:val="00F70962"/>
    <w:rsid w:val="00F70FFF"/>
    <w:rsid w:val="00F76DEF"/>
    <w:rsid w:val="00F91789"/>
    <w:rsid w:val="00FA03D7"/>
    <w:rsid w:val="00FA788A"/>
    <w:rsid w:val="00FE287B"/>
    <w:rsid w:val="00FF44C4"/>
    <w:rsid w:val="00FF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DF291"/>
  <w15:docId w15:val="{88C8382B-FB40-4F51-8931-30D8F8488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5440"/>
    <w:pPr>
      <w:spacing w:after="120" w:line="240" w:lineRule="auto"/>
    </w:pPr>
    <w:rPr>
      <w:rFonts w:eastAsia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2D1D"/>
    <w:pPr>
      <w:keepNext/>
      <w:keepLines/>
      <w:spacing w:before="160" w:after="200"/>
      <w:outlineLvl w:val="0"/>
    </w:pPr>
    <w:rPr>
      <w:rFonts w:asciiTheme="majorHAnsi" w:eastAsiaTheme="majorEastAsia" w:hAnsiTheme="majorHAnsi" w:cstheme="majorBidi"/>
      <w:b/>
      <w:bCs/>
      <w:color w:val="5F497A" w:themeColor="accent4" w:themeShade="BF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766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049FC"/>
    <w:pPr>
      <w:keepNext/>
      <w:keepLines/>
      <w:numPr>
        <w:numId w:val="2"/>
      </w:numPr>
      <w:jc w:val="both"/>
      <w:outlineLvl w:val="2"/>
    </w:pPr>
    <w:rPr>
      <w:rFonts w:ascii="Calibri" w:eastAsiaTheme="majorEastAsia" w:hAnsi="Calibri" w:cstheme="majorBidi"/>
      <w:b/>
      <w:bCs/>
      <w:color w:val="262626" w:themeColor="text1" w:themeTint="D9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10F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32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D2D1D"/>
    <w:rPr>
      <w:rFonts w:asciiTheme="majorHAnsi" w:eastAsiaTheme="majorEastAsia" w:hAnsiTheme="majorHAnsi" w:cstheme="majorBidi"/>
      <w:b/>
      <w:bCs/>
      <w:color w:val="5F497A" w:themeColor="accent4" w:themeShade="BF"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276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49FC"/>
    <w:rPr>
      <w:rFonts w:ascii="Calibri" w:eastAsiaTheme="majorEastAsia" w:hAnsi="Calibri" w:cstheme="majorBidi"/>
      <w:b/>
      <w:bCs/>
      <w:color w:val="262626" w:themeColor="text1" w:themeTint="D9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2B3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B30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4484"/>
    <w:pPr>
      <w:ind w:left="720"/>
      <w:contextualSpacing/>
    </w:pPr>
    <w:rPr>
      <w:rFonts w:ascii="Calibri" w:hAnsi="Calibri"/>
    </w:rPr>
  </w:style>
  <w:style w:type="character" w:customStyle="1" w:styleId="Heading4Char">
    <w:name w:val="Heading 4 Char"/>
    <w:basedOn w:val="DefaultParagraphFont"/>
    <w:link w:val="Heading4"/>
    <w:uiPriority w:val="9"/>
    <w:rsid w:val="005D10F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styleId="Hyperlink">
    <w:name w:val="Hyperlink"/>
    <w:uiPriority w:val="99"/>
    <w:rsid w:val="005A5440"/>
    <w:rPr>
      <w:color w:val="4F81BD" w:themeColor="accent1"/>
      <w:szCs w:val="2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ncy\AppData\Roaming\Microsoft\Templates\Project%20Web%20Access%20quick%20reference%20guide%20for%20manager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9BBC895677264FA90F153E70AB0572" ma:contentTypeVersion="1" ma:contentTypeDescription="Create a new document." ma:contentTypeScope="" ma:versionID="481c25e385b1b3b2708df06fd8fced2e">
  <xsd:schema xmlns:xsd="http://www.w3.org/2001/XMLSchema" xmlns:xs="http://www.w3.org/2001/XMLSchema" xmlns:p="http://schemas.microsoft.com/office/2006/metadata/properties" xmlns:ns2="7b36ac82-e641-43af-912a-8f1623d5aead" targetNamespace="http://schemas.microsoft.com/office/2006/metadata/properties" ma:root="true" ma:fieldsID="1726e01ca396b1e9733d79f5e4d5508c" ns2:_="">
    <xsd:import namespace="7b36ac82-e641-43af-912a-8f1623d5aead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36ac82-e641-43af-912a-8f1623d5aea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D00846-429D-4ADB-9D21-A70BD141F6E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E88820-0799-44D8-9647-FAE7A24707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CF9B8F-A09C-44E8-9D8B-F9C7DF2772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36ac82-e641-43af-912a-8f1623d5ae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3E17935-3178-4D42-943F-486E94F56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Web Access quick reference guide for managers</Template>
  <TotalTime>0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Web Access quick reference guide for managers</vt:lpstr>
    </vt:vector>
  </TitlesOfParts>
  <Company/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Web Access quick reference guide for managers</dc:title>
  <dc:creator>Nancy Miller</dc:creator>
  <cp:keywords/>
  <cp:lastModifiedBy>Nancy Miller</cp:lastModifiedBy>
  <cp:revision>2</cp:revision>
  <cp:lastPrinted>2008-07-09T19:21:00Z</cp:lastPrinted>
  <dcterms:created xsi:type="dcterms:W3CDTF">2014-05-29T16:31:00Z</dcterms:created>
  <dcterms:modified xsi:type="dcterms:W3CDTF">2014-05-29T16:31:00Z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TC102865059990</vt:lpwstr>
  </property>
  <property fmtid="{D5CDD505-2E9C-101B-9397-08002B2CF9AE}" pid="3" name="ContentTypeId">
    <vt:lpwstr>0x010100E79BBC895677264FA90F153E70AB0572</vt:lpwstr>
  </property>
</Properties>
</file>