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A84D8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好的，鉴于 x402 协议是一个相对较新的、由 Coinbase 支持的开放标准，我将为您梳理一份结构化的功能、技术和开发文档大纲，方便您整理成 Word 文档。</w:t>
      </w:r>
    </w:p>
    <w:p w14:paraId="5C582CF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由于我无法直接生成 Word 文件，我将提供清晰的 Markdown 结构，您可以复制并粘贴到 Word 中进行格式化（例如使用标题、列表和表格）。</w:t>
      </w:r>
    </w:p>
    <w:p w14:paraId="36EF9E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B1C1D"/>
        </w:rPr>
        <w:pict>
          <v:rect id="_x0000_i1025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0CD744">
      <w:pPr>
        <w:pStyle w:val="2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📄 x402 开放支付协议文档</w:t>
      </w:r>
    </w:p>
    <w:p w14:paraId="36FE8578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I. 功能文档：核心价值与用户场景</w:t>
      </w:r>
    </w:p>
    <w:p w14:paraId="49C865A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1. 协议概述</w:t>
      </w:r>
    </w:p>
    <w:p w14:paraId="5C954F9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598C9C7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名称：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x402 开放支付协议</w:t>
      </w:r>
    </w:p>
    <w:p w14:paraId="79B7BD8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704A3C2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  <w:bookmarkStart w:id="0" w:name="_GoBack"/>
      <w:bookmarkEnd w:id="0"/>
    </w:p>
    <w:p w14:paraId="1F3604EC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目标：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实现互联网原生的、机器对机器的**即用即付（Pay-per-Call）**微交易。</w:t>
      </w:r>
    </w:p>
    <w:p w14:paraId="32B59E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40B45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E315716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核心理念：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重用 HTTP 状态码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402 Payment Required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将支付流程嵌入到标准的 Web 请求/响应周期中。</w:t>
      </w:r>
    </w:p>
    <w:p w14:paraId="51CB79A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4E50CA0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3C876CB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受众：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API 提供商、AI 代理开发者、微服务架构师、Web3 基础设施构建者。</w:t>
      </w:r>
    </w:p>
    <w:p w14:paraId="67319C7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07BDE38A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2. 核心功能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753"/>
        <w:gridCol w:w="3619"/>
        <w:gridCol w:w="3369"/>
      </w:tblGrid>
      <w:tr w14:paraId="6332665A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21465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功能点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14331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描述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0E29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优势</w:t>
            </w:r>
          </w:p>
        </w:tc>
      </w:tr>
      <w:tr w14:paraId="474FECC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B91E9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即用即付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03A1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实时按次请求付费，无需预付或订阅。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B3E9D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消除摩擦，提高资源利用效率。</w:t>
            </w:r>
          </w:p>
        </w:tc>
      </w:tr>
      <w:tr w14:paraId="7109B03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1C5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“免 Gas 费”支付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C4EE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用户（客户端）仅需签名授权，Gas 费由中继者承担。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A0DD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极大简化用户体验，促进微交易。</w:t>
            </w:r>
          </w:p>
        </w:tc>
      </w:tr>
      <w:tr w14:paraId="41123521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9571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微交易优化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21A29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通过 Layer 2（如 Base）和批量结算（x402x 扩展）。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C5CA3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使得小额支付（低至 $0.0001）在经济上可行。</w:t>
            </w:r>
          </w:p>
        </w:tc>
      </w:tr>
      <w:tr w14:paraId="5DBD212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A78D2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标准 HTTP 集成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9E670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支付指令直接嵌入 HTTP 402 响应头和正文。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3112A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利用现有网络基础设施，易于实现和部署。</w:t>
            </w:r>
          </w:p>
        </w:tc>
      </w:tr>
      <w:tr w14:paraId="7CA1F15B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C2FC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链上可审计性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FDC8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支付授权和结算记录都发生在公共区块链上。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5975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透明、不可篡改、可审计。</w:t>
            </w:r>
          </w:p>
        </w:tc>
      </w:tr>
    </w:tbl>
    <w:p w14:paraId="5A7B2D09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3. 应用场景</w:t>
      </w:r>
    </w:p>
    <w:p w14:paraId="7000E8A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1EA42C20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AI 代理支付：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允许自主 AI 代理在调用工具、获取数据或访问高级模型时实时付费。</w:t>
      </w:r>
    </w:p>
    <w:p w14:paraId="0EC8D69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8661DF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B5A4D71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API 货币化：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实现按次调用的 API 计费模式（例如，数据查询、计算服务）。</w:t>
      </w:r>
    </w:p>
    <w:p w14:paraId="6590C8C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1BECD7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F457AFF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数字内容付费墙：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实现按文章、按分钟或按字节的微支付访问。</w:t>
      </w:r>
    </w:p>
    <w:p w14:paraId="72F7E8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7E9439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145A1C7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Web3 基础设施服务：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支付 RPC 调用、中继服务或特定链上操作。</w:t>
      </w:r>
    </w:p>
    <w:p w14:paraId="191361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F97CC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color w:val="1B1C1D"/>
        </w:rPr>
        <w:pict>
          <v:rect id="_x0000_i1026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C6837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II. 技术文档：架构与协议细节</w:t>
      </w:r>
    </w:p>
    <w:p w14:paraId="07694721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1. 协议架构图（示意）</w:t>
      </w:r>
    </w:p>
    <w:p w14:paraId="5D4BBE4A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720" w:right="72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i/>
          <w:iCs/>
          <w:color w:val="1B1C1D"/>
          <w:sz w:val="24"/>
          <w:szCs w:val="24"/>
          <w:bdr w:val="none" w:color="1B1C1D" w:sz="0" w:space="0"/>
        </w:rPr>
        <w:t>[此部分需在 Word 中插入或描述一个流程图，显示客户端、服务器、中继者和区块链的交互。]</w:t>
      </w:r>
    </w:p>
    <w:p w14:paraId="55F3292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2. 核心技术栈</w:t>
      </w:r>
    </w:p>
    <w:p w14:paraId="0087AE3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5400FC25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HTTP 协议：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以 </w:t>
      </w:r>
      <w:r>
        <w:rPr>
          <w:rStyle w:val="11"/>
          <w:rFonts w:hint="eastAsia" w:ascii="微软雅黑" w:hAnsi="微软雅黑" w:eastAsia="微软雅黑" w:cs="微软雅黑"/>
          <w:b/>
          <w:bCs/>
          <w:color w:val="444746"/>
          <w:bdr w:val="none" w:color="444746" w:sz="0" w:space="0"/>
        </w:rPr>
        <w:t>402 Payment Required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状态码作为支付触发点。</w:t>
      </w:r>
    </w:p>
    <w:p w14:paraId="64B8C09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01858A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13BE83A0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以太坊 L2 (Base)：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协议的首选部署环境，用于低成本、快速的结算。</w:t>
      </w:r>
    </w:p>
    <w:p w14:paraId="0A87E95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554D97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0581FC9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EIP-3009 (</w:t>
      </w:r>
      <w:r>
        <w:rPr>
          <w:rStyle w:val="11"/>
          <w:rFonts w:hint="eastAsia" w:ascii="微软雅黑" w:hAnsi="微软雅黑" w:eastAsia="微软雅黑" w:cs="微软雅黑"/>
          <w:b/>
          <w:bCs/>
          <w:color w:val="444746"/>
          <w:bdr w:val="none" w:color="444746" w:sz="0" w:space="0"/>
        </w:rPr>
        <w:t>transferWithAuthorization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)：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核心的授权转移标准。</w:t>
      </w:r>
    </w:p>
    <w:p w14:paraId="4E27BDB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350CF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DED8145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智能合约：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用于验证授权签名、管理代币转移和处理批量结算。</w:t>
      </w:r>
    </w:p>
    <w:p w14:paraId="6DE649F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741D7A7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3. x402 核心交互流程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5"/>
        <w:gridCol w:w="1045"/>
        <w:gridCol w:w="3130"/>
        <w:gridCol w:w="3421"/>
      </w:tblGrid>
      <w:tr w14:paraId="320DF4E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D08F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步骤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6B1D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角色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3723C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HTTP 状态/操作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97795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描述</w:t>
            </w:r>
          </w:p>
        </w:tc>
      </w:tr>
      <w:tr w14:paraId="5887CBA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B38A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1. 请求资源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37EAF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510A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 /resource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0906A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客户端尝试访问受保护的资源。</w:t>
            </w:r>
          </w:p>
        </w:tc>
      </w:tr>
      <w:tr w14:paraId="21A76B77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1BFED4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2. 支付要求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FF03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D495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402 Payment Required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8A587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返回支付要求，包含金额、</w:t>
            </w: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nonce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、过期时间等。</w:t>
            </w:r>
          </w:p>
        </w:tc>
      </w:tr>
      <w:tr w14:paraId="327EFB04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3CE7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3. 授权签名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3FA2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E1EDB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链下操作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89A1F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客户端钱包使用私钥对支付要求进行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EIP-3009 签名授权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。</w:t>
            </w:r>
          </w:p>
        </w:tc>
      </w:tr>
      <w:tr w14:paraId="050D67F8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44F46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4. 重试请求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4CAF0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客户端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E6C808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GET /resource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+ 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Authorization Header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4BA3D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在请求头中添加支付凭证（签名）重试请求。</w:t>
            </w:r>
          </w:p>
        </w:tc>
      </w:tr>
      <w:tr w14:paraId="21854F0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F2734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5. 验证与结算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1CED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服务器/网关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8856C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i/>
                <w:i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链上操作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5DEA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服务器验证签名，并触发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中继者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进行链上转账结算。</w:t>
            </w:r>
          </w:p>
        </w:tc>
      </w:tr>
      <w:tr w14:paraId="1D946B0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271E5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6. 资源提供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E9D72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服务器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1D114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200 OK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C2946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确认支付后，返回请求的资源。</w:t>
            </w:r>
          </w:p>
        </w:tc>
      </w:tr>
    </w:tbl>
    <w:p w14:paraId="692A82F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4. 关键数据结构：HTTP 响应头</w:t>
      </w:r>
    </w:p>
    <w:p w14:paraId="1197AC9C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当服务器返回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402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状态码时，会包含一个或多个支付要求的标头，例如：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742"/>
        <w:gridCol w:w="2298"/>
        <w:gridCol w:w="3701"/>
      </w:tblGrid>
      <w:tr w14:paraId="200ECFC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C65B1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标头名称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0E3DE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示例值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84787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描述</w:t>
            </w:r>
          </w:p>
        </w:tc>
      </w:tr>
      <w:tr w14:paraId="5D9E6650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71404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WWW-Authenticate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9B03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PayID &lt;ID&gt;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8F338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协议标识符。</w:t>
            </w:r>
          </w:p>
        </w:tc>
      </w:tr>
      <w:tr w14:paraId="3AB2112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A85A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Accept-Token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2FBD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USDC:0x...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9BA9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服务器接受的代币地址和链。</w:t>
            </w:r>
          </w:p>
        </w:tc>
      </w:tr>
      <w:tr w14:paraId="4E34AC5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37C93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Challenge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5C3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amount=100&amp;...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347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包含支付金额、</w:t>
            </w: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nonce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、</w:t>
            </w: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expiry</w:t>
            </w: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等信息的编码字符串。</w:t>
            </w:r>
          </w:p>
        </w:tc>
      </w:tr>
    </w:tbl>
    <w:p w14:paraId="3F91F8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7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D382C">
      <w:pPr>
        <w:pStyle w:val="3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III. 开发文档：集成指南与 API 参考</w:t>
      </w:r>
    </w:p>
    <w:p w14:paraId="54B635AC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1. 客户端集成指南（以 Node.js 为例）</w:t>
      </w:r>
    </w:p>
    <w:p w14:paraId="31CAD209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A. 依赖准备</w:t>
      </w:r>
    </w:p>
    <w:p w14:paraId="3ABA927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52F2ED6A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钱包库：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使用兼容 EIP-3009 的库（例如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ethers.js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或特定于 x402 的 SDK）。</w:t>
      </w:r>
    </w:p>
    <w:p w14:paraId="48ABDF2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4CD9AC6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115C9F8F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HTTP 客户端：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用于处理 HTTP 请求和响应（例如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axios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或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fetch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）。</w:t>
      </w:r>
    </w:p>
    <w:p w14:paraId="672DBB4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4951880A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B. 核心步骤</w:t>
      </w:r>
    </w:p>
    <w:p w14:paraId="030F314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47C82CF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发出初始请求：</w:t>
      </w:r>
    </w:p>
    <w:p w14:paraId="536BE04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756FECA7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eastAsia" w:ascii="微软雅黑" w:hAnsi="微软雅黑" w:eastAsia="微软雅黑" w:cs="微软雅黑"/>
          <w:color w:val="444746"/>
        </w:rPr>
      </w:pPr>
      <w:r>
        <w:rPr>
          <w:rFonts w:hint="eastAsia" w:ascii="微软雅黑" w:hAnsi="微软雅黑" w:eastAsia="微软雅黑" w:cs="微软雅黑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JavaScript</w:t>
      </w:r>
    </w:p>
    <w:p w14:paraId="2C34E93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640C915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const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response =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await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fetch(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88038"/>
          <w:sz w:val="21"/>
          <w:szCs w:val="21"/>
          <w:bdr w:val="none" w:color="188038" w:sz="0" w:space="0"/>
        </w:rPr>
        <w:t>'/api/resource'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);</w:t>
      </w:r>
    </w:p>
    <w:p w14:paraId="0D860B6A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B4BBE8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38753BC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检查 402 响应：</w:t>
      </w:r>
    </w:p>
    <w:p w14:paraId="61EA35D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F867611">
      <w:pPr>
        <w:keepNext w:val="0"/>
        <w:keepLines w:val="0"/>
        <w:widowControl/>
        <w:suppressLineNumbers w:val="0"/>
        <w:pBdr>
          <w:top w:val="none" w:color="444746" w:sz="0" w:space="0"/>
          <w:left w:val="none" w:color="444746" w:sz="0" w:space="0"/>
          <w:bottom w:val="none" w:color="444746" w:sz="0" w:space="0"/>
          <w:right w:val="none" w:color="444746" w:sz="0" w:space="0"/>
        </w:pBdr>
        <w:bidi w:val="0"/>
        <w:spacing w:before="0" w:beforeAutospacing="0" w:after="30" w:afterAutospacing="0" w:line="17" w:lineRule="atLeast"/>
        <w:ind w:left="0" w:right="0"/>
        <w:jc w:val="left"/>
        <w:rPr>
          <w:rFonts w:hint="eastAsia" w:ascii="微软雅黑" w:hAnsi="微软雅黑" w:eastAsia="微软雅黑" w:cs="微软雅黑"/>
          <w:color w:val="444746"/>
        </w:rPr>
      </w:pPr>
      <w:r>
        <w:rPr>
          <w:rFonts w:hint="eastAsia" w:ascii="微软雅黑" w:hAnsi="微软雅黑" w:eastAsia="微软雅黑" w:cs="微软雅黑"/>
          <w:color w:val="444746"/>
          <w:kern w:val="0"/>
          <w:sz w:val="24"/>
          <w:szCs w:val="24"/>
          <w:bdr w:val="none" w:color="444746" w:sz="0" w:space="0"/>
          <w:lang w:val="en-US" w:eastAsia="zh-CN" w:bidi="ar"/>
        </w:rPr>
        <w:t>JavaScript</w:t>
      </w:r>
    </w:p>
    <w:p w14:paraId="665A8060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19C1FC9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if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(response.status ===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B55908"/>
          <w:sz w:val="21"/>
          <w:szCs w:val="21"/>
          <w:bdr w:val="none" w:color="B55908" w:sz="0" w:space="0"/>
        </w:rPr>
        <w:t>402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) {</w:t>
      </w:r>
    </w:p>
    <w:p w14:paraId="24828996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F6368"/>
          <w:sz w:val="21"/>
          <w:szCs w:val="21"/>
          <w:bdr w:val="none" w:color="5F6368" w:sz="0" w:space="0"/>
        </w:rPr>
        <w:t>// 1. 解析 WWW-Authenticate 或正文获取支付要求 (Challenge)</w:t>
      </w:r>
    </w:p>
    <w:p w14:paraId="5CB1DEF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const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challenge = parseChallenge(response.headers.get(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88038"/>
          <w:sz w:val="21"/>
          <w:szCs w:val="21"/>
          <w:bdr w:val="none" w:color="188038" w:sz="0" w:space="0"/>
        </w:rPr>
        <w:t>'WWW-Authenticate'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));</w:t>
      </w:r>
    </w:p>
    <w:p w14:paraId="32FC006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</w:p>
    <w:p w14:paraId="61A3E3AC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F6368"/>
          <w:sz w:val="21"/>
          <w:szCs w:val="21"/>
          <w:bdr w:val="none" w:color="5F6368" w:sz="0" w:space="0"/>
        </w:rPr>
        <w:t>// 2. 使用钱包对 Challenge 进行 EIP-3009 签名</w:t>
      </w:r>
    </w:p>
    <w:p w14:paraId="5DC2BC1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const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signature =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await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wallet.signAuthorization(challenge);</w:t>
      </w:r>
    </w:p>
    <w:p w14:paraId="10D0EB9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</w:p>
    <w:p w14:paraId="3D2E097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F6368"/>
          <w:sz w:val="21"/>
          <w:szCs w:val="21"/>
          <w:bdr w:val="none" w:color="5F6368" w:sz="0" w:space="0"/>
        </w:rPr>
        <w:t>// 3. 构造重试请求头</w:t>
      </w:r>
    </w:p>
    <w:p w14:paraId="2DE38AD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const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authHeader =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88038"/>
          <w:sz w:val="21"/>
          <w:szCs w:val="21"/>
          <w:bdr w:val="none" w:color="188038" w:sz="0" w:space="0"/>
        </w:rPr>
        <w:t xml:space="preserve">`x402: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B1C1D"/>
          <w:sz w:val="21"/>
          <w:szCs w:val="21"/>
          <w:bdr w:val="none" w:color="1B1C1D" w:sz="0" w:space="0"/>
        </w:rPr>
        <w:t>${signature}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88038"/>
          <w:sz w:val="21"/>
          <w:szCs w:val="21"/>
          <w:bdr w:val="none" w:color="188038" w:sz="0" w:space="0"/>
        </w:rPr>
        <w:t>`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;</w:t>
      </w:r>
    </w:p>
    <w:p w14:paraId="7D0BF9E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</w:p>
    <w:p w14:paraId="64EDD24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F6368"/>
          <w:sz w:val="21"/>
          <w:szCs w:val="21"/>
          <w:bdr w:val="none" w:color="5F6368" w:sz="0" w:space="0"/>
        </w:rPr>
        <w:t>// 4. 重试请求</w:t>
      </w:r>
    </w:p>
    <w:p w14:paraId="57F68BE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const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finalResponse =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8430CE"/>
          <w:sz w:val="21"/>
          <w:szCs w:val="21"/>
          <w:bdr w:val="none" w:color="8430CE" w:sz="0" w:space="0"/>
        </w:rPr>
        <w:t>await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fetch(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88038"/>
          <w:sz w:val="21"/>
          <w:szCs w:val="21"/>
          <w:bdr w:val="none" w:color="188038" w:sz="0" w:space="0"/>
        </w:rPr>
        <w:t>'/api/resource'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, {</w:t>
      </w:r>
    </w:p>
    <w:p w14:paraId="79129EEC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B55908"/>
          <w:sz w:val="21"/>
          <w:szCs w:val="21"/>
          <w:bdr w:val="none" w:color="B55908" w:sz="0" w:space="0"/>
        </w:rPr>
        <w:t>headers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: {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188038"/>
          <w:sz w:val="21"/>
          <w:szCs w:val="21"/>
          <w:bdr w:val="none" w:color="188038" w:sz="0" w:space="0"/>
        </w:rPr>
        <w:t>'Authorization'</w:t>
      </w: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: authHeader }</w:t>
      </w:r>
    </w:p>
    <w:p w14:paraId="3FA4E0D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});</w:t>
      </w:r>
    </w:p>
    <w:p w14:paraId="08D6AB34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 xml:space="preserve">    </w:t>
      </w: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5F6368"/>
          <w:sz w:val="21"/>
          <w:szCs w:val="21"/>
          <w:bdr w:val="none" w:color="5F6368" w:sz="0" w:space="0"/>
        </w:rPr>
        <w:t>// ... 处理 finalResponse (应为 200 OK)</w:t>
      </w:r>
    </w:p>
    <w:p w14:paraId="5759A65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Style w:val="11"/>
          <w:rFonts w:hint="eastAsia" w:ascii="微软雅黑" w:hAnsi="微软雅黑" w:eastAsia="微软雅黑" w:cs="微软雅黑"/>
          <w:b w:val="0"/>
          <w:bCs w:val="0"/>
          <w:i w:val="0"/>
          <w:iCs w:val="0"/>
          <w:color w:val="444746"/>
          <w:sz w:val="21"/>
          <w:szCs w:val="21"/>
          <w:bdr w:val="none" w:color="444746" w:sz="0" w:space="0"/>
        </w:rPr>
        <w:t>}</w:t>
      </w:r>
    </w:p>
    <w:p w14:paraId="068AD62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75DE1952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2. 服务端集成指南</w:t>
      </w:r>
    </w:p>
    <w:p w14:paraId="10C37B9D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A. 网关/中间件实现</w:t>
      </w:r>
    </w:p>
    <w:p w14:paraId="7A726DE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78CE3137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检查授权：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在处理资源请求之前，检查请求头中是否存在有效的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Authorization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（x402 签名）。</w:t>
      </w:r>
    </w:p>
    <w:p w14:paraId="1052B2D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3142904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F6C044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验证签名：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调用协议合约或专用服务，验证签名是否是给定 </w:t>
      </w:r>
      <w:r>
        <w:rPr>
          <w:rStyle w:val="11"/>
          <w:rFonts w:hint="eastAsia" w:ascii="微软雅黑" w:hAnsi="微软雅黑" w:eastAsia="微软雅黑" w:cs="微软雅黑"/>
          <w:color w:val="444746"/>
          <w:bdr w:val="none" w:color="444746" w:sz="0" w:space="0"/>
        </w:rPr>
        <w:t>challenge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的有效 EIP-3009 授权。</w:t>
      </w:r>
    </w:p>
    <w:p w14:paraId="7FBC4EAD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2BD976E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07659448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触发结算：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如果签名有效，将签名和支付信息发送给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中继者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服务，由中继者负责批量处理和链上转账。</w:t>
      </w:r>
    </w:p>
    <w:p w14:paraId="21D73E6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42567EB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5795DC2E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资源访问：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 结算成功后，允许访问资源。</w:t>
      </w:r>
    </w:p>
    <w:p w14:paraId="2A9789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 w:hanging="360"/>
        <w:rPr>
          <w:rFonts w:hint="eastAsia" w:ascii="微软雅黑" w:hAnsi="微软雅黑" w:eastAsia="微软雅黑" w:cs="微软雅黑"/>
          <w:color w:val="1B1C1D"/>
        </w:rPr>
      </w:pPr>
    </w:p>
    <w:p w14:paraId="4B753FEC">
      <w:pPr>
        <w:pStyle w:val="5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1B1C1D" w:sz="0" w:space="0"/>
        </w:rPr>
        <w:t>B. API 参考：服务端支付要求生成</w:t>
      </w:r>
    </w:p>
    <w:p w14:paraId="52AAB657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720" w:right="72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sz w:val="24"/>
          <w:szCs w:val="24"/>
          <w:bdr w:val="none" w:color="auto" w:sz="0" w:space="0"/>
        </w:rPr>
        <w:t xml:space="preserve">服务器端应能生成唯一的 </w:t>
      </w:r>
      <w:r>
        <w:rPr>
          <w:rStyle w:val="11"/>
          <w:rFonts w:hint="eastAsia" w:ascii="微软雅黑" w:hAnsi="微软雅黑" w:eastAsia="微软雅黑" w:cs="微软雅黑"/>
          <w:color w:val="444746"/>
          <w:sz w:val="24"/>
          <w:szCs w:val="24"/>
          <w:bdr w:val="none" w:color="444746" w:sz="0" w:space="0"/>
        </w:rPr>
        <w:t>nonce</w:t>
      </w:r>
      <w:r>
        <w:rPr>
          <w:rFonts w:hint="eastAsia" w:ascii="微软雅黑" w:hAnsi="微软雅黑" w:eastAsia="微软雅黑" w:cs="微软雅黑"/>
          <w:color w:val="1B1C1D"/>
          <w:sz w:val="24"/>
          <w:szCs w:val="24"/>
          <w:bdr w:val="none" w:color="auto" w:sz="0" w:space="0"/>
        </w:rPr>
        <w:t xml:space="preserve">、准确的 </w:t>
      </w:r>
      <w:r>
        <w:rPr>
          <w:rStyle w:val="11"/>
          <w:rFonts w:hint="eastAsia" w:ascii="微软雅黑" w:hAnsi="微软雅黑" w:eastAsia="微软雅黑" w:cs="微软雅黑"/>
          <w:color w:val="444746"/>
          <w:sz w:val="24"/>
          <w:szCs w:val="24"/>
          <w:bdr w:val="none" w:color="444746" w:sz="0" w:space="0"/>
        </w:rPr>
        <w:t>amount</w:t>
      </w:r>
      <w:r>
        <w:rPr>
          <w:rFonts w:hint="eastAsia" w:ascii="微软雅黑" w:hAnsi="微软雅黑" w:eastAsia="微软雅黑" w:cs="微软雅黑"/>
          <w:color w:val="1B1C1D"/>
          <w:sz w:val="24"/>
          <w:szCs w:val="24"/>
          <w:bdr w:val="none" w:color="auto" w:sz="0" w:space="0"/>
        </w:rPr>
        <w:t xml:space="preserve"> 和合理的 </w:t>
      </w:r>
      <w:r>
        <w:rPr>
          <w:rStyle w:val="11"/>
          <w:rFonts w:hint="eastAsia" w:ascii="微软雅黑" w:hAnsi="微软雅黑" w:eastAsia="微软雅黑" w:cs="微软雅黑"/>
          <w:color w:val="444746"/>
          <w:sz w:val="24"/>
          <w:szCs w:val="24"/>
          <w:bdr w:val="none" w:color="444746" w:sz="0" w:space="0"/>
        </w:rPr>
        <w:t>expiry</w:t>
      </w:r>
      <w:r>
        <w:rPr>
          <w:rFonts w:hint="eastAsia" w:ascii="微软雅黑" w:hAnsi="微软雅黑" w:eastAsia="微软雅黑" w:cs="微软雅黑"/>
          <w:color w:val="1B1C1D"/>
          <w:sz w:val="24"/>
          <w:szCs w:val="24"/>
          <w:bdr w:val="none" w:color="auto" w:sz="0" w:space="0"/>
        </w:rPr>
        <w:t xml:space="preserve"> 时间，以构造安全的 </w:t>
      </w:r>
      <w:r>
        <w:rPr>
          <w:rStyle w:val="11"/>
          <w:rFonts w:hint="eastAsia" w:ascii="微软雅黑" w:hAnsi="微软雅黑" w:eastAsia="微软雅黑" w:cs="微软雅黑"/>
          <w:color w:val="444746"/>
          <w:sz w:val="24"/>
          <w:szCs w:val="24"/>
          <w:bdr w:val="none" w:color="444746" w:sz="0" w:space="0"/>
        </w:rPr>
        <w:t>Challenge</w:t>
      </w:r>
      <w:r>
        <w:rPr>
          <w:rFonts w:hint="eastAsia" w:ascii="微软雅黑" w:hAnsi="微软雅黑" w:eastAsia="微软雅黑" w:cs="微软雅黑"/>
          <w:color w:val="1B1C1D"/>
          <w:sz w:val="24"/>
          <w:szCs w:val="24"/>
          <w:bdr w:val="none" w:color="auto" w:sz="0" w:space="0"/>
        </w:rPr>
        <w:t xml:space="preserve"> 字符串。</w:t>
      </w:r>
    </w:p>
    <w:tbl>
      <w:tblPr>
        <w:tblW w:w="0" w:type="auto"/>
        <w:tblCellSpacing w:w="15" w:type="dxa"/>
        <w:tblInd w:w="15" w:type="dxa"/>
        <w:tblBorders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80"/>
        <w:gridCol w:w="1521"/>
        <w:gridCol w:w="4755"/>
      </w:tblGrid>
      <w:tr w14:paraId="0FB80CF9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1507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参数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9FEBF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E4D7C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0"/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1B1C1D" w:sz="0" w:space="0"/>
                <w:lang w:val="en-US" w:eastAsia="zh-CN" w:bidi="ar"/>
              </w:rPr>
              <w:t>描述</w:t>
            </w:r>
          </w:p>
        </w:tc>
      </w:tr>
      <w:tr w14:paraId="096395A3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CB0A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amount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DE9D5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UINT256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8B62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所需支付的代币最小单位数量。</w:t>
            </w:r>
          </w:p>
        </w:tc>
      </w:tr>
      <w:tr w14:paraId="52615B3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B55D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nonce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58AE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UINT256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226B7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支付授权的唯一标识符，防止重放攻击。</w:t>
            </w:r>
          </w:p>
        </w:tc>
      </w:tr>
      <w:tr w14:paraId="00B9E8E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B88F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expiry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3C0FA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UINT256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FA7A2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签名授权的有效时间戳。</w:t>
            </w:r>
          </w:p>
        </w:tc>
      </w:tr>
      <w:tr w14:paraId="4ABA88CF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0CF1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signer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3481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42F8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预期支付方的地址。</w:t>
            </w:r>
          </w:p>
        </w:tc>
      </w:tr>
      <w:tr w14:paraId="7E246DAC">
        <w:tblPrEx>
          <w:tblBorders>
            <w:top w:val="none" w:color="1B1C1D" w:sz="0" w:space="0"/>
            <w:left w:val="none" w:color="1B1C1D" w:sz="0" w:space="0"/>
            <w:bottom w:val="none" w:color="1B1C1D" w:sz="0" w:space="0"/>
            <w:right w:val="none" w:color="1B1C1D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ED1E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contract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DD46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Style w:val="11"/>
                <w:rFonts w:hint="eastAsia" w:ascii="微软雅黑" w:hAnsi="微软雅黑" w:eastAsia="微软雅黑" w:cs="微软雅黑"/>
                <w:color w:val="444746"/>
                <w:kern w:val="0"/>
                <w:sz w:val="24"/>
                <w:szCs w:val="24"/>
                <w:bdr w:val="none" w:color="444746" w:sz="0" w:space="0"/>
                <w:lang w:val="en-US" w:eastAsia="zh-CN" w:bidi="ar"/>
              </w:rPr>
              <w:t>ADDRESS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37EC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7" w:lineRule="atLeast"/>
              <w:ind w:left="0" w:right="0"/>
              <w:jc w:val="left"/>
              <w:rPr>
                <w:rFonts w:hint="eastAsia" w:ascii="微软雅黑" w:hAnsi="微软雅黑" w:eastAsia="微软雅黑" w:cs="微软雅黑"/>
                <w:color w:val="1B1C1D"/>
              </w:rPr>
            </w:pPr>
            <w:r>
              <w:rPr>
                <w:rFonts w:hint="eastAsia" w:ascii="微软雅黑" w:hAnsi="微软雅黑" w:eastAsia="微软雅黑" w:cs="微软雅黑"/>
                <w:color w:val="1B1C1D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代币合约地址。</w:t>
            </w:r>
          </w:p>
        </w:tc>
      </w:tr>
    </w:tbl>
    <w:p w14:paraId="72DB1D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120" w:afterAutospacing="0" w:line="17" w:lineRule="atLeast"/>
        <w:ind w:left="0" w:right="0"/>
        <w:rPr>
          <w:rFonts w:hint="eastAsia" w:ascii="微软雅黑" w:hAnsi="微软雅黑" w:eastAsia="微软雅黑" w:cs="微软雅黑"/>
          <w:color w:val="808080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pict>
          <v:rect id="_x0000_i1028" o:spt="1" style="height:1.5pt;width:432pt;" fillcolor="#808080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950AF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这份大纲涵盖了 x402 的功能、技术原理（HTTP 402 和 EIP-3009）以及客户端和服务器端的基本开发流程，您可以轻松地将其转换成一份专业的 Word 文档。</w:t>
      </w:r>
    </w:p>
    <w:p w14:paraId="495B6364">
      <w:pPr>
        <w:pStyle w:val="7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240" w:afterAutospacing="0" w:line="17" w:lineRule="atLeast"/>
        <w:ind w:left="0" w:right="0"/>
        <w:rPr>
          <w:rFonts w:hint="eastAsia" w:ascii="微软雅黑" w:hAnsi="微软雅黑" w:eastAsia="微软雅黑" w:cs="微软雅黑"/>
          <w:color w:val="1B1C1D"/>
        </w:rPr>
      </w:pP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您希望我对其中哪个部分（例如 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EIP-3009 的签名细节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 xml:space="preserve">或 </w:t>
      </w:r>
      <w:r>
        <w:rPr>
          <w:rFonts w:hint="eastAsia" w:ascii="微软雅黑" w:hAnsi="微软雅黑" w:eastAsia="微软雅黑" w:cs="微软雅黑"/>
          <w:b/>
          <w:bCs/>
          <w:color w:val="1B1C1D"/>
          <w:bdr w:val="none" w:color="1B1C1D" w:sz="0" w:space="0"/>
        </w:rPr>
        <w:t>x402x 的批量结算机制</w:t>
      </w:r>
      <w:r>
        <w:rPr>
          <w:rFonts w:hint="eastAsia" w:ascii="微软雅黑" w:hAnsi="微软雅黑" w:eastAsia="微软雅黑" w:cs="微软雅黑"/>
          <w:color w:val="1B1C1D"/>
          <w:bdr w:val="none" w:color="auto" w:sz="0" w:space="0"/>
        </w:rPr>
        <w:t>）进行更深入的拓展和细化吗？</w:t>
      </w:r>
    </w:p>
    <w:p w14:paraId="7640D2E0">
      <w:pPr>
        <w:rPr>
          <w:rFonts w:hint="eastAsia" w:ascii="微软雅黑" w:hAnsi="微软雅黑" w:eastAsia="微软雅黑" w:cs="微软雅黑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Helsinki Metronome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sinki Metronome Std">
    <w:panose1 w:val="02000400000000000000"/>
    <w:charset w:val="00"/>
    <w:family w:val="auto"/>
    <w:pitch w:val="default"/>
    <w:sig w:usb0="00000003" w:usb1="00000000" w:usb2="00000000" w:usb3="00000000" w:csb0="2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68AD89"/>
    <w:multiLevelType w:val="multilevel"/>
    <w:tmpl w:val="8268AD8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6CF012"/>
    <w:multiLevelType w:val="multilevel"/>
    <w:tmpl w:val="A66CF0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328484A"/>
    <w:multiLevelType w:val="multilevel"/>
    <w:tmpl w:val="B32848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0B9C3B"/>
    <w:multiLevelType w:val="multilevel"/>
    <w:tmpl w:val="030B9C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CE19911"/>
    <w:multiLevelType w:val="multilevel"/>
    <w:tmpl w:val="4CE199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C4C9948"/>
    <w:multiLevelType w:val="multilevel"/>
    <w:tmpl w:val="7C4C99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E7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2025-11-11T18:38:56Z</dcterms:created>
  <dc:creator>admin</dc:creator>
  <cp:lastModifiedBy>WPS_1678367661</cp:lastModifiedBy>
  <dcterms:modified xsi:type="dcterms:W3CDTF">2025-11-11T18:39:04Z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eyJoZGlkIjoiNTY3MGJhNGQ3MWQ1NDkzZjZlNWFlZGI0Yjk4NmYxZTQiLCJ1c2VySWQiOiIxNDc5NDkwNTQ1In0=</vt:lpwstr>
  </property>
  <property fmtid="{D5CDD505-2E9C-101B-9397-08002B2CF9AE}" pid="4" name="ICV">
    <vt:lpwstr>886A57F556EA41BA80C13C3070198B58_12</vt:lpwstr>
  </property>
</Properties>
</file>