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tocol-bank-项目需求文档-prd"/>
      <w:r>
        <w:rPr>
          <w:b/>
        </w:rPr>
        <w:t xml:space="preserve">Protocol Bank 项目需求文档 (PRD)</w:t>
      </w:r>
      <w:bookmarkEnd w:id="20"/>
    </w:p>
    <w:p>
      <w:pPr>
        <w:pStyle w:val="FirstParagraph"/>
      </w:pPr>
      <w:r>
        <w:rPr>
          <w:b/>
        </w:rPr>
        <w:t xml:space="preserve">版本: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日期:</w:t>
      </w:r>
      <w:r>
        <w:t xml:space="preserve"> </w:t>
      </w:r>
      <w:r>
        <w:t xml:space="preserve">2025年11月11日</w:t>
      </w:r>
      <w:r>
        <w:t xml:space="preserve"> </w:t>
      </w:r>
      <w:r>
        <w:rPr>
          <w:b/>
        </w:rPr>
        <w:t xml:space="preserve">作者:</w:t>
      </w:r>
      <w:r>
        <w:t xml:space="preserve"> </w:t>
      </w:r>
      <w:r>
        <w:t xml:space="preserve">Manus AI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项目概述"/>
      <w:r>
        <w:t xml:space="preserve">1.</w:t>
      </w:r>
      <w:r>
        <w:t xml:space="preserve"> </w:t>
      </w:r>
      <w:r>
        <w:rPr>
          <w:b/>
        </w:rPr>
        <w:t xml:space="preserve">项目概述</w:t>
      </w:r>
      <w:bookmarkEnd w:id="21"/>
    </w:p>
    <w:p>
      <w:pPr>
        <w:pStyle w:val="Heading3"/>
      </w:pPr>
      <w:bookmarkStart w:id="22" w:name="项目简介"/>
      <w:r>
        <w:t xml:space="preserve">1.1.</w:t>
      </w:r>
      <w:r>
        <w:t xml:space="preserve"> </w:t>
      </w:r>
      <w:r>
        <w:rPr>
          <w:b/>
        </w:rPr>
        <w:t xml:space="preserve">项目简介</w:t>
      </w:r>
      <w:bookmarkEnd w:id="22"/>
    </w:p>
    <w:p>
      <w:pPr>
        <w:pStyle w:val="FirstParagraph"/>
      </w:pPr>
      <w:r>
        <w:t xml:space="preserve">Protocol Bank 是一个基于区块链的去中心化跨境支付平台，旨在替代传统的SWIFT系统，为全球用户提供更快速、更低成本、更透明的支付解决方案。平台利用智能合约技术，支持实时流式支付、批量支付、定时支付和智能合约托管等高级功能，并通过可视化的仪表盘和分析工具，帮助企业和个人用户管理其财务活动。</w:t>
      </w:r>
    </w:p>
    <w:p>
      <w:pPr>
        <w:pStyle w:val="Heading3"/>
      </w:pPr>
      <w:bookmarkStart w:id="23" w:name="项目目标"/>
      <w:r>
        <w:t xml:space="preserve">1.2.</w:t>
      </w:r>
      <w:r>
        <w:t xml:space="preserve"> </w:t>
      </w:r>
      <w:r>
        <w:rPr>
          <w:b/>
        </w:rPr>
        <w:t xml:space="preserve">项目目标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降低跨境支付成本:</w:t>
      </w:r>
      <w:r>
        <w:t xml:space="preserve"> </w:t>
      </w:r>
      <w:r>
        <w:t xml:space="preserve">通过去中心化网络和净额结算引擎，将交易费用降低99%以上。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提高支付速度:</w:t>
      </w:r>
      <w:r>
        <w:t xml:space="preserve"> </w:t>
      </w:r>
      <w:r>
        <w:t xml:space="preserve">实现近乎实时的全球资金流转，替代传统银行系统的多日结算周期。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增强透明度和安全性:</w:t>
      </w:r>
      <w:r>
        <w:t xml:space="preserve"> </w:t>
      </w:r>
      <w:r>
        <w:t xml:space="preserve">所有交易记录在区块链上，不可篡改，并通过智能合约确保资金安全。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提供灵活的支付解决方案:</w:t>
      </w:r>
      <w:r>
        <w:t xml:space="preserve"> </w:t>
      </w:r>
      <w:r>
        <w:t xml:space="preserve">满足SaaS订阅、自由职业者薪酬、供应链金融等多种商业场景的需求。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构建可扩展的金融生态:</w:t>
      </w:r>
      <w:r>
        <w:t xml:space="preserve"> </w:t>
      </w:r>
      <w:r>
        <w:t xml:space="preserve">引入AI代理市场、DeFi集成等功能，打造一个开放的、可编程的金融平台。</w:t>
      </w:r>
    </w:p>
    <w:p>
      <w:pPr>
        <w:pStyle w:val="Heading3"/>
      </w:pPr>
      <w:bookmarkStart w:id="24" w:name="目标用户"/>
      <w:r>
        <w:t xml:space="preserve">1.3.</w:t>
      </w:r>
      <w:r>
        <w:t xml:space="preserve"> </w:t>
      </w:r>
      <w:r>
        <w:rPr>
          <w:b/>
        </w:rPr>
        <w:t xml:space="preserve">目标用户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跨国企业:</w:t>
      </w:r>
      <w:r>
        <w:t xml:space="preserve"> </w:t>
      </w:r>
      <w:r>
        <w:t xml:space="preserve">需要高效、低成本的全球资金管理和供应链支付解决方案的公司。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SaaS和订阅服务提供商:</w:t>
      </w:r>
      <w:r>
        <w:t xml:space="preserve"> </w:t>
      </w:r>
      <w:r>
        <w:t xml:space="preserve">需要处理大量、高频订阅费用的企业。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自由职业者和远程工作者:</w:t>
      </w:r>
      <w:r>
        <w:t xml:space="preserve"> </w:t>
      </w:r>
      <w:r>
        <w:t xml:space="preserve">需要接收来自全球雇主的即时付款的个人。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金融机构和开发者:</w:t>
      </w:r>
      <w:r>
        <w:t xml:space="preserve"> </w:t>
      </w:r>
      <w:r>
        <w:t xml:space="preserve">希望在平台上构建创新金融应用和服务的合作伙伴。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核心功能需求"/>
      <w:r>
        <w:t xml:space="preserve">2.</w:t>
      </w:r>
      <w:r>
        <w:t xml:space="preserve"> </w:t>
      </w:r>
      <w:r>
        <w:rPr>
          <w:b/>
        </w:rPr>
        <w:t xml:space="preserve">核心功能需求</w:t>
      </w:r>
      <w:bookmarkEnd w:id="25"/>
    </w:p>
    <w:p>
      <w:pPr>
        <w:pStyle w:val="Heading3"/>
      </w:pPr>
      <w:bookmarkStart w:id="26" w:name="支付功能"/>
      <w:r>
        <w:t xml:space="preserve">2.1.</w:t>
      </w:r>
      <w:r>
        <w:t xml:space="preserve"> </w:t>
      </w:r>
      <w:r>
        <w:rPr>
          <w:b/>
        </w:rPr>
        <w:t xml:space="preserve">支付功能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核心需求描述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常规支付</w:t>
            </w:r>
          </w:p>
        </w:tc>
        <w:tc>
          <w:p>
            <w:pPr>
              <w:pStyle w:val="Compact"/>
              <w:jc w:val="left"/>
            </w:pPr>
            <w:r>
              <w:t xml:space="preserve">支持用户通过连接的加密钱包(如MetaMask)或平台托管钱包进行单次即时支付。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流式支付 (Stream Payment)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实时资金流:</w:t>
            </w:r>
            <w:r>
              <w:t xml:space="preserve"> </w:t>
            </w:r>
            <w:r>
              <w:t xml:space="preserve">支持按秒计费的连续支付流，资金实时从付款方转移到收款方。</w:t>
            </w: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批量创建:</w:t>
            </w:r>
            <w:r>
              <w:t xml:space="preserve"> </w:t>
            </w:r>
            <w:r>
              <w:t xml:space="preserve">支持通过CSV文件导入，一次性创建多个支付流。</w:t>
            </w: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仪表盘:</w:t>
            </w:r>
            <w:r>
              <w:t xml:space="preserve"> </w:t>
            </w:r>
            <w:r>
              <w:t xml:space="preserve">提供统计卡片(总支付额、供应商数量等)、支付网络关系图、交易历史和趋势图表。</w:t>
            </w: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支付网络可视化:</w:t>
            </w:r>
            <w:r>
              <w:t xml:space="preserve"> </w:t>
            </w:r>
            <w:r>
              <w:t xml:space="preserve">实时、交互式地展示支付关系网络。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批量支付 (Batch Payment)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多笔交易:</w:t>
            </w:r>
            <w:r>
              <w:t xml:space="preserve"> </w:t>
            </w:r>
            <w:r>
              <w:t xml:space="preserve">允许用户上传CSV文件，一次性处理对多个地址的支付。</w:t>
            </w: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降低Gas费:</w:t>
            </w:r>
            <w:r>
              <w:t xml:space="preserve"> </w:t>
            </w:r>
            <w:r>
              <w:t xml:space="preserve">通过智能合约优化，将多笔交易打包在一个区块链事务中，显著降低Gas成本。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定时支付 (Scheduled Payment)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自动化支付:</w:t>
            </w:r>
            <w:r>
              <w:t xml:space="preserve"> </w:t>
            </w:r>
            <w:r>
              <w:t xml:space="preserve">用户可以设置在未来的特定时间或按固定周期(每日、每周、每月)自动执行的支付。</w:t>
            </w: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可视化流程构建:</w:t>
            </w:r>
            <w:r>
              <w:t xml:space="preserve"> </w:t>
            </w:r>
            <w:r>
              <w:t xml:space="preserve">提供拖放式界面，让用户可以设计复杂的、有条件的支付逻辑。</w:t>
            </w:r>
          </w:p>
        </w:tc>
      </w:tr>
    </w:tbl>
    <w:p>
      <w:pPr>
        <w:pStyle w:val="Heading3"/>
      </w:pPr>
      <w:bookmarkStart w:id="27" w:name="stream-payment-详细需求"/>
      <w:r>
        <w:t xml:space="preserve">2.2.</w:t>
      </w:r>
      <w:r>
        <w:t xml:space="preserve"> </w:t>
      </w:r>
      <w:r>
        <w:rPr>
          <w:b/>
        </w:rPr>
        <w:t xml:space="preserve">Stream Payment 详细需求</w:t>
      </w:r>
      <w:bookmarkEnd w:id="27"/>
    </w:p>
    <w:p>
      <w:pPr>
        <w:pStyle w:val="Heading4"/>
      </w:pPr>
      <w:bookmarkStart w:id="28" w:name="仪表盘-dashboard"/>
      <w:r>
        <w:t xml:space="preserve">2.2.1.</w:t>
      </w:r>
      <w:r>
        <w:t xml:space="preserve"> </w:t>
      </w:r>
      <w:r>
        <w:rPr>
          <w:b/>
        </w:rPr>
        <w:t xml:space="preserve">仪表盘 (Dashboard)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统计卡片: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总支付额 (Total Amount):</w:t>
      </w:r>
      <w:r>
        <w:t xml:space="preserve"> </w:t>
      </w:r>
      <w:r>
        <w:t xml:space="preserve">当前用户所有有效支付流的总金额。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供应商/收款人数量 (Suppliers):</w:t>
      </w:r>
      <w:r>
        <w:t xml:space="preserve"> </w:t>
      </w:r>
      <w:r>
        <w:t xml:space="preserve">当前用户支付流涉及的独立收款人总数。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总支付流数量 (Total Payments):</w:t>
      </w:r>
      <w:r>
        <w:t xml:space="preserve"> </w:t>
      </w:r>
      <w:r>
        <w:t xml:space="preserve">当前用户创建的有效支付流总数。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平均支付额 (Average Payment):</w:t>
      </w:r>
      <w:r>
        <w:t xml:space="preserve"> </w:t>
      </w:r>
      <w:r>
        <w:t xml:space="preserve">平均每个支付流的金额。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支付网络关系图 (Payment Network):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节点定义:</w:t>
      </w:r>
    </w:p>
    <w:p>
      <w:pPr>
        <w:numPr>
          <w:ilvl w:val="2"/>
          <w:numId w:val="1006"/>
        </w:numPr>
        <w:pStyle w:val="Compact"/>
      </w:pPr>
      <w:r>
        <w:rPr>
          <w:b/>
        </w:rPr>
        <w:t xml:space="preserve">主节点 (中心):</w:t>
      </w:r>
      <w:r>
        <w:t xml:space="preserve"> </w:t>
      </w:r>
      <w:r>
        <w:t xml:space="preserve">代表当前用户或其公司总部。</w:t>
      </w:r>
    </w:p>
    <w:p>
      <w:pPr>
        <w:numPr>
          <w:ilvl w:val="2"/>
          <w:numId w:val="1006"/>
        </w:numPr>
        <w:pStyle w:val="Compact"/>
      </w:pPr>
      <w:r>
        <w:rPr>
          <w:b/>
        </w:rPr>
        <w:t xml:space="preserve">二级节点:</w:t>
      </w:r>
      <w:r>
        <w:t xml:space="preserve"> </w:t>
      </w:r>
      <w:r>
        <w:t xml:space="preserve">代表用户的分公司或主要业务部门。</w:t>
      </w:r>
    </w:p>
    <w:p>
      <w:pPr>
        <w:numPr>
          <w:ilvl w:val="2"/>
          <w:numId w:val="1006"/>
        </w:numPr>
        <w:pStyle w:val="Compact"/>
      </w:pPr>
      <w:r>
        <w:rPr>
          <w:b/>
        </w:rPr>
        <w:t xml:space="preserve">绿色叶节点:</w:t>
      </w:r>
      <w:r>
        <w:t xml:space="preserve"> </w:t>
      </w:r>
      <w:r>
        <w:t xml:space="preserve">代表供应商、客户或最终收款人。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节点状态与颜色:</w:t>
      </w:r>
    </w:p>
    <w:p>
      <w:pPr>
        <w:numPr>
          <w:ilvl w:val="2"/>
          <w:numId w:val="1007"/>
        </w:numPr>
        <w:pStyle w:val="Compact"/>
      </w:pPr>
      <w:r>
        <w:rPr>
          <w:b/>
        </w:rPr>
        <w:t xml:space="preserve">绿色:</w:t>
      </w:r>
      <w:r>
        <w:t xml:space="preserve"> </w:t>
      </w:r>
      <w:r>
        <w:t xml:space="preserve">支付流活跃且支付成功。</w:t>
      </w:r>
    </w:p>
    <w:p>
      <w:pPr>
        <w:numPr>
          <w:ilvl w:val="2"/>
          <w:numId w:val="1007"/>
        </w:numPr>
        <w:pStyle w:val="Compact"/>
      </w:pPr>
      <w:r>
        <w:rPr>
          <w:b/>
        </w:rPr>
        <w:t xml:space="preserve">红色:</w:t>
      </w:r>
      <w:r>
        <w:t xml:space="preserve"> </w:t>
      </w:r>
      <w:r>
        <w:t xml:space="preserve">支付失败或被取消。</w:t>
      </w:r>
    </w:p>
    <w:p>
      <w:pPr>
        <w:numPr>
          <w:ilvl w:val="2"/>
          <w:numId w:val="1007"/>
        </w:numPr>
        <w:pStyle w:val="Compact"/>
      </w:pPr>
      <w:r>
        <w:rPr>
          <w:b/>
        </w:rPr>
        <w:t xml:space="preserve">灰色:</w:t>
      </w:r>
      <w:r>
        <w:t xml:space="preserve"> </w:t>
      </w:r>
      <w:r>
        <w:t xml:space="preserve">支付流已停止或完成。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连接线与交互:</w:t>
      </w:r>
    </w:p>
    <w:p>
      <w:pPr>
        <w:numPr>
          <w:ilvl w:val="2"/>
          <w:numId w:val="1008"/>
        </w:numPr>
        <w:pStyle w:val="Compact"/>
      </w:pPr>
      <w:r>
        <w:rPr>
          <w:b/>
        </w:rPr>
        <w:t xml:space="preserve">橙色圆点:</w:t>
      </w:r>
      <w:r>
        <w:t xml:space="preserve"> </w:t>
      </w:r>
      <w:r>
        <w:t xml:space="preserve">代表每一笔具体的交易，沿连接线流动。</w:t>
      </w:r>
    </w:p>
    <w:p>
      <w:pPr>
        <w:numPr>
          <w:ilvl w:val="2"/>
          <w:numId w:val="1008"/>
        </w:numPr>
        <w:pStyle w:val="Compact"/>
      </w:pPr>
      <w:r>
        <w:rPr>
          <w:b/>
        </w:rPr>
        <w:t xml:space="preserve">交互:</w:t>
      </w:r>
      <w:r>
        <w:t xml:space="preserve"> </w:t>
      </w:r>
      <w:r>
        <w:t xml:space="preserve">用户可以拖动、缩放图表，点击节点查看详细信息(如收款人地址、总金额、状态)。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数据来源:</w:t>
      </w:r>
      <w:r>
        <w:t xml:space="preserve"> </w:t>
      </w:r>
      <w:r>
        <w:t xml:space="preserve">实时更新，从未登录时的测试动画数据，到登录后从用户加密钱包地址关联的Etherscan等区块链浏览器调取的真实交易数据。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交易历史列表 (Payment Transactions):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布局:</w:t>
      </w:r>
      <w:r>
        <w:t xml:space="preserve"> </w:t>
      </w:r>
      <w:r>
        <w:t xml:space="preserve">位于支付网络关系图下方。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内容:</w:t>
      </w:r>
      <w:r>
        <w:t xml:space="preserve"> </w:t>
      </w:r>
      <w:r>
        <w:t xml:space="preserve">显示详细的交易列表，包括日期、供应商/收款人、类别、金额、状态和交易哈希(TX HASH)。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筛选与分类:</w:t>
      </w:r>
      <w:r>
        <w:t xml:space="preserve"> </w:t>
      </w:r>
      <w:r>
        <w:t xml:space="preserve">支持按日期范围筛选，并按预设的类别(如AI服务、市场营销、原材料等)对交易进行分类过滤。</w:t>
      </w:r>
    </w:p>
    <w:p>
      <w:pPr>
        <w:pStyle w:val="Heading4"/>
      </w:pPr>
      <w:bookmarkStart w:id="29" w:name="创建与管理"/>
      <w:r>
        <w:t xml:space="preserve">2.2.2.</w:t>
      </w:r>
      <w:r>
        <w:t xml:space="preserve"> </w:t>
      </w:r>
      <w:r>
        <w:rPr>
          <w:b/>
        </w:rPr>
        <w:t xml:space="preserve">创建与管理</w:t>
      </w:r>
      <w:bookmarkEnd w:id="29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创建单个支付流:</w:t>
      </w:r>
      <w:r>
        <w:t xml:space="preserve"> </w:t>
      </w:r>
      <w:r>
        <w:t xml:space="preserve">提供表单，用户可以输入收款人地址、总金额、支付周期(开始/结束时间)等信息来创建一个支付流。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批量创建支付流: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CSV导入:</w:t>
      </w:r>
      <w:r>
        <w:t xml:space="preserve"> </w:t>
      </w:r>
      <w:r>
        <w:t xml:space="preserve">提供一个模态框(Modal)，用户可以下载CSV模板，填写收款人地址、金额等信息后上传，系统将自动为每一行记录创建一个支付流。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CSV导出:</w:t>
      </w:r>
      <w:r>
        <w:t xml:space="preserve"> </w:t>
      </w:r>
      <w:r>
        <w:t xml:space="preserve">允许用户将当前的支付流列表导出为CSV文件。</w:t>
      </w:r>
    </w:p>
    <w:p>
      <w:pPr>
        <w:pStyle w:val="Heading3"/>
      </w:pPr>
      <w:bookmarkStart w:id="30" w:name="其他核心功能"/>
      <w:r>
        <w:t xml:space="preserve">2.3.</w:t>
      </w:r>
      <w:r>
        <w:t xml:space="preserve"> </w:t>
      </w:r>
      <w:r>
        <w:rPr>
          <w:b/>
        </w:rPr>
        <w:t xml:space="preserve">其他核心功能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核心需求描述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财务分析 (Analytics)</w:t>
            </w:r>
          </w:p>
        </w:tc>
        <w:tc>
          <w:p>
            <w:pPr>
              <w:pStyle w:val="Compact"/>
              <w:jc w:val="left"/>
            </w:pPr>
            <w:r>
              <w:t xml:space="preserve">提供多维度的数据分析和可视化报表，帮助用户理解其现金流、支出分布和支付趋势。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自动化 (Automation)</w:t>
            </w:r>
          </w:p>
        </w:tc>
        <w:tc>
          <w:p>
            <w:pPr>
              <w:pStyle w:val="Compact"/>
              <w:jc w:val="left"/>
            </w:pPr>
            <w:r>
              <w:t xml:space="preserve">允许用户通过可视化流程构建器创建复杂的、基于事件触发的自动化金融工作流。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供应商管理 (Suppliers)</w:t>
            </w:r>
          </w:p>
        </w:tc>
        <w:tc>
          <w:p>
            <w:pPr>
              <w:pStyle w:val="Compact"/>
              <w:jc w:val="left"/>
            </w:pPr>
            <w:r>
              <w:t xml:space="preserve">提供一个界面来管理供应商信息，包括联系方式、支付历史和合规性状态。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用户认证 (Authentication)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钱包连接:</w:t>
            </w:r>
            <w:r>
              <w:t xml:space="preserve"> </w:t>
            </w:r>
            <w:r>
              <w:t xml:space="preserve">支持通过MetaMask等主流钱包进行连接和登录。</w:t>
            </w: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后台管理:</w:t>
            </w:r>
            <w:r>
              <w:t xml:space="preserve"> </w:t>
            </w:r>
            <w:r>
              <w:t xml:space="preserve">为银行或平台管理员提供独立的、基于用户名/密码的登录后台。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非功能性需求"/>
      <w:r>
        <w:t xml:space="preserve">3.</w:t>
      </w:r>
      <w:r>
        <w:t xml:space="preserve"> </w:t>
      </w:r>
      <w:r>
        <w:rPr>
          <w:b/>
        </w:rPr>
        <w:t xml:space="preserve">非功能性需求</w:t>
      </w:r>
      <w:bookmarkEnd w:id="3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需求描述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性能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API响应时间:</w:t>
            </w:r>
            <w:r>
              <w:t xml:space="preserve"> </w:t>
            </w:r>
            <w:r>
              <w:t xml:space="preserve">核心API的P95响应时间应小于200毫秒。</w:t>
            </w: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页面加载速度:</w:t>
            </w:r>
            <w:r>
              <w:t xml:space="preserve"> </w:t>
            </w:r>
            <w:r>
              <w:t xml:space="preserve">关键页面(如Dashboard)的首次内容绘制(FCP)时间应小于2秒。</w:t>
            </w: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并发处理:</w:t>
            </w:r>
            <w:r>
              <w:t xml:space="preserve"> </w:t>
            </w:r>
            <w:r>
              <w:t xml:space="preserve">系统应能支持至少1000个并发用户同时在线操作。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安全性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智能合约:</w:t>
            </w:r>
            <w:r>
              <w:t xml:space="preserve"> </w:t>
            </w:r>
            <w:r>
              <w:t xml:space="preserve">所有智能合约必须经过第三方专业机构的审计。</w:t>
            </w: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数据传输:</w:t>
            </w:r>
            <w:r>
              <w:t xml:space="preserve"> </w:t>
            </w:r>
            <w:r>
              <w:t xml:space="preserve">所有前后端通信必须使用HTTPS/WSS加密。</w:t>
            </w: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API防护:</w:t>
            </w:r>
            <w:r>
              <w:t xml:space="preserve"> </w:t>
            </w:r>
            <w:r>
              <w:t xml:space="preserve">API需具备认证授权、速率限制、防SQL注入、防XSS/CSRF等基础安全措施。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可用性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响应式设计:</w:t>
            </w:r>
            <w:r>
              <w:t xml:space="preserve"> </w:t>
            </w:r>
            <w:r>
              <w:t xml:space="preserve">平台必须在桌面和主流移动设备上提供良好的用户体验。</w:t>
            </w: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国际化:</w:t>
            </w:r>
            <w:r>
              <w:t xml:space="preserve"> </w:t>
            </w:r>
            <w:r>
              <w:t xml:space="preserve">界面文本支持多语言切换(至少支持英文和中文)。</w:t>
            </w: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容错性:</w:t>
            </w:r>
            <w:r>
              <w:t xml:space="preserve"> </w:t>
            </w:r>
            <w:r>
              <w:t xml:space="preserve">系统应具备优雅的错误处理和恢复机制，对用户操作提供清晰的反馈。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可扩展性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模块化架构:</w:t>
            </w:r>
            <w:r>
              <w:t xml:space="preserve"> </w:t>
            </w:r>
            <w:r>
              <w:t xml:space="preserve">前后端应采用模块化设计，便于未来独立开发和部署新功能。</w:t>
            </w:r>
            <w:r>
              <w:t xml:space="preserve">-</w:t>
            </w:r>
            <w:r>
              <w:t xml:space="preserve"> </w:t>
            </w:r>
            <w:r>
              <w:rPr>
                <w:b/>
              </w:rPr>
              <w:t xml:space="preserve">多链支持:</w:t>
            </w:r>
            <w:r>
              <w:t xml:space="preserve"> </w:t>
            </w:r>
            <w:r>
              <w:t xml:space="preserve">架构设计应考虑未来扩展到其他主流区块链网络(如Polygon, Solana等)。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项目范围"/>
      <w:r>
        <w:t xml:space="preserve">4.</w:t>
      </w:r>
      <w:r>
        <w:t xml:space="preserve"> </w:t>
      </w:r>
      <w:r>
        <w:rPr>
          <w:b/>
        </w:rPr>
        <w:t xml:space="preserve">项目范围</w:t>
      </w:r>
      <w:bookmarkEnd w:id="32"/>
    </w:p>
    <w:p>
      <w:pPr>
        <w:pStyle w:val="Heading3"/>
      </w:pPr>
      <w:bookmarkStart w:id="33" w:name="范围内-in-scope"/>
      <w:r>
        <w:t xml:space="preserve">4.1.</w:t>
      </w:r>
      <w:r>
        <w:t xml:space="preserve"> </w:t>
      </w:r>
      <w:r>
        <w:rPr>
          <w:b/>
        </w:rPr>
        <w:t xml:space="preserve">范围内 (In Scope)</w:t>
      </w:r>
      <w:bookmarkEnd w:id="33"/>
    </w:p>
    <w:p>
      <w:pPr>
        <w:numPr>
          <w:ilvl w:val="0"/>
          <w:numId w:val="1012"/>
        </w:numPr>
        <w:pStyle w:val="Compact"/>
      </w:pPr>
      <w:r>
        <w:t xml:space="preserve">本文档中定义的所有核心功能和非功能性需求。</w:t>
      </w:r>
    </w:p>
    <w:p>
      <w:pPr>
        <w:numPr>
          <w:ilvl w:val="0"/>
          <w:numId w:val="1012"/>
        </w:numPr>
        <w:pStyle w:val="Compact"/>
      </w:pPr>
      <w:r>
        <w:t xml:space="preserve">前端用户界面、后端API和相关智能合约的开发、测试与部署。</w:t>
      </w:r>
    </w:p>
    <w:p>
      <w:pPr>
        <w:numPr>
          <w:ilvl w:val="0"/>
          <w:numId w:val="1012"/>
        </w:numPr>
        <w:pStyle w:val="Compact"/>
      </w:pPr>
      <w:r>
        <w:t xml:space="preserve">在Sepolia测试网上进行完整的端到端测试。</w:t>
      </w:r>
    </w:p>
    <w:p>
      <w:pPr>
        <w:numPr>
          <w:ilvl w:val="0"/>
          <w:numId w:val="1012"/>
        </w:numPr>
        <w:pStyle w:val="Compact"/>
      </w:pPr>
      <w:r>
        <w:t xml:space="preserve">将所有代码变更同步到指定的GitHub仓库。</w:t>
      </w:r>
    </w:p>
    <w:p>
      <w:pPr>
        <w:pStyle w:val="Heading3"/>
      </w:pPr>
      <w:bookmarkStart w:id="34" w:name="范围外-out-of-scope"/>
      <w:r>
        <w:t xml:space="preserve">4.2.</w:t>
      </w:r>
      <w:r>
        <w:t xml:space="preserve"> </w:t>
      </w:r>
      <w:r>
        <w:rPr>
          <w:b/>
        </w:rPr>
        <w:t xml:space="preserve">范围外 (Out of Scope)</w:t>
      </w:r>
      <w:bookmarkEnd w:id="34"/>
    </w:p>
    <w:p>
      <w:pPr>
        <w:numPr>
          <w:ilvl w:val="0"/>
          <w:numId w:val="1013"/>
        </w:numPr>
        <w:pStyle w:val="Compact"/>
      </w:pPr>
      <w:r>
        <w:t xml:space="preserve">原生移动应用(iOS/Android)的开发。</w:t>
      </w:r>
    </w:p>
    <w:p>
      <w:pPr>
        <w:numPr>
          <w:ilvl w:val="0"/>
          <w:numId w:val="1013"/>
        </w:numPr>
        <w:pStyle w:val="Compact"/>
      </w:pPr>
      <w:r>
        <w:t xml:space="preserve">除Sepolia和主网之外的其他区块链网络的直接集成。</w:t>
      </w:r>
    </w:p>
    <w:p>
      <w:pPr>
        <w:numPr>
          <w:ilvl w:val="0"/>
          <w:numId w:val="1013"/>
        </w:numPr>
        <w:pStyle w:val="Compact"/>
      </w:pPr>
      <w:r>
        <w:t xml:space="preserve">需要与传统银行系统进行法币交易的完整解决方案。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成功指标"/>
      <w:r>
        <w:t xml:space="preserve">5.</w:t>
      </w:r>
      <w:r>
        <w:t xml:space="preserve"> </w:t>
      </w:r>
      <w:r>
        <w:rPr>
          <w:b/>
        </w:rPr>
        <w:t xml:space="preserve">成功指标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用户采纳率</w:t>
            </w:r>
          </w:p>
        </w:tc>
        <w:tc>
          <w:p>
            <w:pPr>
              <w:pStyle w:val="Compact"/>
              <w:jc w:val="left"/>
            </w:pPr>
            <w:r>
              <w:t xml:space="preserve">在产品发布后3个月内，月活跃用户(MAU)达到1,000人。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交易量</w:t>
            </w:r>
          </w:p>
        </w:tc>
        <w:tc>
          <w:p>
            <w:pPr>
              <w:pStyle w:val="Compact"/>
              <w:jc w:val="left"/>
            </w:pPr>
            <w:r>
              <w:t xml:space="preserve">在产品发布后6个月内，平台日均处理交易量达到10,000笔。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Gas费用节省</w:t>
            </w:r>
          </w:p>
        </w:tc>
        <w:tc>
          <w:p>
            <w:pPr>
              <w:pStyle w:val="Compact"/>
              <w:jc w:val="left"/>
            </w:pPr>
            <w:r>
              <w:t xml:space="preserve">批量支付功能相比单笔支付，平均为用户节省80%以上的Gas费用。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系统正常运行时间</w:t>
            </w:r>
          </w:p>
        </w:tc>
        <w:tc>
          <w:p>
            <w:pPr>
              <w:pStyle w:val="Compact"/>
              <w:jc w:val="left"/>
            </w:pPr>
            <w:r>
              <w:t xml:space="preserve">核心服务(API, 网站)的月度正常运行时间达到99.9%。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2025-11-11T16:30:03Z</dcterms:created>
  <dcterms:modified xsi:type="dcterms:W3CDTF">2025-11-11T16:30:03Z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