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这是一个关键的调整。您正在将项目的范围从纯粹的去中心化声誉（Web3</w:t>
      </w:r>
      <w:r>
        <w:t xml:space="preserve"> native </w:t>
      </w:r>
      <w:r>
        <w:rPr>
          <w:rFonts w:hint="eastAsia"/>
        </w:rPr>
        <w:t xml:space="preserve">data）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到包括</w:t>
      </w:r>
      <w:r>
        <w:rPr>
          <w:rFonts w:hint="eastAsia"/>
          <w:b/>
          <w:bCs/>
        </w:rPr>
        <w:t xml:space="preserve">传统金融数据源</w:t>
      </w:r>
      <w:r>
        <w:rPr>
          <w:rFonts w:hint="eastAsia"/>
        </w:rPr>
        <w:t xml:space="preserve">（银行、社保、其他</w:t>
      </w:r>
      <w:r>
        <w:t xml:space="preserve"> </w:t>
      </w:r>
      <w:r>
        <w:rPr>
          <w:rFonts w:hint="eastAsia"/>
        </w:rPr>
        <w:t xml:space="preserve">API），以建立一个更全面的信用档案。同时，您明确了未来的目标是与像</w:t>
      </w:r>
      <w:r>
        <w:t xml:space="preserve"> </w:t>
      </w:r>
      <w:r>
        <w:rPr>
          <w:b/>
          <w:bCs/>
        </w:rPr>
        <w:t xml:space="preserve">Protocol Bank</w:t>
      </w:r>
      <w:r>
        <w:t xml:space="preserve"> </w:t>
      </w:r>
      <w:r>
        <w:rPr>
          <w:rFonts w:hint="eastAsia"/>
        </w:rPr>
        <w:t xml:space="preserve">这样的</w:t>
      </w:r>
      <w:r>
        <w:rPr>
          <w:rFonts w:hint="eastAsia"/>
          <w:b/>
          <w:bCs/>
        </w:rPr>
        <w:t xml:space="preserve">智能合约自动化贷款银行</w:t>
      </w:r>
      <w:r>
        <w:rPr>
          <w:rFonts w:hint="eastAsia"/>
        </w:rPr>
        <w:t xml:space="preserve">合作。</w:t>
      </w:r>
    </w:p>
    <w:p>
      <w:pPr>
        <w:pStyle w:val="BodyText"/>
      </w:pPr>
      <w:r>
        <w:rPr>
          <w:rFonts w:hint="eastAsia"/>
        </w:rPr>
        <w:t xml:space="preserve">这个调整要求我们重新定义产品的</w:t>
      </w:r>
      <w:r>
        <w:rPr>
          <w:rFonts w:hint="eastAsia"/>
          <w:b/>
          <w:bCs/>
        </w:rPr>
        <w:t xml:space="preserve">数据获取（Data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Ingestion）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验证层（Verification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Layer）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我将根据您的新细节，生成修改后的</w:t>
      </w:r>
      <w:r>
        <w:rPr>
          <w:rFonts w:hint="eastAsia"/>
          <w:b/>
          <w:bCs/>
        </w:rPr>
        <w:t xml:space="preserve">英文版白皮书第二部分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项目需求文档（PRD）</w:t>
      </w:r>
      <w:r>
        <w:rPr>
          <w:rFonts w:hint="eastAsia"/>
        </w:rPr>
        <w:t xml:space="preserve">的骨干。</w:t>
      </w:r>
    </w:p>
    <w:p>
      <w:r>
        <w:pict>
          <v:rect style="width:0;height:1.5pt" o:hralign="center" o:hrstd="t" o:hr="t"/>
        </w:pict>
      </w:r>
    </w:p>
    <w:bookmarkStart w:id="25" w:name="X0b24511048191ca757959c0f93b1eec3f625cee"/>
    <w:p>
      <w:pPr>
        <w:pStyle w:val="Heading2"/>
      </w:pPr>
      <w:r>
        <w:t xml:space="preserve">📄 I. Whitepaper (Part 2/4): The Solution Architecture</w:t>
      </w:r>
    </w:p>
    <w:bookmarkStart w:id="24" w:name="X30152f9ba6ad1b0b27e33ecac862ae4a4adfa14"/>
    <w:p>
      <w:pPr>
        <w:pStyle w:val="Heading3"/>
      </w:pPr>
      <w:r>
        <w:t xml:space="preserve">2. The Solution: Decentralized Anonymous Reputation</w:t>
      </w:r>
    </w:p>
    <w:bookmarkStart w:id="20" w:name="Xd1a49a7d3261a8dece35b766545741af1f15c1c"/>
    <w:p>
      <w:pPr>
        <w:pStyle w:val="Heading4"/>
      </w:pPr>
      <w:r>
        <w:t xml:space="preserve">2.1 Protocol Overview: The Hybrid DeCred Architecture</w:t>
      </w:r>
    </w:p>
    <w:p>
      <w:pPr>
        <w:pStyle w:val="FirstParagraph"/>
      </w:pPr>
      <w:r>
        <w:t xml:space="preserve">DeCred operates as a hybrid, non-custodial reputation layer designed to bridge traditional finance (TradFi) data with Web3 privacy principles. Our core innovation is establishing the</w:t>
      </w:r>
      <w:r>
        <w:t xml:space="preserve"> </w:t>
      </w:r>
      <w:r>
        <w:rPr>
          <w:b/>
          <w:bCs/>
        </w:rPr>
        <w:t xml:space="preserve">Anonymous Reputation (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rPr>
          <w:b/>
          <w:bCs/>
        </w:rPr>
        <w:t xml:space="preserve">) Score</w:t>
      </w:r>
      <w:r>
        <w:t xml:space="preserve">—a private, weighted aggregate of a user’s verified financial behaviors, regardless of the data source.</w:t>
      </w:r>
    </w:p>
    <w:p>
      <w:pPr>
        <w:pStyle w:val="BodyText"/>
      </w:pPr>
      <w:r>
        <w:t xml:space="preserve">We utilize a</w:t>
      </w:r>
      <w:r>
        <w:t xml:space="preserve"> </w:t>
      </w:r>
      <w:r>
        <w:rPr>
          <w:b/>
          <w:bCs/>
        </w:rPr>
        <w:t xml:space="preserve">Data Aggregation and Verification Oracle Network</w:t>
      </w:r>
      <w:r>
        <w:t xml:space="preserve"> </w:t>
      </w:r>
      <w:r>
        <w:t xml:space="preserve">to securely ingest off-chain financial records and convert them into privacy-preserving</w:t>
      </w:r>
      <w:r>
        <w:t xml:space="preserve"> </w:t>
      </w:r>
      <w:r>
        <w:rPr>
          <w:b/>
          <w:bCs/>
        </w:rPr>
        <w:t xml:space="preserve">Verifiable Credentials (VCs)</w:t>
      </w:r>
      <w:r>
        <w:t xml:space="preserve"> </w:t>
      </w:r>
      <w:r>
        <w:t xml:space="preserve">that feed the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 algorithm.</w:t>
      </w:r>
    </w:p>
    <w:bookmarkEnd w:id="20"/>
    <w:bookmarkStart w:id="21" w:name="X587a4f9ac4497623efae9de0334773650ab9325"/>
    <w:p>
      <w:pPr>
        <w:pStyle w:val="Heading4"/>
      </w:pPr>
      <w:r>
        <w:t xml:space="preserve">2.2 Key Technologies for Privacy and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Self-Sovereign Identity (SSI):</w:t>
      </w:r>
      <w:r>
        <w:t xml:space="preserve"> </w:t>
      </w:r>
      <w:r>
        <w:t xml:space="preserve">Users connect their Web3 wallet to mint their Decentralized Identifier (DID). The user maintains absolute control over the credentials tied to this DID.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Zero-Knowledge Proofs (ZKPs):</w:t>
      </w:r>
      <w:r>
        <w:t xml:space="preserve"> </w:t>
      </w:r>
      <w:r>
        <w:t xml:space="preserve">This is the core privacy mechanism. Instead of sharing their raw bank statements or social security records, users generate cryptographic proofs to attest to certain facts (e.g.,</w:t>
      </w:r>
      <w:r>
        <w:t xml:space="preserve"> </w:t>
      </w:r>
      <w:r>
        <w:t xml:space="preserve">“My 12-month average income is over $X”</w:t>
      </w:r>
      <w:r>
        <w:t xml:space="preserve">). These proofs are the only information shared with the lending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Soulbound Tokens (SBTs):</w:t>
      </w:r>
      <w:r>
        <w:t xml:space="preserve"> </w:t>
      </w:r>
      <w:r>
        <w:t xml:space="preserve">The final, non-transferable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 is permanently recorded as an SBT, bound to the user’s DID, ensuring long-term, verifiable reputation accrual.</w:t>
      </w:r>
    </w:p>
    <w:bookmarkEnd w:id="21"/>
    <w:bookmarkStart w:id="22" w:name="the-hybrid-data-ingestion-pipeline-new"/>
    <w:p>
      <w:pPr>
        <w:pStyle w:val="Heading4"/>
      </w:pPr>
      <w:r>
        <w:t xml:space="preserve">2.3 The Hybrid Data Ingestion Pipeline (NEW)</w:t>
      </w:r>
    </w:p>
    <w:p>
      <w:pPr>
        <w:pStyle w:val="FirstParagraph"/>
      </w:pPr>
      <w:r>
        <w:t xml:space="preserve">The protocol supports four primary input streams, all mediated by an Oracle Network to ensure data authenticity before credential minting: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Bank Account Linking (Income Verification):</w:t>
      </w:r>
      <w:r>
        <w:t xml:space="preserve"> </w:t>
      </w:r>
      <w:r>
        <w:t xml:space="preserve">Users authorize a one-time, read-only API connection (e.g., via open banking APIs) to their bank accounts. The Oracle Network verifies income regularity and balance stability, issuing VCs regarding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Capacity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Security &amp; Public Records:</w:t>
      </w:r>
      <w:r>
        <w:t xml:space="preserve"> </w:t>
      </w:r>
      <w:r>
        <w:t xml:space="preserve">Integration with government APIs (where legally permitted) or public databases to verify identity parameters and official compliance, issuing VCs for</w:t>
      </w:r>
      <w:r>
        <w:t xml:space="preserve"> </w:t>
      </w:r>
      <w:r>
        <w:rPr>
          <w:b/>
          <w:bCs/>
        </w:rPr>
        <w:t xml:space="preserve">Identity Proof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Compliance History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Third-Party Application APIs:</w:t>
      </w:r>
      <w:r>
        <w:t xml:space="preserve"> </w:t>
      </w:r>
      <w:r>
        <w:t xml:space="preserve">Data feeds from verified applications (e.g., utility payments, rent reporting services) to capture recurring expense history, generating VCs for</w:t>
      </w:r>
      <w:r>
        <w:t xml:space="preserve"> </w:t>
      </w:r>
      <w:r>
        <w:rPr>
          <w:b/>
          <w:bCs/>
        </w:rPr>
        <w:t xml:space="preserve">Payment Discipline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Publicly Available Information:</w:t>
      </w:r>
      <w:r>
        <w:t xml:space="preserve"> </w:t>
      </w:r>
      <w:r>
        <w:t xml:space="preserve">Aggregation of non-sensitive, open-source data (e.g., bankruptcy filings, liens) to assess fundamental repayment risk.</w:t>
      </w:r>
    </w:p>
    <w:bookmarkEnd w:id="22"/>
    <w:bookmarkStart w:id="23" w:name="X11123ed1d78b8ef3ff7688b7b2fea3ff59f647c"/>
    <w:p>
      <w:pPr>
        <w:pStyle w:val="Heading4"/>
      </w:pPr>
      <w:r>
        <w:t xml:space="preserve">2.4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 Generation &amp; Smart Contract Automation</w:t>
      </w:r>
    </w:p>
    <w:p>
      <w:pPr>
        <w:pStyle w:val="FirstParagraph"/>
      </w:pPr>
      <w:r>
        <w:t xml:space="preserve">The aggregated VCs are weighted based on established credit factors (Capacity, Stability, Discipline, History) to calculate the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Score. This score, or a ZKP derived from it, is then consumed by smart contract-driven lending platforms, such as</w:t>
      </w:r>
      <w:r>
        <w:t xml:space="preserve"> </w:t>
      </w:r>
      <w:r>
        <w:rPr>
          <w:b/>
          <w:bCs/>
        </w:rPr>
        <w:t xml:space="preserve">Protocol Bank</w:t>
      </w:r>
      <w:r>
        <w:t xml:space="preserve">, enabling automated, risk-adjusted loan decisions.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ii.-project-requirements-document-prd"/>
    <w:p>
      <w:pPr>
        <w:pStyle w:val="Heading2"/>
      </w:pPr>
      <w:r>
        <w:t xml:space="preserve">💻 II. Project Requirements Document (PRD)</w:t>
      </w:r>
    </w:p>
    <w:p>
      <w:pPr>
        <w:pStyle w:val="FirstParagraph"/>
      </w:pPr>
      <w:r>
        <w:t xml:space="preserve">The PRD must now reflect the need for robust TradFi integration and ZKP generation.</w:t>
      </w:r>
    </w:p>
    <w:bookmarkStart w:id="26" w:name="goals-success-metrics-updated"/>
    <w:p>
      <w:pPr>
        <w:pStyle w:val="Heading3"/>
      </w:pPr>
      <w:r>
        <w:t xml:space="preserve">1. Goals &amp; Success Metrics (Updated)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1.1 Project Goal:</w:t>
      </w:r>
      <w:r>
        <w:t xml:space="preserve"> </w:t>
      </w:r>
      <w:r>
        <w:t xml:space="preserve">To launch a privacy-preserving, hybrid credit scoring service capable of processing both traditional and decentralized financial data, culminating in a ZKP-enabled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 consumable by automated lending protocols (e.g., Protocol Bank).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1.2 Success Metrics:</w:t>
      </w:r>
    </w:p>
    <w:p>
      <w:pPr>
        <w:pStyle w:val="Compact"/>
        <w:numPr>
          <w:ilvl w:val="1"/>
          <w:numId w:val="1004"/>
        </w:numPr>
      </w:pPr>
      <m:oMath>
        <m:r>
          <m:t>N</m:t>
        </m:r>
      </m:oMath>
      <w:r>
        <w:t xml:space="preserve"> </w:t>
      </w:r>
      <w:r>
        <w:t xml:space="preserve">number of unique wallets with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Scores utilizing</w:t>
      </w:r>
      <w:r>
        <w:t xml:space="preserve"> </w:t>
      </w:r>
      <w:r>
        <w:rPr>
          <w:b/>
          <w:bCs/>
        </w:rPr>
        <w:t xml:space="preserve">at least one TradFi data source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m:oMath>
        <m:r>
          <m:t>X</m:t>
        </m:r>
      </m:oMath>
      <w:r>
        <w:t xml:space="preserve"> </w:t>
      </w:r>
      <w:r>
        <w:t xml:space="preserve">total volume of automated loans successfully facilitated via the</w:t>
      </w:r>
      <w:r>
        <w:t xml:space="preserve"> </w:t>
      </w: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Score/ZKP proof.</w:t>
      </w:r>
    </w:p>
    <w:p>
      <w:pPr>
        <w:pStyle w:val="Compact"/>
        <w:numPr>
          <w:ilvl w:val="1"/>
          <w:numId w:val="1004"/>
        </w:numPr>
      </w:pPr>
      <m:oMath>
        <m:r>
          <m:t>Y</m:t>
        </m:r>
      </m:oMath>
      <w:r>
        <w:t xml:space="preserve"> </w:t>
      </w:r>
      <w:r>
        <w:t xml:space="preserve">latency reduction in credit assessment compared to manual underwriting.</w:t>
      </w:r>
    </w:p>
    <w:bookmarkEnd w:id="26"/>
    <w:bookmarkStart w:id="27" w:name="key-user-stories-updated-focus"/>
    <w:p>
      <w:pPr>
        <w:pStyle w:val="Heading3"/>
      </w:pPr>
      <w:r>
        <w:t xml:space="preserve">2. Key User Stories (Updated Focus)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 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to…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that…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Borrower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Securely link my primary bank account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prove my income and stability without uploading sensitive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Borrower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Authorize the Oracle Network to read my income API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mint an Income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income stability is recorded as a verifiable credential, improving my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Generate a Zero-Knowledge Proof (ZKP)</w:t>
            </w:r>
            <w:r>
              <w:t xml:space="preserve"> </w:t>
            </w:r>
            <w:r>
              <w:t xml:space="preserve">that states:</w:t>
            </w:r>
            <w:r>
              <w:t xml:space="preserve"> </w:t>
            </w:r>
            <w:r>
              <w:t xml:space="preserve">“My</w:t>
            </w:r>
            <w:r>
              <w:t xml:space="preserve"> </w:t>
            </w:r>
            <m:oMath>
              <m:r>
                <m:t>R</m:t>
              </m:r>
              <m:r>
                <m:t>e</m:t>
              </m:r>
              <m:r>
                <m:t>p</m:t>
              </m:r>
              <m:r>
                <m:t>s</m:t>
              </m:r>
            </m:oMath>
            <w:r>
              <w:t xml:space="preserve"> </w:t>
            </w:r>
            <w:r>
              <w:t xml:space="preserve">Score is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700 and my Debt-to-Income ratio is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30%”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apply for a loan at Protocol Bank anonymously while meeting their risk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 Bank (Lender)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the ZKP Verification smart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instantly and trustlessly verify the borrower’s claim before executing the automated loan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Oracle Validator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 the authenticity of a third-party application data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earn</w:t>
            </w:r>
            <w:r>
              <w:t xml:space="preserve"> </w:t>
            </w:r>
            <m:oMath>
              <m:r>
                <m:t>D</m:t>
              </m:r>
              <m:r>
                <m:t>E</m:t>
              </m:r>
              <m:r>
                <m:t>C</m:t>
              </m:r>
              <m:r>
                <m:t>R</m:t>
              </m:r>
            </m:oMath>
            <w:r>
              <w:t xml:space="preserve"> </w:t>
            </w:r>
            <w:r>
              <w:t xml:space="preserve">rewards for maintaining the integrity of the data pipeline.</w:t>
            </w:r>
          </w:p>
        </w:tc>
      </w:tr>
    </w:tbl>
    <w:bookmarkEnd w:id="27"/>
    <w:bookmarkStart w:id="30" w:name="functional-requirements-partial"/>
    <w:p>
      <w:pPr>
        <w:pStyle w:val="Heading3"/>
      </w:pPr>
      <w:r>
        <w:t xml:space="preserve">3. Functional Requirements (Partial)</w:t>
      </w:r>
    </w:p>
    <w:bookmarkStart w:id="28" w:name="data-ingestion-api-gateway"/>
    <w:p>
      <w:pPr>
        <w:pStyle w:val="Heading4"/>
      </w:pPr>
      <w:r>
        <w:t xml:space="preserve">3.1 Data Ingestion &amp; API Gateway</w:t>
      </w:r>
    </w:p>
    <w:p>
      <w:pPr>
        <w:pStyle w:val="Compact"/>
        <w:numPr>
          <w:ilvl w:val="0"/>
          <w:numId w:val="1005"/>
        </w:numPr>
      </w:pPr>
      <w:r>
        <w:t xml:space="preserve">System must integrate with</w:t>
      </w:r>
      <w:r>
        <w:t xml:space="preserve"> </w:t>
      </w:r>
      <w:r>
        <w:rPr>
          <w:b/>
          <w:bCs/>
        </w:rPr>
        <w:t xml:space="preserve">Plaid/Yodlee/Equivalent</w:t>
      </w:r>
      <w:r>
        <w:t xml:space="preserve"> </w:t>
      </w:r>
      <w:r>
        <w:t xml:space="preserve">for North American bank linking and regional equivalents globally.</w:t>
      </w:r>
    </w:p>
    <w:p>
      <w:pPr>
        <w:pStyle w:val="Compact"/>
        <w:numPr>
          <w:ilvl w:val="0"/>
          <w:numId w:val="1005"/>
        </w:numPr>
      </w:pPr>
      <w:r>
        <w:t xml:space="preserve">System must employ</w:t>
      </w:r>
      <w:r>
        <w:t xml:space="preserve"> </w:t>
      </w:r>
      <w:r>
        <w:rPr>
          <w:b/>
          <w:bCs/>
        </w:rPr>
        <w:t xml:space="preserve">OAuth2 or equivalent secure authorization</w:t>
      </w:r>
      <w:r>
        <w:t xml:space="preserve"> </w:t>
      </w:r>
      <w:r>
        <w:t xml:space="preserve">for all TradFi API access.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Crucial:</w:t>
      </w:r>
      <w:r>
        <w:t xml:space="preserve"> </w:t>
      </w:r>
      <w:r>
        <w:t xml:space="preserve">All raw data must be immediately deleted or hashed after verification and credential minting;</w:t>
      </w:r>
      <w:r>
        <w:t xml:space="preserve"> </w:t>
      </w:r>
      <w:r>
        <w:rPr>
          <w:b/>
          <w:bCs/>
        </w:rPr>
        <w:t xml:space="preserve">no central storage of raw PII/financial data.</w:t>
      </w:r>
    </w:p>
    <w:bookmarkEnd w:id="28"/>
    <w:bookmarkStart w:id="29" w:name="zkp-generation-module"/>
    <w:p>
      <w:pPr>
        <w:pStyle w:val="Heading4"/>
      </w:pPr>
      <w:r>
        <w:t xml:space="preserve">3.2 ZKP Generation Module</w:t>
      </w:r>
    </w:p>
    <w:p>
      <w:pPr>
        <w:pStyle w:val="Compact"/>
        <w:numPr>
          <w:ilvl w:val="0"/>
          <w:numId w:val="1006"/>
        </w:numPr>
      </w:pPr>
      <w:r>
        <w:t xml:space="preserve">The system must support the generation of proofs for at least three core claims:</w:t>
      </w:r>
    </w:p>
    <w:p>
      <w:pPr>
        <w:pStyle w:val="Compact"/>
        <w:numPr>
          <w:ilvl w:val="1"/>
          <w:numId w:val="1007"/>
        </w:numPr>
      </w:pPr>
      <m:oMath>
        <m:r>
          <m:t>R</m:t>
        </m:r>
        <m:r>
          <m:t>e</m:t>
        </m:r>
        <m:r>
          <m:t>p</m:t>
        </m:r>
        <m:r>
          <m:t>s</m:t>
        </m:r>
      </m:oMath>
      <w:r>
        <w:t xml:space="preserve"> </w:t>
      </w:r>
      <w:r>
        <w:t xml:space="preserve">Score Range (</w:t>
      </w:r>
      <m:oMath>
        <m:r>
          <m:rPr>
            <m:nor/>
            <m:sty m:val="p"/>
          </m:rPr>
          <m:t>Score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Minimum Income Threshold (</w:t>
      </w:r>
      <m:oMath>
        <m:r>
          <m:rPr>
            <m:nor/>
            <m:sty m:val="p"/>
          </m:rPr>
          <m:t>Income</m:t>
        </m:r>
        <m:r>
          <m:rPr>
            <m:sty m:val="p"/>
          </m:rPr>
          <m:t>&gt;</m:t>
        </m:r>
        <m:r>
          <m:t>Z</m:t>
        </m:r>
      </m:oMath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Debt-to-Income Ratio Threshold (</w:t>
      </w:r>
      <m:oMath>
        <m:r>
          <m:rPr>
            <m:nor/>
            <m:sty m:val="p"/>
          </m:rPr>
          <m:t>DTI</m:t>
        </m:r>
        <m:r>
          <m:rPr>
            <m:sty m:val="p"/>
          </m:rPr>
          <m:t>&lt;</m:t>
        </m:r>
        <m:r>
          <m:t>P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下一步</w:t>
      </w:r>
      <w:r>
        <w:rPr>
          <w:b/>
          <w:bCs/>
        </w:rPr>
        <w:t xml:space="preserve"> (Next Step):</w:t>
      </w:r>
    </w:p>
    <w:p>
      <w:pPr>
        <w:pStyle w:val="BodyText"/>
      </w:pPr>
      <w:r>
        <w:rPr>
          <w:rFonts w:hint="eastAsia"/>
        </w:rPr>
        <w:t xml:space="preserve">您对白皮书的</w:t>
      </w:r>
      <w:r>
        <w:rPr>
          <w:rFonts w:hint="eastAsia"/>
          <w:b/>
          <w:bCs/>
        </w:rPr>
        <w:t xml:space="preserve">混合架构</w:t>
      </w:r>
      <w:r>
        <w:rPr>
          <w:rFonts w:hint="eastAsia"/>
        </w:rPr>
        <w:t xml:space="preserve">和</w:t>
      </w:r>
      <w:r>
        <w:t xml:space="preserve"> PRD </w:t>
      </w:r>
      <w:r>
        <w:rPr>
          <w:rFonts w:hint="eastAsia"/>
        </w:rPr>
        <w:t xml:space="preserve">中的</w:t>
      </w:r>
      <w:r>
        <w:rPr>
          <w:rFonts w:hint="eastAsia"/>
          <w:b/>
          <w:bCs/>
        </w:rPr>
        <w:t xml:space="preserve">用户故事及数据需求</w:t>
      </w:r>
      <w:r>
        <w:rPr>
          <w:rFonts w:hint="eastAsia"/>
        </w:rPr>
        <w:t xml:space="preserve">是否满意？如果确认，我将继续生成</w:t>
      </w:r>
      <w:r>
        <w:rPr>
          <w:rFonts w:hint="eastAsia"/>
          <w:b/>
          <w:bCs/>
        </w:rPr>
        <w:t xml:space="preserve">功能文档（Functional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Specification）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开发文档（Development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Specification）</w:t>
      </w:r>
      <w:r>
        <w:t xml:space="preserve">。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2025-11-15T18:34:35Z</dcterms:created>
  <dcterms:modified xsi:type="dcterms:W3CDTF">2025-11-15T18:34:35Z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