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160" w:line="312" w:lineRule="auto"/>
      </w:pPr>
      <w:r>
        <w:rPr>
          <w:rFonts w:ascii="Calibri" w:cs="Calibri" w:eastAsia="Calibri" w:hAnsi="Calibri"/>
          <w:color w:val="1A1A1A"/>
          <w:sz w:val="52"/>
          <w:szCs w:val="52"/>
        </w:rPr>
        <w:t xml:space="preserve">SOCIOTECHNICAL GROUNDING REGISTER — 20 CARDS</w:t>
      </w:r>
    </w:p>
    <w:p>
      <w:pPr>
        <w:spacing w:after="120" w:before="60" w:line="360" w:lineRule="auto"/>
      </w:pPr>
      <w:r>
        <w:rPr>
          <w:rFonts w:ascii="Calibri" w:cs="Calibri" w:eastAsia="Calibri" w:hAnsi="Calibri"/>
          <w:b w:val="false"/>
          <w:bCs w:val="false"/>
          <w:i w:val="false"/>
          <w:iCs w:val="false"/>
          <w:strike w:val="false"/>
          <w:color w:val="555555"/>
          <w:sz w:val="26"/>
          <w:szCs w:val="26"/>
        </w:rPr>
        <w:t xml:space="preserve">Verboten Media · Production Grounding · April 2026</w:t>
      </w: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provides sociotechnical grounding material for twenty website content cards, connecting their internal terminology and arguments to established academic discourse, contemporary debate, and real-world case studies. Each card in the Verboten Media production system carries a 500-word seed text. The grounding entries below are </w:t>
      </w:r>
      <w:r>
        <w:rPr>
          <w:rFonts w:ascii="Calibri" w:cs="Calibri" w:eastAsia="Calibri" w:hAnsi="Calibri"/>
          <w:b/>
          <w:bCs/>
          <w:i w:val="false"/>
          <w:iCs w:val="false"/>
          <w:strike w:val="false"/>
          <w:color w:val="000000"/>
          <w:sz w:val="22"/>
          <w:szCs w:val="22"/>
        </w:rPr>
        <w:t xml:space="preserve">additional material</w:t>
      </w:r>
      <w:r>
        <w:rPr>
          <w:rFonts w:ascii="Calibri" w:cs="Calibri" w:eastAsia="Calibri" w:hAnsi="Calibri"/>
          <w:b w:val="false"/>
          <w:bCs w:val="false"/>
          <w:i w:val="false"/>
          <w:iCs w:val="false"/>
          <w:strike w:val="false"/>
          <w:color w:val="000000"/>
          <w:sz w:val="22"/>
          <w:szCs w:val="22"/>
        </w:rPr>
        <w:t xml:space="preserve"> — not restatements of those seeds, but new article-grade content that anchors each card's claims in external sources and live debates. Each section identifies the specific sociotechnical debate the card intervenes in, then provides 400–600 words of dense, source-rich, argument-driven prose linking the card's themes to specific thinkers, works, case studies, and ongoing controversies. The register is intended as a scholarly scaffolding layer: a bridge between the cards' compressed arguments and the wider intellectual landscape they inhabit.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Reading Key</w:t>
            </w:r>
          </w:p>
          <w:p>
            <w:pPr>
              <w:spacing w:after="120" w:line="360" w:lineRule="auto"/>
            </w:pPr>
            <w:r>
              <w:rPr>
                <w:rFonts w:ascii="Calibri" w:cs="Calibri" w:eastAsia="Calibri" w:hAnsi="Calibri"/>
                <w:b/>
                <w:bCs/>
                <w:i w:val="false"/>
                <w:iCs w:val="false"/>
                <w:strike w:val="false"/>
                <w:color w:val="000000"/>
                <w:sz w:val="22"/>
                <w:szCs w:val="22"/>
              </w:rPr>
              <w:t xml:space="preserve">Writings</w:t>
            </w:r>
            <w:r>
              <w:rPr>
                <w:rFonts w:ascii="Calibri" w:cs="Calibri" w:eastAsia="Calibri" w:hAnsi="Calibri"/>
                <w:b w:val="false"/>
                <w:bCs w:val="false"/>
                <w:i w:val="false"/>
                <w:iCs w:val="false"/>
                <w:strike w:val="false"/>
                <w:color w:val="000000"/>
                <w:sz w:val="22"/>
                <w:szCs w:val="22"/>
              </w:rPr>
              <w:t xml:space="preserve"> = Cards belonging to the essayistic/critical content stream.</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Sandbox</w:t>
            </w:r>
            <w:r>
              <w:rPr>
                <w:rFonts w:ascii="Calibri" w:cs="Calibri" w:eastAsia="Calibri" w:hAnsi="Calibri"/>
                <w:b w:val="false"/>
                <w:bCs w:val="false"/>
                <w:i w:val="false"/>
                <w:iCs w:val="false"/>
                <w:strike w:val="false"/>
                <w:color w:val="000000"/>
                <w:sz w:val="22"/>
                <w:szCs w:val="22"/>
              </w:rPr>
              <w:t xml:space="preserve"> = Cards belonging to the experimental/interactive content stream.</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ENTERS THE DEBATE</w:t>
            </w:r>
            <w:r>
              <w:rPr>
                <w:rFonts w:ascii="Calibri" w:cs="Calibri" w:eastAsia="Calibri" w:hAnsi="Calibri"/>
                <w:b w:val="false"/>
                <w:bCs w:val="false"/>
                <w:i w:val="false"/>
                <w:iCs w:val="false"/>
                <w:strike w:val="false"/>
                <w:color w:val="000000"/>
                <w:sz w:val="22"/>
                <w:szCs w:val="22"/>
              </w:rPr>
              <w:t xml:space="preserve"> = The specific ongoing sociotechnical debate this card intervenes in.</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1. The Density of the Present</w:t>
      </w:r>
    </w:p>
    <w:p>
      <w:pPr>
        <w:spacing w:after="60" w:before="60" w:line="360" w:lineRule="auto"/>
      </w:pPr>
      <w:r>
        <w:rPr>
          <w:rFonts w:ascii="Calibri" w:cs="Calibri" w:eastAsia="Calibri" w:hAnsi="Calibri"/>
          <w:b w:val="false"/>
          <w:bCs w:val="false"/>
          <w:i w:val="false"/>
          <w:iCs w:val="false"/>
          <w:strike w:val="false"/>
          <w:color w:val="666666"/>
          <w:spacing w:val="15"/>
          <w:sz w:val="18"/>
          <w:szCs w:val="18"/>
        </w:rPr>
        <w:t xml:space="preserve">WRITINGS</w:t>
      </w:r>
    </w:p>
    <w:p>
      <w:pPr>
        <w:spacing w:after="240" w:before="60" w:line="360" w:lineRule="auto"/>
      </w:pPr>
      <w:r>
        <w:rPr>
          <w:rFonts w:ascii="Calibri" w:cs="Calibri" w:eastAsia="Calibri" w:hAnsi="Calibri"/>
          <w:b/>
          <w:bCs/>
          <w:i w:val="false"/>
          <w:iCs w:val="false"/>
          <w:strike w:val="false"/>
          <w:color w:val="2B5797"/>
          <w:sz w:val="22"/>
          <w:szCs w:val="22"/>
        </w:rPr>
        <w:t xml:space="preserve">ENTERS THE DEBATE: The temporal turn in social theory — whether modernity accelerates experience or merely reorganizes 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Hartmut Rosa's </w:t>
      </w:r>
      <w:r>
        <w:rPr>
          <w:rFonts w:ascii="Calibri" w:cs="Calibri" w:eastAsia="Calibri" w:hAnsi="Calibri"/>
          <w:b w:val="false"/>
          <w:bCs w:val="false"/>
          <w:i/>
          <w:iCs/>
          <w:strike w:val="false"/>
          <w:color w:val="000000"/>
          <w:sz w:val="22"/>
          <w:szCs w:val="22"/>
        </w:rPr>
        <w:t xml:space="preserve">Social Acceleration</w:t>
      </w:r>
      <w:r>
        <w:rPr>
          <w:rFonts w:ascii="Calibri" w:cs="Calibri" w:eastAsia="Calibri" w:hAnsi="Calibri"/>
          <w:b w:val="false"/>
          <w:bCs w:val="false"/>
          <w:i w:val="false"/>
          <w:iCs w:val="false"/>
          <w:strike w:val="false"/>
          <w:color w:val="000000"/>
          <w:sz w:val="22"/>
          <w:szCs w:val="22"/>
        </w:rPr>
        <w:t xml:space="preserve"> (2013) provides the foundational framework. Rosa identifies three categories of acceleration: technological acceleration (transport, communication, production), acceleration of social change (institutions, relationships, knowledge), and acceleration of the pace of life (the subjective experience of time scarcity despite time-saving technologies). His key concept — the "contraction of the present," defined as a decrease in the period during which expectations based on past experience reliably match the future — maps precisely onto the card's argument about temporal density. But the card diverges from Rosa in an important way: Rosa frames acceleration as a structural macro-phenomenon. The card insists on the phenomenological texture — what density </w:t>
      </w:r>
      <w:r>
        <w:rPr>
          <w:rFonts w:ascii="Calibri" w:cs="Calibri" w:eastAsia="Calibri" w:hAnsi="Calibri"/>
          <w:b w:val="false"/>
          <w:bCs w:val="false"/>
          <w:i/>
          <w:iCs/>
          <w:strike w:val="false"/>
          <w:color w:val="000000"/>
          <w:sz w:val="22"/>
          <w:szCs w:val="22"/>
        </w:rPr>
        <w:t xml:space="preserve">feels</w:t>
      </w:r>
      <w:r>
        <w:rPr>
          <w:rFonts w:ascii="Calibri" w:cs="Calibri" w:eastAsia="Calibri" w:hAnsi="Calibri"/>
          <w:b w:val="false"/>
          <w:bCs w:val="false"/>
          <w:i w:val="false"/>
          <w:iCs w:val="false"/>
          <w:strike w:val="false"/>
          <w:color w:val="000000"/>
          <w:sz w:val="22"/>
          <w:szCs w:val="22"/>
        </w:rPr>
        <w:t xml:space="preserve"> like at the level of the individual body in a specific moment.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Jonathan Crary's </w:t>
      </w:r>
      <w:r>
        <w:rPr>
          <w:rFonts w:ascii="Calibri" w:cs="Calibri" w:eastAsia="Calibri" w:hAnsi="Calibri"/>
          <w:b w:val="false"/>
          <w:bCs w:val="false"/>
          <w:i/>
          <w:iCs/>
          <w:strike w:val="false"/>
          <w:color w:val="000000"/>
          <w:sz w:val="22"/>
          <w:szCs w:val="22"/>
        </w:rPr>
        <w:t xml:space="preserve">24/7: Late Capitalism and the Ends of Sleep</w:t>
      </w:r>
      <w:r>
        <w:rPr>
          <w:rFonts w:ascii="Calibri" w:cs="Calibri" w:eastAsia="Calibri" w:hAnsi="Calibri"/>
          <w:b w:val="false"/>
          <w:bCs w:val="false"/>
          <w:i w:val="false"/>
          <w:iCs w:val="false"/>
          <w:strike w:val="false"/>
          <w:color w:val="000000"/>
          <w:sz w:val="22"/>
          <w:szCs w:val="22"/>
        </w:rPr>
        <w:t xml:space="preserve"> (2013) pushes the argument further, identifying sleep as the last frontier of temporal autonomy — the one human activity that capitalism cannot fully colonize. Crary argues that the 24/7 market erodes the distinction between work and rest, day and night, producing subjects who are perpetually available. The card's concept of "temporal slack" — moments where nothing is arriving and the self can integrate — is essentially Crary's sleep principle extended to waking hours.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Byung-Chul Han's </w:t>
      </w:r>
      <w:r>
        <w:rPr>
          <w:rFonts w:ascii="Calibri" w:cs="Calibri" w:eastAsia="Calibri" w:hAnsi="Calibri"/>
          <w:b w:val="false"/>
          <w:bCs w:val="false"/>
          <w:i/>
          <w:iCs/>
          <w:strike w:val="false"/>
          <w:color w:val="000000"/>
          <w:sz w:val="22"/>
          <w:szCs w:val="22"/>
        </w:rPr>
        <w:t xml:space="preserve">The Burnout Society</w:t>
      </w:r>
      <w:r>
        <w:rPr>
          <w:rFonts w:ascii="Calibri" w:cs="Calibri" w:eastAsia="Calibri" w:hAnsi="Calibri"/>
          <w:b w:val="false"/>
          <w:bCs w:val="false"/>
          <w:i w:val="false"/>
          <w:iCs w:val="false"/>
          <w:strike w:val="false"/>
          <w:color w:val="000000"/>
          <w:sz w:val="22"/>
          <w:szCs w:val="22"/>
        </w:rPr>
        <w:t xml:space="preserve"> (2015) adds a crucial psychological layer. Han argues that contemporary subjects are no longer disciplined from without (Foucault's model) but exploit themselves from within, driven by the imperative to achieve. This self-exploitation produces not repression but exhaustion — a burnout that is structurally different from oppression because it feels like freedom. The card's argument that "the present is never empty" because "the feed ensures density" is Han's burnout thesis applied to temporality: the subject is never bored, never slack, never unoccupied — and this perpetual fullness is the mechanism of exhaustion.</w:t>
      </w:r>
    </w:p>
    <w:p>
      <w:pPr>
        <w:spacing w:after="120" w:before="60" w:line="360" w:lineRule="auto"/>
      </w:pPr>
      <w:r>
        <w:rPr>
          <w:rFonts w:ascii="Calibri" w:cs="Calibri" w:eastAsia="Calibri" w:hAnsi="Calibri"/>
          <w:b/>
          <w:bCs/>
          <w:i w:val="false"/>
          <w:iCs w:val="false"/>
          <w:strike w:val="false"/>
          <w:color w:val="000000"/>
          <w:sz w:val="22"/>
          <w:szCs w:val="22"/>
        </w:rPr>
        <w:t xml:space="preserve">Real-world anchor:</w:t>
      </w:r>
      <w:r>
        <w:rPr>
          <w:rFonts w:ascii="Calibri" w:cs="Calibri" w:eastAsia="Calibri" w:hAnsi="Calibri"/>
          <w:b w:val="false"/>
          <w:bCs w:val="false"/>
          <w:i w:val="false"/>
          <w:iCs w:val="false"/>
          <w:strike w:val="false"/>
          <w:color w:val="000000"/>
          <w:sz w:val="22"/>
          <w:szCs w:val="22"/>
        </w:rPr>
        <w:t xml:space="preserve"> The 2023 Pew Research Center finding that 46% of US teens report being online "almost constantly" — up from 24% in 2015 — is not evidence of addiction but evidence of architectural density. The temporal environment has been redesigned to prevent gaps.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card's most distinctive contribution to this debate is the concept of "attention as resistance" as a third option between monasticism (digital detox) and collaboration (productivity culture). This resonates with Jenny Odell's </w:t>
      </w:r>
      <w:r>
        <w:rPr>
          <w:rFonts w:ascii="Calibri" w:cs="Calibri" w:eastAsia="Calibri" w:hAnsi="Calibri"/>
          <w:b w:val="false"/>
          <w:bCs w:val="false"/>
          <w:i/>
          <w:iCs/>
          <w:strike w:val="false"/>
          <w:color w:val="000000"/>
          <w:sz w:val="22"/>
          <w:szCs w:val="22"/>
        </w:rPr>
        <w:t xml:space="preserve">How to Do Nothing</w:t>
      </w:r>
      <w:r>
        <w:rPr>
          <w:rFonts w:ascii="Calibri" w:cs="Calibri" w:eastAsia="Calibri" w:hAnsi="Calibri"/>
          <w:b w:val="false"/>
          <w:bCs w:val="false"/>
          <w:i w:val="false"/>
          <w:iCs w:val="false"/>
          <w:strike w:val="false"/>
          <w:color w:val="000000"/>
          <w:sz w:val="22"/>
          <w:szCs w:val="22"/>
        </w:rPr>
        <w:t xml:space="preserve"> (2019) but goes further: Odell advocates bioregionalism and place-based attention as resistance; the card argues for temporal frequency as the site of resistance — being present at a resolution the platform cannot capture. This is closer to what the media theorist Yves Citton calls an "ecology of attention" — attention as a shared resource requiring collective governance, not individual willpower.</w:t>
      </w:r>
    </w:p>
    <w:p>
      <w:pPr>
        <w:pStyle w:val="Heading2"/>
        <w:spacing w:after="120" w:before="360" w:line="312" w:lineRule="auto"/>
      </w:pPr>
      <w:r>
        <w:rPr>
          <w:rFonts w:ascii="Calibri" w:cs="Calibri" w:eastAsia="Calibri" w:hAnsi="Calibri"/>
          <w:color w:val="1A1A1A"/>
          <w:sz w:val="36"/>
          <w:szCs w:val="36"/>
        </w:rPr>
        <w:t xml:space="preserve">2. Platform Logic and the Grammar of Appearance</w:t>
      </w:r>
    </w:p>
    <w:p>
      <w:pPr>
        <w:spacing w:after="60" w:before="60" w:line="360" w:lineRule="auto"/>
      </w:pPr>
      <w:r>
        <w:rPr>
          <w:rFonts w:ascii="Calibri" w:cs="Calibri" w:eastAsia="Calibri" w:hAnsi="Calibri"/>
          <w:b w:val="false"/>
          <w:bCs w:val="false"/>
          <w:i w:val="false"/>
          <w:iCs w:val="false"/>
          <w:strike w:val="false"/>
          <w:color w:val="666666"/>
          <w:spacing w:val="15"/>
          <w:sz w:val="18"/>
          <w:szCs w:val="18"/>
        </w:rPr>
        <w:t xml:space="preserve">WRITINGS</w:t>
      </w:r>
    </w:p>
    <w:p>
      <w:pPr>
        <w:spacing w:after="240" w:before="60" w:line="360" w:lineRule="auto"/>
      </w:pPr>
      <w:r>
        <w:rPr>
          <w:rFonts w:ascii="Calibri" w:cs="Calibri" w:eastAsia="Calibri" w:hAnsi="Calibri"/>
          <w:b/>
          <w:bCs/>
          <w:i w:val="false"/>
          <w:iCs w:val="false"/>
          <w:strike w:val="false"/>
          <w:color w:val="2B5797"/>
          <w:sz w:val="22"/>
          <w:szCs w:val="22"/>
        </w:rPr>
        <w:t xml:space="preserve">ENTERS THE DEBATE: Platform governance theory — who controls meaning when platforms edit reality through adjacency.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Tarleton Gillespie's </w:t>
      </w:r>
      <w:r>
        <w:rPr>
          <w:rFonts w:ascii="Calibri" w:cs="Calibri" w:eastAsia="Calibri" w:hAnsi="Calibri"/>
          <w:b w:val="false"/>
          <w:bCs w:val="false"/>
          <w:i/>
          <w:iCs/>
          <w:strike w:val="false"/>
          <w:color w:val="000000"/>
          <w:sz w:val="22"/>
          <w:szCs w:val="22"/>
        </w:rPr>
        <w:t xml:space="preserve">Custodians of the Internet</w:t>
      </w:r>
      <w:r>
        <w:rPr>
          <w:rFonts w:ascii="Calibri" w:cs="Calibri" w:eastAsia="Calibri" w:hAnsi="Calibri"/>
          <w:b w:val="false"/>
          <w:bCs w:val="false"/>
          <w:i w:val="false"/>
          <w:iCs w:val="false"/>
          <w:strike w:val="false"/>
          <w:color w:val="000000"/>
          <w:sz w:val="22"/>
          <w:szCs w:val="22"/>
        </w:rPr>
        <w:t xml:space="preserve"> (2018) established the foundational argument that platforms are not neutral conduits but active content moderators — editorial actors whose decisions about what to remove, demote, or promote constitute a form of governance. Gillespie, a Senior Principal Researcher at Microsoft Research and affiliated professor at Cornell, coined the critique of the industry's strategic use of the word "platform" itself — a term that implies neutrality and openness while obscuring the active curatorial labor that shapes what users see.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card extends Gillespie's argument from content moderation (what gets removed) to content formation (what becomes sayable in the first place). This is closer to Alexander Galloway's </w:t>
      </w:r>
      <w:r>
        <w:rPr>
          <w:rFonts w:ascii="Calibri" w:cs="Calibri" w:eastAsia="Calibri" w:hAnsi="Calibri"/>
          <w:b w:val="false"/>
          <w:bCs w:val="false"/>
          <w:i/>
          <w:iCs/>
          <w:strike w:val="false"/>
          <w:color w:val="000000"/>
          <w:sz w:val="22"/>
          <w:szCs w:val="22"/>
        </w:rPr>
        <w:t xml:space="preserve">Protocol</w:t>
      </w:r>
      <w:r>
        <w:rPr>
          <w:rFonts w:ascii="Calibri" w:cs="Calibri" w:eastAsia="Calibri" w:hAnsi="Calibri"/>
          <w:b w:val="false"/>
          <w:bCs w:val="false"/>
          <w:i w:val="false"/>
          <w:iCs w:val="false"/>
          <w:strike w:val="false"/>
          <w:color w:val="000000"/>
          <w:sz w:val="22"/>
          <w:szCs w:val="22"/>
        </w:rPr>
        <w:t xml:space="preserve"> (2004), which argues that control in networked environments operates not through prohibition but through the technical protocols that determine how connections are made. Galloway's key insight: the founding principle of the internet is control, not freedom, and that control resides in the protocols that make network connections possible. The card's concept of "meaning manufacture" through embedding vectors and collaborative filtering is Galloway's protocol theory updated for the recommendation engine era.</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Nick Srnicek's </w:t>
      </w:r>
      <w:r>
        <w:rPr>
          <w:rFonts w:ascii="Calibri" w:cs="Calibri" w:eastAsia="Calibri" w:hAnsi="Calibri"/>
          <w:b w:val="false"/>
          <w:bCs w:val="false"/>
          <w:i/>
          <w:iCs/>
          <w:strike w:val="false"/>
          <w:color w:val="000000"/>
          <w:sz w:val="22"/>
          <w:szCs w:val="22"/>
        </w:rPr>
        <w:t xml:space="preserve">Platform Capitalism</w:t>
      </w:r>
      <w:r>
        <w:rPr>
          <w:rFonts w:ascii="Calibri" w:cs="Calibri" w:eastAsia="Calibri" w:hAnsi="Calibri"/>
          <w:b w:val="false"/>
          <w:bCs w:val="false"/>
          <w:i w:val="false"/>
          <w:iCs w:val="false"/>
          <w:strike w:val="false"/>
          <w:color w:val="000000"/>
          <w:sz w:val="22"/>
          <w:szCs w:val="22"/>
        </w:rPr>
        <w:t xml:space="preserve"> (2016) provides the economic substrate. Srnicek identifies five types of platforms (advertising, cloud, industrial, product, lean) and argues that the extraction of data is the fundamental business model, not the provision of services. The card's argument that platforms perform "engineered semantic obsolescence" — that content produced under one interface grammar becomes illegible when the grammar changes — adds a cultural-temporal dimension that Srnicek's economic analysis does not address.</w:t>
      </w:r>
    </w:p>
    <w:p>
      <w:pPr>
        <w:spacing w:after="120" w:before="60" w:line="360" w:lineRule="auto"/>
      </w:pPr>
      <w:r>
        <w:rPr>
          <w:rFonts w:ascii="Calibri" w:cs="Calibri" w:eastAsia="Calibri" w:hAnsi="Calibri"/>
          <w:b/>
          <w:bCs/>
          <w:i w:val="false"/>
          <w:iCs w:val="false"/>
          <w:strike w:val="false"/>
          <w:color w:val="000000"/>
          <w:sz w:val="22"/>
          <w:szCs w:val="22"/>
        </w:rPr>
        <w:t xml:space="preserve">Real-world anchor:</w:t>
      </w:r>
      <w:r>
        <w:rPr>
          <w:rFonts w:ascii="Calibri" w:cs="Calibri" w:eastAsia="Calibri" w:hAnsi="Calibri"/>
          <w:b w:val="false"/>
          <w:bCs w:val="false"/>
          <w:i w:val="false"/>
          <w:iCs w:val="false"/>
          <w:strike w:val="false"/>
          <w:color w:val="000000"/>
          <w:sz w:val="22"/>
          <w:szCs w:val="22"/>
        </w:rPr>
        <w:t xml:space="preserve"> The Instagram aspect ratio change from square (1:1) to vertical (4:5 and 9:16) in 2015–2022 restructured an entire aesthetic economy. Photographers, artists, and influencers who had built visual practices around the square frame found their archives aesthetically orphaned. The format shift was a business decision; its cultural consequence was the obsolescence of a visual grammar.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Gillespie's 2024 paper "Generative AI and the Politics of Visibility" (</w:t>
      </w:r>
      <w:r>
        <w:rPr>
          <w:rFonts w:ascii="Calibri" w:cs="Calibri" w:eastAsia="Calibri" w:hAnsi="Calibri"/>
          <w:b w:val="false"/>
          <w:bCs w:val="false"/>
          <w:i/>
          <w:iCs/>
          <w:strike w:val="false"/>
          <w:color w:val="000000"/>
          <w:sz w:val="22"/>
          <w:szCs w:val="22"/>
        </w:rPr>
        <w:t xml:space="preserve">Big Data &amp; Society</w:t>
      </w:r>
      <w:r>
        <w:rPr>
          <w:rFonts w:ascii="Calibri" w:cs="Calibri" w:eastAsia="Calibri" w:hAnsi="Calibri"/>
          <w:b w:val="false"/>
          <w:bCs w:val="false"/>
          <w:i w:val="false"/>
          <w:iCs w:val="false"/>
          <w:strike w:val="false"/>
          <w:color w:val="000000"/>
          <w:sz w:val="22"/>
          <w:szCs w:val="22"/>
        </w:rPr>
        <w:t xml:space="preserve">) extends this into the AI era, asking how generative models determine what kinds of content — and therefore what kinds of reality — become visible or invisible. The card's concept of "selective legibility" to serve control is precisely what Gillespie identifies as the AI visibility problem.</w:t>
      </w:r>
    </w:p>
    <w:p>
      <w:pPr>
        <w:pStyle w:val="Heading2"/>
        <w:spacing w:after="120" w:before="360" w:line="312" w:lineRule="auto"/>
      </w:pPr>
      <w:r>
        <w:rPr>
          <w:rFonts w:ascii="Calibri" w:cs="Calibri" w:eastAsia="Calibri" w:hAnsi="Calibri"/>
          <w:color w:val="1A1A1A"/>
          <w:sz w:val="36"/>
          <w:szCs w:val="36"/>
        </w:rPr>
        <w:t xml:space="preserve">3. Förlagsdeckaren: Structural Commentary</w:t>
      </w:r>
    </w:p>
    <w:p>
      <w:pPr>
        <w:spacing w:after="60" w:before="60" w:line="360" w:lineRule="auto"/>
      </w:pPr>
      <w:r>
        <w:rPr>
          <w:rFonts w:ascii="Calibri" w:cs="Calibri" w:eastAsia="Calibri" w:hAnsi="Calibri"/>
          <w:b w:val="false"/>
          <w:bCs w:val="false"/>
          <w:i w:val="false"/>
          <w:iCs w:val="false"/>
          <w:strike w:val="false"/>
          <w:color w:val="666666"/>
          <w:spacing w:val="15"/>
          <w:sz w:val="18"/>
          <w:szCs w:val="18"/>
        </w:rPr>
        <w:t xml:space="preserve">WRITINGS</w:t>
      </w:r>
    </w:p>
    <w:p>
      <w:pPr>
        <w:spacing w:after="240" w:before="60" w:line="360" w:lineRule="auto"/>
      </w:pPr>
      <w:r>
        <w:rPr>
          <w:rFonts w:ascii="Calibri" w:cs="Calibri" w:eastAsia="Calibri" w:hAnsi="Calibri"/>
          <w:b/>
          <w:bCs/>
          <w:i w:val="false"/>
          <w:iCs w:val="false"/>
          <w:strike w:val="false"/>
          <w:color w:val="2B5797"/>
          <w:sz w:val="22"/>
          <w:szCs w:val="22"/>
        </w:rPr>
        <w:t xml:space="preserve">ENTERS THE DEBATE: The autopoietic novel — when fiction metabolizes its own production conditions as subject matter.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literary tradition the card enters is specific and traceable. Karl Ove Knausgård's </w:t>
      </w:r>
      <w:r>
        <w:rPr>
          <w:rFonts w:ascii="Calibri" w:cs="Calibri" w:eastAsia="Calibri" w:hAnsi="Calibri"/>
          <w:b w:val="false"/>
          <w:bCs w:val="false"/>
          <w:i/>
          <w:iCs/>
          <w:strike w:val="false"/>
          <w:color w:val="000000"/>
          <w:sz w:val="22"/>
          <w:szCs w:val="22"/>
        </w:rPr>
        <w:t xml:space="preserve">My Struggle</w:t>
      </w:r>
      <w:r>
        <w:rPr>
          <w:rFonts w:ascii="Calibri" w:cs="Calibri" w:eastAsia="Calibri" w:hAnsi="Calibri"/>
          <w:b w:val="false"/>
          <w:bCs w:val="false"/>
          <w:i w:val="false"/>
          <w:iCs w:val="false"/>
          <w:strike w:val="false"/>
          <w:color w:val="000000"/>
          <w:sz w:val="22"/>
          <w:szCs w:val="22"/>
        </w:rPr>
        <w:t xml:space="preserve"> (2009–2011) established the contemporary template for fiction that treats the author's lived experience as raw material, but Förlagsdeckaren's relationship to autobiography is more structural than confessional. Where Knausgård exposes private life, the novel exposes the publishing apparatus — making the industry itself the site of narrative tension. This is closer to what the French theorist Pierre Bourdieu called "the field of cultural production" — the system of relationships, hierarchies, and competitions that determine which cultural products get made, distributed, and consecrated.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novel's structural model — "vulkanen" with concentric zones from surface logistics to molten core — has precedent in Mark Z. Danielewski's </w:t>
      </w:r>
      <w:r>
        <w:rPr>
          <w:rFonts w:ascii="Calibri" w:cs="Calibri" w:eastAsia="Calibri" w:hAnsi="Calibri"/>
          <w:b w:val="false"/>
          <w:bCs w:val="false"/>
          <w:i/>
          <w:iCs/>
          <w:strike w:val="false"/>
          <w:color w:val="000000"/>
          <w:sz w:val="22"/>
          <w:szCs w:val="22"/>
        </w:rPr>
        <w:t xml:space="preserve">House of Leaves</w:t>
      </w:r>
      <w:r>
        <w:rPr>
          <w:rFonts w:ascii="Calibri" w:cs="Calibri" w:eastAsia="Calibri" w:hAnsi="Calibri"/>
          <w:b w:val="false"/>
          <w:bCs w:val="false"/>
          <w:i w:val="false"/>
          <w:iCs w:val="false"/>
          <w:strike w:val="false"/>
          <w:color w:val="000000"/>
          <w:sz w:val="22"/>
          <w:szCs w:val="22"/>
        </w:rPr>
        <w:t xml:space="preserve"> (2000), where architectural space functions as narrative structure. But Danielewski's labyrinth is spatial; the volcano is pressure-based. The zones are not places but intensities. This is closer to Deleuze and Guattari's "strata" in </w:t>
      </w:r>
      <w:r>
        <w:rPr>
          <w:rFonts w:ascii="Calibri" w:cs="Calibri" w:eastAsia="Calibri" w:hAnsi="Calibri"/>
          <w:b w:val="false"/>
          <w:bCs w:val="false"/>
          <w:i/>
          <w:iCs/>
          <w:strike w:val="false"/>
          <w:color w:val="000000"/>
          <w:sz w:val="22"/>
          <w:szCs w:val="22"/>
        </w:rPr>
        <w:t xml:space="preserve">A Thousand Plateaus</w:t>
      </w:r>
      <w:r>
        <w:rPr>
          <w:rFonts w:ascii="Calibri" w:cs="Calibri" w:eastAsia="Calibri" w:hAnsi="Calibri"/>
          <w:b w:val="false"/>
          <w:bCs w:val="false"/>
          <w:i w:val="false"/>
          <w:iCs w:val="false"/>
          <w:strike w:val="false"/>
          <w:color w:val="000000"/>
          <w:sz w:val="22"/>
          <w:szCs w:val="22"/>
        </w:rPr>
        <w:t xml:space="preserve"> (1980) — layers of sedimented material that can be disrupted by lines of flight.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self-described genre label "Svensk funkonaturalism" positions the novel deliberately outside existing taxonomic systems. The move echoes the OuLiPo tradition (Queneau, Perec) of creating formal constraints that generate narrative possibility, but with a punk inflection that OuLiPo's mathematical elegance would not recognize. The closest living analogue may be César Aira's method of "huida hacia adelante" (flight forward) — writing that never revises, never retreats, only advances into new territory.</w:t>
      </w:r>
    </w:p>
    <w:p>
      <w:pPr>
        <w:spacing w:after="120" w:before="60" w:line="360" w:lineRule="auto"/>
      </w:pPr>
      <w:r>
        <w:rPr>
          <w:rFonts w:ascii="Calibri" w:cs="Calibri" w:eastAsia="Calibri" w:hAnsi="Calibri"/>
          <w:b/>
          <w:bCs/>
          <w:i w:val="false"/>
          <w:iCs w:val="false"/>
          <w:strike w:val="false"/>
          <w:color w:val="000000"/>
          <w:sz w:val="22"/>
          <w:szCs w:val="22"/>
        </w:rPr>
        <w:t xml:space="preserve">Real-world anchor:</w:t>
      </w:r>
      <w:r>
        <w:rPr>
          <w:rFonts w:ascii="Calibri" w:cs="Calibri" w:eastAsia="Calibri" w:hAnsi="Calibri"/>
          <w:b w:val="false"/>
          <w:bCs w:val="false"/>
          <w:i w:val="false"/>
          <w:iCs w:val="false"/>
          <w:strike w:val="false"/>
          <w:color w:val="000000"/>
          <w:sz w:val="22"/>
          <w:szCs w:val="22"/>
        </w:rPr>
        <w:t xml:space="preserve"> The rise of "auto-fiction" as a publishing category (Sheila Heti, Rachel Cusk, Ben Lerner) has created market infrastructure for novels that blur fiction and autobiography. But Förlagsdeckaren subverts even this category by making the </w:t>
      </w:r>
      <w:r>
        <w:rPr>
          <w:rFonts w:ascii="Calibri" w:cs="Calibri" w:eastAsia="Calibri" w:hAnsi="Calibri"/>
          <w:b w:val="false"/>
          <w:bCs w:val="false"/>
          <w:i/>
          <w:iCs/>
          <w:strike w:val="false"/>
          <w:color w:val="000000"/>
          <w:sz w:val="22"/>
          <w:szCs w:val="22"/>
        </w:rPr>
        <w:t xml:space="preserve">publishing process</w:t>
      </w:r>
      <w:r>
        <w:rPr>
          <w:rFonts w:ascii="Calibri" w:cs="Calibri" w:eastAsia="Calibri" w:hAnsi="Calibri"/>
          <w:b w:val="false"/>
          <w:bCs w:val="false"/>
          <w:i w:val="false"/>
          <w:iCs w:val="false"/>
          <w:strike w:val="false"/>
          <w:color w:val="000000"/>
          <w:sz w:val="22"/>
          <w:szCs w:val="22"/>
        </w:rPr>
        <w:t xml:space="preserve"> rather than the </w:t>
      </w:r>
      <w:r>
        <w:rPr>
          <w:rFonts w:ascii="Calibri" w:cs="Calibri" w:eastAsia="Calibri" w:hAnsi="Calibri"/>
          <w:b w:val="false"/>
          <w:bCs w:val="false"/>
          <w:i/>
          <w:iCs/>
          <w:strike w:val="false"/>
          <w:color w:val="000000"/>
          <w:sz w:val="22"/>
          <w:szCs w:val="22"/>
        </w:rPr>
        <w:t xml:space="preserve">life</w:t>
      </w:r>
      <w:r>
        <w:rPr>
          <w:rFonts w:ascii="Calibri" w:cs="Calibri" w:eastAsia="Calibri" w:hAnsi="Calibri"/>
          <w:b w:val="false"/>
          <w:bCs w:val="false"/>
          <w:i w:val="false"/>
          <w:iCs w:val="false"/>
          <w:strike w:val="false"/>
          <w:color w:val="000000"/>
          <w:sz w:val="22"/>
          <w:szCs w:val="22"/>
        </w:rPr>
        <w:t xml:space="preserve"> the object of autofictional investigation. The publisher-as-protagonist is not exposing his personal life. He is exposing the machinery that decides which personal lives get published.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three central mysteries — the knife (a life story told through other people's fingerprints), the dead child (private poetry that cannot be published without violating its privacy), the generational novel (children who cannot grow up) — function as what Roland Barthes called "hermeneutic codes": questions that drive narrative forward not through their answers but through the sustained withholding of resolution.</w:t>
      </w:r>
    </w:p>
    <w:p>
      <w:pPr>
        <w:pStyle w:val="Heading2"/>
        <w:spacing w:after="120" w:before="360" w:line="312" w:lineRule="auto"/>
      </w:pPr>
      <w:r>
        <w:rPr>
          <w:rFonts w:ascii="Calibri" w:cs="Calibri" w:eastAsia="Calibri" w:hAnsi="Calibri"/>
          <w:color w:val="1A1A1A"/>
          <w:sz w:val="36"/>
          <w:szCs w:val="36"/>
        </w:rPr>
        <w:t xml:space="preserve">4. The Body Without Coordinates</w:t>
      </w:r>
    </w:p>
    <w:p>
      <w:pPr>
        <w:spacing w:after="60" w:before="60" w:line="360" w:lineRule="auto"/>
      </w:pPr>
      <w:r>
        <w:rPr>
          <w:rFonts w:ascii="Calibri" w:cs="Calibri" w:eastAsia="Calibri" w:hAnsi="Calibri"/>
          <w:b w:val="false"/>
          <w:bCs w:val="false"/>
          <w:i w:val="false"/>
          <w:iCs w:val="false"/>
          <w:strike w:val="false"/>
          <w:color w:val="666666"/>
          <w:spacing w:val="15"/>
          <w:sz w:val="18"/>
          <w:szCs w:val="18"/>
        </w:rPr>
        <w:t xml:space="preserve">WRITINGS</w:t>
      </w:r>
    </w:p>
    <w:p>
      <w:pPr>
        <w:spacing w:after="240" w:before="60" w:line="360" w:lineRule="auto"/>
      </w:pPr>
      <w:r>
        <w:rPr>
          <w:rFonts w:ascii="Calibri" w:cs="Calibri" w:eastAsia="Calibri" w:hAnsi="Calibri"/>
          <w:b/>
          <w:bCs/>
          <w:i w:val="false"/>
          <w:iCs w:val="false"/>
          <w:strike w:val="false"/>
          <w:color w:val="2B5797"/>
          <w:sz w:val="22"/>
          <w:szCs w:val="22"/>
        </w:rPr>
        <w:t xml:space="preserve">ENTERS THE DEBATE: The quantified self vs. phenomenological embodiment — what happens to bodily knowledge when the body becomes a data source.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Deborah Lupton's </w:t>
      </w:r>
      <w:r>
        <w:rPr>
          <w:rFonts w:ascii="Calibri" w:cs="Calibri" w:eastAsia="Calibri" w:hAnsi="Calibri"/>
          <w:b w:val="false"/>
          <w:bCs w:val="false"/>
          <w:i/>
          <w:iCs/>
          <w:strike w:val="false"/>
          <w:color w:val="000000"/>
          <w:sz w:val="22"/>
          <w:szCs w:val="22"/>
        </w:rPr>
        <w:t xml:space="preserve">The Quantified Self</w:t>
      </w:r>
      <w:r>
        <w:rPr>
          <w:rFonts w:ascii="Calibri" w:cs="Calibri" w:eastAsia="Calibri" w:hAnsi="Calibri"/>
          <w:b w:val="false"/>
          <w:bCs w:val="false"/>
          <w:i w:val="false"/>
          <w:iCs w:val="false"/>
          <w:strike w:val="false"/>
          <w:color w:val="000000"/>
          <w:sz w:val="22"/>
          <w:szCs w:val="22"/>
        </w:rPr>
        <w:t xml:space="preserve"> (2016) maps the landscape this card contests. Lupton identifies the self-tracking movement as a form of what she calls "lively data" — data that is intimately connected to embodied experience but which, once extracted and processed, takes on an independent existence. The card's distinction between "the datafied body" and "the felt body" is Lupton's core tension stated in phenomenological terms.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Drew Leder's </w:t>
      </w:r>
      <w:r>
        <w:rPr>
          <w:rFonts w:ascii="Calibri" w:cs="Calibri" w:eastAsia="Calibri" w:hAnsi="Calibri"/>
          <w:b w:val="false"/>
          <w:bCs w:val="false"/>
          <w:i/>
          <w:iCs/>
          <w:strike w:val="false"/>
          <w:color w:val="000000"/>
          <w:sz w:val="22"/>
          <w:szCs w:val="22"/>
        </w:rPr>
        <w:t xml:space="preserve">The Absent Body</w:t>
      </w:r>
      <w:r>
        <w:rPr>
          <w:rFonts w:ascii="Calibri" w:cs="Calibri" w:eastAsia="Calibri" w:hAnsi="Calibri"/>
          <w:b w:val="false"/>
          <w:bCs w:val="false"/>
          <w:i w:val="false"/>
          <w:iCs w:val="false"/>
          <w:strike w:val="false"/>
          <w:color w:val="000000"/>
          <w:sz w:val="22"/>
          <w:szCs w:val="22"/>
        </w:rPr>
        <w:t xml:space="preserve"> (1990) provides the philosophical ground. Leder argues that the healthy body in normal functioning is characteristically absent from consciousness — we do not attend to our organs, our posture, our breathing unless something goes wrong. This "normal disappearance" of the body is exactly what quantification reverses: the fitness tracker makes the body perpetually present as data, transforming it from a transparent medium of experience into an opaque object of monitoring.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Shoshana Zuboff's </w:t>
      </w:r>
      <w:r>
        <w:rPr>
          <w:rFonts w:ascii="Calibri" w:cs="Calibri" w:eastAsia="Calibri" w:hAnsi="Calibri"/>
          <w:b w:val="false"/>
          <w:bCs w:val="false"/>
          <w:i/>
          <w:iCs/>
          <w:strike w:val="false"/>
          <w:color w:val="000000"/>
          <w:sz w:val="22"/>
          <w:szCs w:val="22"/>
        </w:rPr>
        <w:t xml:space="preserve">The Age of Surveillance Capitalism</w:t>
      </w:r>
      <w:r>
        <w:rPr>
          <w:rFonts w:ascii="Calibri" w:cs="Calibri" w:eastAsia="Calibri" w:hAnsi="Calibri"/>
          <w:b w:val="false"/>
          <w:bCs w:val="false"/>
          <w:i w:val="false"/>
          <w:iCs w:val="false"/>
          <w:strike w:val="false"/>
          <w:color w:val="000000"/>
          <w:sz w:val="22"/>
          <w:szCs w:val="22"/>
        </w:rPr>
        <w:t xml:space="preserve"> (2019) adds the political economy. Zuboff's concept of "behavioral surplus" — the idea that platforms extract more behavioral data than needed for service improvement and sell the surplus for prediction — applies directly to biometric data from wearables. Your resting heart rate, sleep cycles, and step count are not merely personal health data; they are inputs for actuarial models that insurers, employers, and advertisers use to predict and modify behavior.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2024 arXiv paper by Maijunxian Wang at UC Berkeley, "The Quantified Body: Identity, Empowerment, and Control in Smart Wearables," synthesizes Deleuze's control society, Zuboff's surveillance capitalism, and Couldry &amp; Mejias's data colonialism to argue that wearables have evolved from self-tracking tools into "predictive-governance infrastructures" that translate bodily rhythms into actuarial risk scores. The paper identifies a "post-consent regime" where users technically grant permission but structural autonomy is eroded by default design.</w:t>
      </w:r>
    </w:p>
    <w:p>
      <w:pPr>
        <w:spacing w:after="120" w:before="60" w:line="360" w:lineRule="auto"/>
      </w:pPr>
      <w:r>
        <w:rPr>
          <w:rFonts w:ascii="Calibri" w:cs="Calibri" w:eastAsia="Calibri" w:hAnsi="Calibri"/>
          <w:b/>
          <w:bCs/>
          <w:i w:val="false"/>
          <w:iCs w:val="false"/>
          <w:strike w:val="false"/>
          <w:color w:val="000000"/>
          <w:sz w:val="22"/>
          <w:szCs w:val="22"/>
        </w:rPr>
        <w:t xml:space="preserve">Real-world anchor:</w:t>
      </w:r>
      <w:r>
        <w:rPr>
          <w:rFonts w:ascii="Calibri" w:cs="Calibri" w:eastAsia="Calibri" w:hAnsi="Calibri"/>
          <w:b w:val="false"/>
          <w:bCs w:val="false"/>
          <w:i w:val="false"/>
          <w:iCs w:val="false"/>
          <w:strike w:val="false"/>
          <w:color w:val="000000"/>
          <w:sz w:val="22"/>
          <w:szCs w:val="22"/>
        </w:rPr>
        <w:t xml:space="preserve"> Merleau-Ponty's phenomenology of perception — the foundational argument that consciousness is always embodied, that perception is not a mental act performed upon sensory data but a bodily engagement with the world — provides the philosophical infrastructure for the card's claim that the body's oldest coordinate system is touch, and touch requires proximity that cannot be optimized.</w:t>
      </w:r>
    </w:p>
    <w:p>
      <w:pPr>
        <w:pStyle w:val="Heading2"/>
        <w:spacing w:after="120" w:before="360" w:line="312" w:lineRule="auto"/>
      </w:pPr>
      <w:r>
        <w:rPr>
          <w:rFonts w:ascii="Calibri" w:cs="Calibri" w:eastAsia="Calibri" w:hAnsi="Calibri"/>
          <w:color w:val="1A1A1A"/>
          <w:sz w:val="36"/>
          <w:szCs w:val="36"/>
        </w:rPr>
        <w:t xml:space="preserve">5. Against the Archive Impulse</w:t>
      </w:r>
    </w:p>
    <w:p>
      <w:pPr>
        <w:spacing w:after="60" w:before="60" w:line="360" w:lineRule="auto"/>
      </w:pPr>
      <w:r>
        <w:rPr>
          <w:rFonts w:ascii="Calibri" w:cs="Calibri" w:eastAsia="Calibri" w:hAnsi="Calibri"/>
          <w:b w:val="false"/>
          <w:bCs w:val="false"/>
          <w:i w:val="false"/>
          <w:iCs w:val="false"/>
          <w:strike w:val="false"/>
          <w:color w:val="666666"/>
          <w:spacing w:val="15"/>
          <w:sz w:val="18"/>
          <w:szCs w:val="18"/>
        </w:rPr>
        <w:t xml:space="preserve">WRITINGS</w:t>
      </w:r>
    </w:p>
    <w:p>
      <w:pPr>
        <w:spacing w:after="240" w:before="60" w:line="360" w:lineRule="auto"/>
      </w:pPr>
      <w:r>
        <w:rPr>
          <w:rFonts w:ascii="Calibri" w:cs="Calibri" w:eastAsia="Calibri" w:hAnsi="Calibri"/>
          <w:b/>
          <w:bCs/>
          <w:i w:val="false"/>
          <w:iCs w:val="false"/>
          <w:strike w:val="false"/>
          <w:color w:val="2B5797"/>
          <w:sz w:val="22"/>
          <w:szCs w:val="22"/>
        </w:rPr>
        <w:t xml:space="preserve">ENTERS THE DEBATE: Archive fever in the digital age — whether digital preservation preserves or replaces memory.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Jacques Derrida's </w:t>
      </w:r>
      <w:r>
        <w:rPr>
          <w:rFonts w:ascii="Calibri" w:cs="Calibri" w:eastAsia="Calibri" w:hAnsi="Calibri"/>
          <w:b w:val="false"/>
          <w:bCs w:val="false"/>
          <w:i/>
          <w:iCs/>
          <w:strike w:val="false"/>
          <w:color w:val="000000"/>
          <w:sz w:val="22"/>
          <w:szCs w:val="22"/>
        </w:rPr>
        <w:t xml:space="preserve">Archive Fever</w:t>
      </w:r>
      <w:r>
        <w:rPr>
          <w:rFonts w:ascii="Calibri" w:cs="Calibri" w:eastAsia="Calibri" w:hAnsi="Calibri"/>
          <w:b w:val="false"/>
          <w:bCs w:val="false"/>
          <w:i w:val="false"/>
          <w:iCs w:val="false"/>
          <w:strike w:val="false"/>
          <w:color w:val="000000"/>
          <w:sz w:val="22"/>
          <w:szCs w:val="22"/>
        </w:rPr>
        <w:t xml:space="preserve"> (1995) diagnosed the fundamental paradox: the archive is driven by a death drive. We archive because we know things will be lost, but the act of archiving transforms what is preserved — it imposes institutional categories, selects what is worthy, and destroys the remainder through organized neglect. The card updates Derrida for the age of automatic archiving: when everything is preserved by default, the archive's selective function does not disappear — it migrates from explicit curation to invisible algorithmic sorting.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Wendy Chun's </w:t>
      </w:r>
      <w:r>
        <w:rPr>
          <w:rFonts w:ascii="Calibri" w:cs="Calibri" w:eastAsia="Calibri" w:hAnsi="Calibri"/>
          <w:b w:val="false"/>
          <w:bCs w:val="false"/>
          <w:i/>
          <w:iCs/>
          <w:strike w:val="false"/>
          <w:color w:val="000000"/>
          <w:sz w:val="22"/>
          <w:szCs w:val="22"/>
        </w:rPr>
        <w:t xml:space="preserve">Programmed Visions: Software and Memory</w:t>
      </w:r>
      <w:r>
        <w:rPr>
          <w:rFonts w:ascii="Calibri" w:cs="Calibri" w:eastAsia="Calibri" w:hAnsi="Calibri"/>
          <w:b w:val="false"/>
          <w:bCs w:val="false"/>
          <w:i w:val="false"/>
          <w:iCs w:val="false"/>
          <w:strike w:val="false"/>
          <w:color w:val="000000"/>
          <w:sz w:val="22"/>
          <w:szCs w:val="22"/>
        </w:rPr>
        <w:t xml:space="preserve"> (2011) provides the media-theoretical framework. Chun argues that digital media's promise of perfect memory is an illusion: software degrades, formats become obsolete, and what we call "storage" is actually a continuous process of regeneration — the same data being constantly rewritten to new physical substrates. Memory, in digital systems, is not preservation but perpetual updating. The card's argument that the archive "replaces your memory with its own filing system" is Chun's thesis stated at the experiential level.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Wolfgang Ernst's </w:t>
      </w:r>
      <w:r>
        <w:rPr>
          <w:rFonts w:ascii="Calibri" w:cs="Calibri" w:eastAsia="Calibri" w:hAnsi="Calibri"/>
          <w:b w:val="false"/>
          <w:bCs w:val="false"/>
          <w:i/>
          <w:iCs/>
          <w:strike w:val="false"/>
          <w:color w:val="000000"/>
          <w:sz w:val="22"/>
          <w:szCs w:val="22"/>
        </w:rPr>
        <w:t xml:space="preserve">Digital Memory and the Archive</w:t>
      </w:r>
      <w:r>
        <w:rPr>
          <w:rFonts w:ascii="Calibri" w:cs="Calibri" w:eastAsia="Calibri" w:hAnsi="Calibri"/>
          <w:b w:val="false"/>
          <w:bCs w:val="false"/>
          <w:i w:val="false"/>
          <w:iCs w:val="false"/>
          <w:strike w:val="false"/>
          <w:color w:val="000000"/>
          <w:sz w:val="22"/>
          <w:szCs w:val="22"/>
        </w:rPr>
        <w:t xml:space="preserve"> (2013) adds the media-archaeological perspective. Ernst argues that digital archives are fundamentally different from traditional archives because they are not collections of stable objects but dynamic, processual, computable. A digital archive is not a warehouse; it is a machine that operates on data in real time. The card's observation that the 11-megabyte data export imposes bureaucratic folder names rather than experiential categories illustrates Ernst's point: the digital archive is organized for computation, not for human remembrance.</w:t>
      </w:r>
    </w:p>
    <w:p>
      <w:pPr>
        <w:spacing w:after="120" w:before="60" w:line="360" w:lineRule="auto"/>
      </w:pPr>
      <w:r>
        <w:rPr>
          <w:rFonts w:ascii="Calibri" w:cs="Calibri" w:eastAsia="Calibri" w:hAnsi="Calibri"/>
          <w:b/>
          <w:bCs/>
          <w:i w:val="false"/>
          <w:iCs w:val="false"/>
          <w:strike w:val="false"/>
          <w:color w:val="000000"/>
          <w:sz w:val="22"/>
          <w:szCs w:val="22"/>
        </w:rPr>
        <w:t xml:space="preserve">Real-world anchor:</w:t>
      </w:r>
      <w:r>
        <w:rPr>
          <w:rFonts w:ascii="Calibri" w:cs="Calibri" w:eastAsia="Calibri" w:hAnsi="Calibri"/>
          <w:b w:val="false"/>
          <w:bCs w:val="false"/>
          <w:i w:val="false"/>
          <w:iCs w:val="false"/>
          <w:strike w:val="false"/>
          <w:color w:val="000000"/>
          <w:sz w:val="22"/>
          <w:szCs w:val="22"/>
        </w:rPr>
        <w:t xml:space="preserve"> The EU's General Data Protection Regulation (GDPR), particularly Article 17 — the "right to erasure" or "right to be forgotten" — is the legal materialization of the card's argument. When forgetting requires legislation, you are living in an architecture designed against the human need to let things go. The card's claim that "archiving is a form of loss" inverts the GDPR's premise: the regulation assumes data persistence is the threat, but the card argues that the archive itself is the threat — not because it preserves too much, but because it replaces lived memory with institutional classification.</w:t>
      </w:r>
    </w:p>
    <w:p>
      <w:pPr>
        <w:pStyle w:val="Heading2"/>
        <w:spacing w:after="120" w:before="360" w:line="312" w:lineRule="auto"/>
      </w:pPr>
      <w:r>
        <w:rPr>
          <w:rFonts w:ascii="Calibri" w:cs="Calibri" w:eastAsia="Calibri" w:hAnsi="Calibri"/>
          <w:color w:val="1A1A1A"/>
          <w:sz w:val="36"/>
          <w:szCs w:val="36"/>
        </w:rPr>
        <w:t xml:space="preserve">6. Notes on Disappearance</w:t>
      </w:r>
    </w:p>
    <w:p>
      <w:pPr>
        <w:spacing w:after="60" w:before="60" w:line="360" w:lineRule="auto"/>
      </w:pPr>
      <w:r>
        <w:rPr>
          <w:rFonts w:ascii="Calibri" w:cs="Calibri" w:eastAsia="Calibri" w:hAnsi="Calibri"/>
          <w:b w:val="false"/>
          <w:bCs w:val="false"/>
          <w:i w:val="false"/>
          <w:iCs w:val="false"/>
          <w:strike w:val="false"/>
          <w:color w:val="666666"/>
          <w:spacing w:val="15"/>
          <w:sz w:val="18"/>
          <w:szCs w:val="18"/>
        </w:rPr>
        <w:t xml:space="preserve">WRITINGS</w:t>
      </w:r>
    </w:p>
    <w:p>
      <w:pPr>
        <w:spacing w:after="240" w:before="60" w:line="360" w:lineRule="auto"/>
      </w:pPr>
      <w:r>
        <w:rPr>
          <w:rFonts w:ascii="Calibri" w:cs="Calibri" w:eastAsia="Calibri" w:hAnsi="Calibri"/>
          <w:b/>
          <w:bCs/>
          <w:i w:val="false"/>
          <w:iCs w:val="false"/>
          <w:strike w:val="false"/>
          <w:color w:val="2B5797"/>
          <w:sz w:val="22"/>
          <w:szCs w:val="22"/>
        </w:rPr>
        <w:t xml:space="preserve">ENTERS THE DEBATE: Digital death studies and the ontology of online absence.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Elaine Kasket's </w:t>
      </w:r>
      <w:r>
        <w:rPr>
          <w:rFonts w:ascii="Calibri" w:cs="Calibri" w:eastAsia="Calibri" w:hAnsi="Calibri"/>
          <w:b w:val="false"/>
          <w:bCs w:val="false"/>
          <w:i/>
          <w:iCs/>
          <w:strike w:val="false"/>
          <w:color w:val="000000"/>
          <w:sz w:val="22"/>
          <w:szCs w:val="22"/>
        </w:rPr>
        <w:t xml:space="preserve">All the Ghosts in the Machine</w:t>
      </w:r>
      <w:r>
        <w:rPr>
          <w:rFonts w:ascii="Calibri" w:cs="Calibri" w:eastAsia="Calibri" w:hAnsi="Calibri"/>
          <w:b w:val="false"/>
          <w:bCs w:val="false"/>
          <w:i w:val="false"/>
          <w:iCs w:val="false"/>
          <w:strike w:val="false"/>
          <w:color w:val="000000"/>
          <w:sz w:val="22"/>
          <w:szCs w:val="22"/>
        </w:rPr>
        <w:t xml:space="preserve"> (2019) maps the emergent field of digital death — what happens to social media profiles, digital assets, and online relationships when someone dies. Kasket identifies the fundamental structural mismatch: platforms are designed for active, living users; death is a system exception that the interface cannot elegantly handle. The memorial page, the "[Deleted User]" attribution, the orphaned comment — these are not bugs but symptoms of an infrastructure that cannot accommodate absence.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sociologist Jed Brubaker's research on post-mortem profile management at the University of Colorado Boulder has documented how Facebook's memorialization feature creates a specific kind of ghost: a profile that looks alive but cannot respond. Brubaker's concept of "social media as reliquaries" — containers for relics of the dead — resonates with the card's argument that disappearance is "the shadow cast by permanence."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Bernard Stiegler's concept of "tertiary retention" — the externalization of memory into technical objects (from cave paintings to hard drives) — provides the philosophical grounding. For Stiegler, human memory has always been partly technical; what changes in the digital age is the scale and automaticity of retention. The card's argument that "the right to be forgotten is now a legal category" is Stiegler's diagnosis made institutional: tertiary retention has become so total that its reversal requires state intervention.</w:t>
      </w:r>
    </w:p>
    <w:p>
      <w:pPr>
        <w:spacing w:after="120" w:before="60" w:line="360" w:lineRule="auto"/>
      </w:pPr>
      <w:r>
        <w:rPr>
          <w:rFonts w:ascii="Calibri" w:cs="Calibri" w:eastAsia="Calibri" w:hAnsi="Calibri"/>
          <w:b/>
          <w:bCs/>
          <w:i w:val="false"/>
          <w:iCs w:val="false"/>
          <w:strike w:val="false"/>
          <w:color w:val="000000"/>
          <w:sz w:val="22"/>
          <w:szCs w:val="22"/>
        </w:rPr>
        <w:t xml:space="preserve">Real-world anchor:</w:t>
      </w:r>
      <w:r>
        <w:rPr>
          <w:rFonts w:ascii="Calibri" w:cs="Calibri" w:eastAsia="Calibri" w:hAnsi="Calibri"/>
          <w:b w:val="false"/>
          <w:bCs w:val="false"/>
          <w:i w:val="false"/>
          <w:iCs w:val="false"/>
          <w:strike w:val="false"/>
          <w:color w:val="000000"/>
          <w:sz w:val="22"/>
          <w:szCs w:val="22"/>
        </w:rPr>
        <w:t xml:space="preserve"> The 2014 European Court of Justice ruling in </w:t>
      </w:r>
      <w:r>
        <w:rPr>
          <w:rFonts w:ascii="Calibri" w:cs="Calibri" w:eastAsia="Calibri" w:hAnsi="Calibri"/>
          <w:b w:val="false"/>
          <w:bCs w:val="false"/>
          <w:i/>
          <w:iCs/>
          <w:strike w:val="false"/>
          <w:color w:val="000000"/>
          <w:sz w:val="22"/>
          <w:szCs w:val="22"/>
        </w:rPr>
        <w:t xml:space="preserve">Google Spain v. AEPD</w:t>
      </w:r>
      <w:r>
        <w:rPr>
          <w:rFonts w:ascii="Calibri" w:cs="Calibri" w:eastAsia="Calibri" w:hAnsi="Calibri"/>
          <w:b w:val="false"/>
          <w:bCs w:val="false"/>
          <w:i w:val="false"/>
          <w:iCs w:val="false"/>
          <w:strike w:val="false"/>
          <w:color w:val="000000"/>
          <w:sz w:val="22"/>
          <w:szCs w:val="22"/>
        </w:rPr>
        <w:t xml:space="preserve"> established the right to be forgotten in European law. The case concerned a Spanish citizen whose name in Google search results linked to a 1998 newspaper notice about a real estate auction connected to social security debts. The debts had long been resolved, but the digital record persisted. The ruling — that individuals can request search engines to delist certain results — was the legal system's first acknowledgment that digital permanence creates a specific kind of harm that analogue systems never produced. The card's literary treatment of disappearance (Noelle in the cave, the Clone's edited memory, Arthur's isolation in Sandträsk) maps these legal and theoretical concerns onto narrative structure.</w:t>
      </w:r>
    </w:p>
    <w:p>
      <w:pPr>
        <w:pStyle w:val="Heading2"/>
        <w:spacing w:after="120" w:before="360" w:line="312" w:lineRule="auto"/>
      </w:pPr>
      <w:r>
        <w:rPr>
          <w:rFonts w:ascii="Calibri" w:cs="Calibri" w:eastAsia="Calibri" w:hAnsi="Calibri"/>
          <w:color w:val="1A1A1A"/>
          <w:sz w:val="36"/>
          <w:szCs w:val="36"/>
        </w:rPr>
        <w:t xml:space="preserve">7. Psychotechnical Subjectivity: A Field Note</w:t>
      </w:r>
    </w:p>
    <w:p>
      <w:pPr>
        <w:spacing w:after="60" w:before="60" w:line="360" w:lineRule="auto"/>
      </w:pPr>
      <w:r>
        <w:rPr>
          <w:rFonts w:ascii="Calibri" w:cs="Calibri" w:eastAsia="Calibri" w:hAnsi="Calibri"/>
          <w:b w:val="false"/>
          <w:bCs w:val="false"/>
          <w:i w:val="false"/>
          <w:iCs w:val="false"/>
          <w:strike w:val="false"/>
          <w:color w:val="666666"/>
          <w:spacing w:val="15"/>
          <w:sz w:val="18"/>
          <w:szCs w:val="18"/>
        </w:rPr>
        <w:t xml:space="preserve">WRITINGS</w:t>
      </w:r>
    </w:p>
    <w:p>
      <w:pPr>
        <w:spacing w:after="240" w:before="60" w:line="360" w:lineRule="auto"/>
      </w:pPr>
      <w:r>
        <w:rPr>
          <w:rFonts w:ascii="Calibri" w:cs="Calibri" w:eastAsia="Calibri" w:hAnsi="Calibri"/>
          <w:b/>
          <w:bCs/>
          <w:i w:val="false"/>
          <w:iCs w:val="false"/>
          <w:strike w:val="false"/>
          <w:color w:val="2B5797"/>
          <w:sz w:val="22"/>
          <w:szCs w:val="22"/>
        </w:rPr>
        <w:t xml:space="preserve">ENTERS THE DEBATE: The formation of subjectivity through technical apparatus — whether digital environments produce new kinds of selves or merely new symptoms.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Bernard Stiegler's </w:t>
      </w:r>
      <w:r>
        <w:rPr>
          <w:rFonts w:ascii="Calibri" w:cs="Calibri" w:eastAsia="Calibri" w:hAnsi="Calibri"/>
          <w:b w:val="false"/>
          <w:bCs w:val="false"/>
          <w:i/>
          <w:iCs/>
          <w:strike w:val="false"/>
          <w:color w:val="000000"/>
          <w:sz w:val="22"/>
          <w:szCs w:val="22"/>
        </w:rPr>
        <w:t xml:space="preserve">Taking Care of Youth and the Generations</w:t>
      </w:r>
      <w:r>
        <w:rPr>
          <w:rFonts w:ascii="Calibri" w:cs="Calibri" w:eastAsia="Calibri" w:hAnsi="Calibri"/>
          <w:b w:val="false"/>
          <w:bCs w:val="false"/>
          <w:i w:val="false"/>
          <w:iCs w:val="false"/>
          <w:strike w:val="false"/>
          <w:color w:val="000000"/>
          <w:sz w:val="22"/>
          <w:szCs w:val="22"/>
        </w:rPr>
        <w:t xml:space="preserve"> (2010) provides the most direct theoretical ancestor. Stiegler argues that attention — the capacity to sustain focus, to care, to be interested — is not a natural given but a cultivated capacity that requires institutional support (family, school, cultural institutions). When these institutions are undermined by marketing and media that "capture" attention rather than cultivate it, the result is what Stiegler calls "symbolic misery": a generalized impoverishment of the ability to produce and share symbols, leading to social disaffiliation and psychic suffering.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 Katherine Hayles' distinction between "hyper attention" and "deep attention" in her 2007 essay "Hyper and Deep Attention: The Generational Divide in Cognitive Modes" provides the cognitive framework. Hayles argues that the shift from deep attention (sustained focus on a single object over long periods) to hyper attention (rapid switching between multiple information streams) is not a pathology but a genuine cognitive adaptation to information-rich environments. The card's "techautist" figure complicates Hayles by asking: what if the adaptation is genuine but the social skills it displaces were genuinely necessary — not merely nostalgically valued?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Jonathan Crary's </w:t>
      </w:r>
      <w:r>
        <w:rPr>
          <w:rFonts w:ascii="Calibri" w:cs="Calibri" w:eastAsia="Calibri" w:hAnsi="Calibri"/>
          <w:b w:val="false"/>
          <w:bCs w:val="false"/>
          <w:i/>
          <w:iCs/>
          <w:strike w:val="false"/>
          <w:color w:val="000000"/>
          <w:sz w:val="22"/>
          <w:szCs w:val="22"/>
        </w:rPr>
        <w:t xml:space="preserve">Suspensions of Perception</w:t>
      </w:r>
      <w:r>
        <w:rPr>
          <w:rFonts w:ascii="Calibri" w:cs="Calibri" w:eastAsia="Calibri" w:hAnsi="Calibri"/>
          <w:b w:val="false"/>
          <w:bCs w:val="false"/>
          <w:i w:val="false"/>
          <w:iCs w:val="false"/>
          <w:strike w:val="false"/>
          <w:color w:val="000000"/>
          <w:sz w:val="22"/>
          <w:szCs w:val="22"/>
        </w:rPr>
        <w:t xml:space="preserve"> (2001) traces the history of attention as a problem of modernity back to the 19th century, showing that concerns about distraction, overstimulation, and the fragmentation of perception are not new but have been recurring features of industrial capitalism since the telegraph. The card's argument that the techautist's social deficits are "structural, not pathological" echoes Crary's historical point: attention has always been shaped by technical infrastructure.</w:t>
      </w:r>
    </w:p>
    <w:p>
      <w:pPr>
        <w:spacing w:after="120" w:before="60" w:line="360" w:lineRule="auto"/>
      </w:pPr>
      <w:r>
        <w:rPr>
          <w:rFonts w:ascii="Calibri" w:cs="Calibri" w:eastAsia="Calibri" w:hAnsi="Calibri"/>
          <w:b/>
          <w:bCs/>
          <w:i w:val="false"/>
          <w:iCs w:val="false"/>
          <w:strike w:val="false"/>
          <w:color w:val="000000"/>
          <w:sz w:val="22"/>
          <w:szCs w:val="22"/>
        </w:rPr>
        <w:t xml:space="preserve">Real-world anchor:</w:t>
      </w:r>
      <w:r>
        <w:rPr>
          <w:rFonts w:ascii="Calibri" w:cs="Calibri" w:eastAsia="Calibri" w:hAnsi="Calibri"/>
          <w:b w:val="false"/>
          <w:bCs w:val="false"/>
          <w:i w:val="false"/>
          <w:iCs w:val="false"/>
          <w:strike w:val="false"/>
          <w:color w:val="000000"/>
          <w:sz w:val="22"/>
          <w:szCs w:val="22"/>
        </w:rPr>
        <w:t xml:space="preserve"> The American Psychological Association's 2023 report on adolescent social media use found that the effects of social media on teen mental health are "not uniformly harmful or beneficial" but depend on individual, social, and environmental factors. This finding — more nuanced than either the "phones are destroying children" or "it's fine, relax" positions — supports the card's approach of diagnosis over moralization: naming the condition without prescribing a cure.</w:t>
      </w:r>
    </w:p>
    <w:p>
      <w:pPr>
        <w:pStyle w:val="Heading2"/>
        <w:spacing w:after="120" w:before="360" w:line="312" w:lineRule="auto"/>
      </w:pPr>
      <w:r>
        <w:rPr>
          <w:rFonts w:ascii="Calibri" w:cs="Calibri" w:eastAsia="Calibri" w:hAnsi="Calibri"/>
          <w:color w:val="1A1A1A"/>
          <w:sz w:val="36"/>
          <w:szCs w:val="36"/>
        </w:rPr>
        <w:t xml:space="preserve">8. What the Interface Withholds</w:t>
      </w:r>
    </w:p>
    <w:p>
      <w:pPr>
        <w:spacing w:after="60" w:before="60" w:line="360" w:lineRule="auto"/>
      </w:pPr>
      <w:r>
        <w:rPr>
          <w:rFonts w:ascii="Calibri" w:cs="Calibri" w:eastAsia="Calibri" w:hAnsi="Calibri"/>
          <w:b w:val="false"/>
          <w:bCs w:val="false"/>
          <w:i w:val="false"/>
          <w:iCs w:val="false"/>
          <w:strike w:val="false"/>
          <w:color w:val="666666"/>
          <w:spacing w:val="15"/>
          <w:sz w:val="18"/>
          <w:szCs w:val="18"/>
        </w:rPr>
        <w:t xml:space="preserve">WRITINGS</w:t>
      </w:r>
    </w:p>
    <w:p>
      <w:pPr>
        <w:spacing w:after="240" w:before="60" w:line="360" w:lineRule="auto"/>
      </w:pPr>
      <w:r>
        <w:rPr>
          <w:rFonts w:ascii="Calibri" w:cs="Calibri" w:eastAsia="Calibri" w:hAnsi="Calibri"/>
          <w:b/>
          <w:bCs/>
          <w:i w:val="false"/>
          <w:iCs w:val="false"/>
          <w:strike w:val="false"/>
          <w:color w:val="2B5797"/>
          <w:sz w:val="22"/>
          <w:szCs w:val="22"/>
        </w:rPr>
        <w:t xml:space="preserve">ENTERS THE DEBATE: Critical interface studies — the politics of visibility and invisibility in digital design.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Alexander Galloway's </w:t>
      </w:r>
      <w:r>
        <w:rPr>
          <w:rFonts w:ascii="Calibri" w:cs="Calibri" w:eastAsia="Calibri" w:hAnsi="Calibri"/>
          <w:b w:val="false"/>
          <w:bCs w:val="false"/>
          <w:i/>
          <w:iCs/>
          <w:strike w:val="false"/>
          <w:color w:val="000000"/>
          <w:sz w:val="22"/>
          <w:szCs w:val="22"/>
        </w:rPr>
        <w:t xml:space="preserve">The Interface Effect</w:t>
      </w:r>
      <w:r>
        <w:rPr>
          <w:rFonts w:ascii="Calibri" w:cs="Calibri" w:eastAsia="Calibri" w:hAnsi="Calibri"/>
          <w:b w:val="false"/>
          <w:bCs w:val="false"/>
          <w:i w:val="false"/>
          <w:iCs w:val="false"/>
          <w:strike w:val="false"/>
          <w:color w:val="000000"/>
          <w:sz w:val="22"/>
          <w:szCs w:val="22"/>
        </w:rPr>
        <w:t xml:space="preserve"> (2012) is the direct theoretical interlocutor. Galloway argues that the interface is not a transparent window onto information but an autonomous zone with its own politics. The interface does not merely connect user to system; it produces a specific relationship between them — a relationship characterized by the asymmetry of what is shown and what is hidden. The card's central claim — "the interface determines what remains invisible" — is Galloway's thesis in compressed form.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Wendy Chun's </w:t>
      </w:r>
      <w:r>
        <w:rPr>
          <w:rFonts w:ascii="Calibri" w:cs="Calibri" w:eastAsia="Calibri" w:hAnsi="Calibri"/>
          <w:b w:val="false"/>
          <w:bCs w:val="false"/>
          <w:i/>
          <w:iCs/>
          <w:strike w:val="false"/>
          <w:color w:val="000000"/>
          <w:sz w:val="22"/>
          <w:szCs w:val="22"/>
        </w:rPr>
        <w:t xml:space="preserve">Updating to Remain the Same</w:t>
      </w:r>
      <w:r>
        <w:rPr>
          <w:rFonts w:ascii="Calibri" w:cs="Calibri" w:eastAsia="Calibri" w:hAnsi="Calibri"/>
          <w:b w:val="false"/>
          <w:bCs w:val="false"/>
          <w:i w:val="false"/>
          <w:iCs w:val="false"/>
          <w:strike w:val="false"/>
          <w:color w:val="000000"/>
          <w:sz w:val="22"/>
          <w:szCs w:val="22"/>
        </w:rPr>
        <w:t xml:space="preserve"> (2016) adds the temporal dimension. Chun argues that the imperative to update — to install the latest software, to check for new notifications, to refresh the feed — is not a neutral maintenance activity but a form of habitual engagement that transforms users into what she calls "creatures of the update." The interface's withholding is not static; it is dynamic, continuously producing new gaps between what is shown and what is hidden, ensuring that the user's relationship to the system is always incomplete, always requiring another update.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Benjamin Bratton's </w:t>
      </w:r>
      <w:r>
        <w:rPr>
          <w:rFonts w:ascii="Calibri" w:cs="Calibri" w:eastAsia="Calibri" w:hAnsi="Calibri"/>
          <w:b w:val="false"/>
          <w:bCs w:val="false"/>
          <w:i/>
          <w:iCs/>
          <w:strike w:val="false"/>
          <w:color w:val="000000"/>
          <w:sz w:val="22"/>
          <w:szCs w:val="22"/>
        </w:rPr>
        <w:t xml:space="preserve">The Stack</w:t>
      </w:r>
      <w:r>
        <w:rPr>
          <w:rFonts w:ascii="Calibri" w:cs="Calibri" w:eastAsia="Calibri" w:hAnsi="Calibri"/>
          <w:b w:val="false"/>
          <w:bCs w:val="false"/>
          <w:i w:val="false"/>
          <w:iCs w:val="false"/>
          <w:strike w:val="false"/>
          <w:color w:val="000000"/>
          <w:sz w:val="22"/>
          <w:szCs w:val="22"/>
        </w:rPr>
        <w:t xml:space="preserve"> (2016) provides the infrastructural frame. Bratton models planetary computation as a six-layer architecture (Earth, Cloud, City, Address, Interface, User) in which the interface layer is simultaneously the most visible and the most deceiving — it presents a simplified, manipulable surface that obscures the computational, political, and material layers below. The card's argument about "selective legibility" maps directly onto Bratton's stack: the interface shows enough to create the experience of agency while hiding enough to maintain the system's structural authority.</w:t>
      </w:r>
    </w:p>
    <w:p>
      <w:pPr>
        <w:spacing w:after="120" w:before="60" w:line="360" w:lineRule="auto"/>
      </w:pPr>
      <w:r>
        <w:rPr>
          <w:rFonts w:ascii="Calibri" w:cs="Calibri" w:eastAsia="Calibri" w:hAnsi="Calibri"/>
          <w:b/>
          <w:bCs/>
          <w:i w:val="false"/>
          <w:iCs w:val="false"/>
          <w:strike w:val="false"/>
          <w:color w:val="000000"/>
          <w:sz w:val="22"/>
          <w:szCs w:val="22"/>
        </w:rPr>
        <w:t xml:space="preserve">Real-world anchor:</w:t>
      </w:r>
      <w:r>
        <w:rPr>
          <w:rFonts w:ascii="Calibri" w:cs="Calibri" w:eastAsia="Calibri" w:hAnsi="Calibri"/>
          <w:b w:val="false"/>
          <w:bCs w:val="false"/>
          <w:i w:val="false"/>
          <w:iCs w:val="false"/>
          <w:strike w:val="false"/>
          <w:color w:val="000000"/>
          <w:sz w:val="22"/>
          <w:szCs w:val="22"/>
        </w:rPr>
        <w:t xml:space="preserve"> The Facebook/Meta "Download Your Information" tool, introduced in compliance with GDPR, is the paradigmatic case of the interface withholding through apparent disclosure. The export provides structured JSON files organized into categories defined by Facebook's internal data model — not categories that correspond to the user's lived experience. Studies have shown that the exported data represents a fraction of what Facebook actually holds: it excludes derived data, inferred interests, ad targeting parameters, and algorithmic classifications. The tool satisfies a regulatory requirement while structurally preventing genuine transparency.</w:t>
      </w:r>
    </w:p>
    <w:p>
      <w:pPr>
        <w:pStyle w:val="Heading2"/>
        <w:spacing w:after="120" w:before="360" w:line="312" w:lineRule="auto"/>
      </w:pPr>
      <w:r>
        <w:rPr>
          <w:rFonts w:ascii="Calibri" w:cs="Calibri" w:eastAsia="Calibri" w:hAnsi="Calibri"/>
          <w:color w:val="1A1A1A"/>
          <w:sz w:val="36"/>
          <w:szCs w:val="36"/>
        </w:rPr>
        <w:t xml:space="preserve">9. Authenticity After Instagram</w:t>
      </w:r>
    </w:p>
    <w:p>
      <w:pPr>
        <w:spacing w:after="60" w:before="60" w:line="360" w:lineRule="auto"/>
      </w:pPr>
      <w:r>
        <w:rPr>
          <w:rFonts w:ascii="Calibri" w:cs="Calibri" w:eastAsia="Calibri" w:hAnsi="Calibri"/>
          <w:b w:val="false"/>
          <w:bCs w:val="false"/>
          <w:i w:val="false"/>
          <w:iCs w:val="false"/>
          <w:strike w:val="false"/>
          <w:color w:val="666666"/>
          <w:spacing w:val="15"/>
          <w:sz w:val="18"/>
          <w:szCs w:val="18"/>
        </w:rPr>
        <w:t xml:space="preserve">WRITINGS</w:t>
      </w:r>
    </w:p>
    <w:p>
      <w:pPr>
        <w:spacing w:after="240" w:before="60" w:line="360" w:lineRule="auto"/>
      </w:pPr>
      <w:r>
        <w:rPr>
          <w:rFonts w:ascii="Calibri" w:cs="Calibri" w:eastAsia="Calibri" w:hAnsi="Calibri"/>
          <w:b/>
          <w:bCs/>
          <w:i w:val="false"/>
          <w:iCs w:val="false"/>
          <w:strike w:val="false"/>
          <w:color w:val="2B5797"/>
          <w:sz w:val="22"/>
          <w:szCs w:val="22"/>
        </w:rPr>
        <w:t xml:space="preserve">ENTERS THE DEBATE: Post-authenticity theory — whether authenticity survives its commodification as a brand strategy.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Jia Tolentino's </w:t>
      </w:r>
      <w:r>
        <w:rPr>
          <w:rFonts w:ascii="Calibri" w:cs="Calibri" w:eastAsia="Calibri" w:hAnsi="Calibri"/>
          <w:b w:val="false"/>
          <w:bCs w:val="false"/>
          <w:i/>
          <w:iCs/>
          <w:strike w:val="false"/>
          <w:color w:val="000000"/>
          <w:sz w:val="22"/>
          <w:szCs w:val="22"/>
        </w:rPr>
        <w:t xml:space="preserve">Trick Mirror</w:t>
      </w:r>
      <w:r>
        <w:rPr>
          <w:rFonts w:ascii="Calibri" w:cs="Calibri" w:eastAsia="Calibri" w:hAnsi="Calibri"/>
          <w:b w:val="false"/>
          <w:bCs w:val="false"/>
          <w:i w:val="false"/>
          <w:iCs w:val="false"/>
          <w:strike w:val="false"/>
          <w:color w:val="000000"/>
          <w:sz w:val="22"/>
          <w:szCs w:val="22"/>
        </w:rPr>
        <w:t xml:space="preserve"> (2019), particularly the essay "The I in Internet," provides the closest contemporary analysis. Tolentino argues that the internet created "a self that was not only an expression of identity, but a product" — a performance optimized for audience reception rather than self-expression. The card's argument that "authenticity became a genre" — a particular aesthetic of vulnerability that is no less curated than aspiration — is Tolentino's thesis extended from the essay form into structural analysis.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Sarah Banet-Weiser's </w:t>
      </w:r>
      <w:r>
        <w:rPr>
          <w:rFonts w:ascii="Calibri" w:cs="Calibri" w:eastAsia="Calibri" w:hAnsi="Calibri"/>
          <w:b w:val="false"/>
          <w:bCs w:val="false"/>
          <w:i/>
          <w:iCs/>
          <w:strike w:val="false"/>
          <w:color w:val="000000"/>
          <w:sz w:val="22"/>
          <w:szCs w:val="22"/>
        </w:rPr>
        <w:t xml:space="preserve">Authentic™</w:t>
      </w:r>
      <w:r>
        <w:rPr>
          <w:rFonts w:ascii="Calibri" w:cs="Calibri" w:eastAsia="Calibri" w:hAnsi="Calibri"/>
          <w:b w:val="false"/>
          <w:bCs w:val="false"/>
          <w:i w:val="false"/>
          <w:iCs w:val="false"/>
          <w:strike w:val="false"/>
          <w:color w:val="000000"/>
          <w:sz w:val="22"/>
          <w:szCs w:val="22"/>
        </w:rPr>
        <w:t xml:space="preserve"> (2012) coined the crucial concept of "brand authenticity" — the paradox of authenticity becoming a marketing strategy. Banet-Weiser traces how authenticity migrated from a philosophical and existential concept (Heidegger's </w:t>
      </w:r>
      <w:r>
        <w:rPr>
          <w:rFonts w:ascii="Calibri" w:cs="Calibri" w:eastAsia="Calibri" w:hAnsi="Calibri"/>
          <w:b w:val="false"/>
          <w:bCs w:val="false"/>
          <w:i/>
          <w:iCs/>
          <w:strike w:val="false"/>
          <w:color w:val="000000"/>
          <w:sz w:val="22"/>
          <w:szCs w:val="22"/>
        </w:rPr>
        <w:t xml:space="preserve">Eigentlichkeit</w:t>
      </w:r>
      <w:r>
        <w:rPr>
          <w:rFonts w:ascii="Calibri" w:cs="Calibri" w:eastAsia="Calibri" w:hAnsi="Calibri"/>
          <w:b w:val="false"/>
          <w:bCs w:val="false"/>
          <w:i w:val="false"/>
          <w:iCs w:val="false"/>
          <w:strike w:val="false"/>
          <w:color w:val="000000"/>
          <w:sz w:val="22"/>
          <w:szCs w:val="22"/>
        </w:rPr>
        <w:t xml:space="preserve">, Sartre's bad faith) to a brand attribute that corporations strategically perform. When Patagonia advertises "Don't Buy This Jacket" or Dove runs "Real Beauty" campaigns, authenticity becomes a genre within advertising — a style of performance, not a quality of being.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Erving Goffman's </w:t>
      </w:r>
      <w:r>
        <w:rPr>
          <w:rFonts w:ascii="Calibri" w:cs="Calibri" w:eastAsia="Calibri" w:hAnsi="Calibri"/>
          <w:b w:val="false"/>
          <w:bCs w:val="false"/>
          <w:i/>
          <w:iCs/>
          <w:strike w:val="false"/>
          <w:color w:val="000000"/>
          <w:sz w:val="22"/>
          <w:szCs w:val="22"/>
        </w:rPr>
        <w:t xml:space="preserve">The Presentation of Self in Everyday Life</w:t>
      </w:r>
      <w:r>
        <w:rPr>
          <w:rFonts w:ascii="Calibri" w:cs="Calibri" w:eastAsia="Calibri" w:hAnsi="Calibri"/>
          <w:b w:val="false"/>
          <w:bCs w:val="false"/>
          <w:i w:val="false"/>
          <w:iCs w:val="false"/>
          <w:strike w:val="false"/>
          <w:color w:val="000000"/>
          <w:sz w:val="22"/>
          <w:szCs w:val="22"/>
        </w:rPr>
        <w:t xml:space="preserve"> (1956) remains foundational. Goffman's dramaturgical model — the distinction between "front stage" (performative behavior) and "back stage" (private behavior) — anticipated the Instagram dynamic by half a century. The card's use of the Verboten manifesto ("Your mask shall become one with you") is a Goffmanian argument pushed to its logical endpoint: what if there is no backstage? What if the performance is so complete that the performer and the mask have become the same entity?</w:t>
      </w:r>
    </w:p>
    <w:p>
      <w:pPr>
        <w:spacing w:after="120" w:before="60" w:line="360" w:lineRule="auto"/>
      </w:pPr>
      <w:r>
        <w:rPr>
          <w:rFonts w:ascii="Calibri" w:cs="Calibri" w:eastAsia="Calibri" w:hAnsi="Calibri"/>
          <w:b/>
          <w:bCs/>
          <w:i w:val="false"/>
          <w:iCs w:val="false"/>
          <w:strike w:val="false"/>
          <w:color w:val="000000"/>
          <w:sz w:val="22"/>
          <w:szCs w:val="22"/>
        </w:rPr>
        <w:t xml:space="preserve">Real-world anchor:</w:t>
      </w:r>
      <w:r>
        <w:rPr>
          <w:rFonts w:ascii="Calibri" w:cs="Calibri" w:eastAsia="Calibri" w:hAnsi="Calibri"/>
          <w:b w:val="false"/>
          <w:bCs w:val="false"/>
          <w:i w:val="false"/>
          <w:iCs w:val="false"/>
          <w:strike w:val="false"/>
          <w:color w:val="000000"/>
          <w:sz w:val="22"/>
          <w:szCs w:val="22"/>
        </w:rPr>
        <w:t xml:space="preserve"> The "de-influencing" trend of 2023–2024 — TikTok creators making videos about products they DON'T recommend — is the authenticity paradox in real time. De-influencing performs anti-consumerism within the exact platform infrastructure that monetizes consumption. The "authentic" rejection of influence is itself an influence strategy, garnering millions of views and, inevitably, sponsorship deals. The card's argument that "the sincere person and the performing person are now indistinguishable from the outside" is the de-influencing paradox stated as philosophical principle.</w:t>
      </w:r>
    </w:p>
    <w:p>
      <w:pPr>
        <w:pStyle w:val="Heading2"/>
        <w:spacing w:after="120" w:before="360" w:line="312" w:lineRule="auto"/>
      </w:pPr>
      <w:r>
        <w:rPr>
          <w:rFonts w:ascii="Calibri" w:cs="Calibri" w:eastAsia="Calibri" w:hAnsi="Calibri"/>
          <w:color w:val="1A1A1A"/>
          <w:sz w:val="36"/>
          <w:szCs w:val="36"/>
        </w:rPr>
        <w:t xml:space="preserve">10. Correspondence: Persons and Machines</w:t>
      </w:r>
    </w:p>
    <w:p>
      <w:pPr>
        <w:spacing w:after="60" w:before="60" w:line="360" w:lineRule="auto"/>
      </w:pPr>
      <w:r>
        <w:rPr>
          <w:rFonts w:ascii="Calibri" w:cs="Calibri" w:eastAsia="Calibri" w:hAnsi="Calibri"/>
          <w:b w:val="false"/>
          <w:bCs w:val="false"/>
          <w:i w:val="false"/>
          <w:iCs w:val="false"/>
          <w:strike w:val="false"/>
          <w:color w:val="666666"/>
          <w:spacing w:val="15"/>
          <w:sz w:val="18"/>
          <w:szCs w:val="18"/>
        </w:rPr>
        <w:t xml:space="preserve">WRITINGS</w:t>
      </w:r>
    </w:p>
    <w:p>
      <w:pPr>
        <w:spacing w:after="240" w:before="60" w:line="360" w:lineRule="auto"/>
      </w:pPr>
      <w:r>
        <w:rPr>
          <w:rFonts w:ascii="Calibri" w:cs="Calibri" w:eastAsia="Calibri" w:hAnsi="Calibri"/>
          <w:b/>
          <w:bCs/>
          <w:i w:val="false"/>
          <w:iCs w:val="false"/>
          <w:strike w:val="false"/>
          <w:color w:val="2B5797"/>
          <w:sz w:val="22"/>
          <w:szCs w:val="22"/>
        </w:rPr>
        <w:t xml:space="preserve">ENTERS THE DEBATE: The philosophical status of human-AI interaction — whether machines can be genuine interlocutors.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Joseph Weizenbaum's </w:t>
      </w:r>
      <w:r>
        <w:rPr>
          <w:rFonts w:ascii="Calibri" w:cs="Calibri" w:eastAsia="Calibri" w:hAnsi="Calibri"/>
          <w:b w:val="false"/>
          <w:bCs w:val="false"/>
          <w:i/>
          <w:iCs/>
          <w:strike w:val="false"/>
          <w:color w:val="000000"/>
          <w:sz w:val="22"/>
          <w:szCs w:val="22"/>
        </w:rPr>
        <w:t xml:space="preserve">Computer Power and Human Reason</w:t>
      </w:r>
      <w:r>
        <w:rPr>
          <w:rFonts w:ascii="Calibri" w:cs="Calibri" w:eastAsia="Calibri" w:hAnsi="Calibri"/>
          <w:b w:val="false"/>
          <w:bCs w:val="false"/>
          <w:i w:val="false"/>
          <w:iCs w:val="false"/>
          <w:strike w:val="false"/>
          <w:color w:val="000000"/>
          <w:sz w:val="22"/>
          <w:szCs w:val="22"/>
        </w:rPr>
        <w:t xml:space="preserve"> (1976) remains the foundational text. Weizenbaum, who created ELIZA — one of the first natural language processing programs — was so disturbed by users' emotional attachment to his creation that he wrote an entire book arguing that computers should never be entrusted with tasks requiring genuine understanding. The card inverts Weizenbaum's anxiety: instead of warning against anthropomorphism, it asks what kinds of social forms emerge when humans and machines correspond — not as tool and user, but as two entities negotiating the terms of engagement.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Sherry Turkle's trajectory from </w:t>
      </w:r>
      <w:r>
        <w:rPr>
          <w:rFonts w:ascii="Calibri" w:cs="Calibri" w:eastAsia="Calibri" w:hAnsi="Calibri"/>
          <w:b w:val="false"/>
          <w:bCs w:val="false"/>
          <w:i/>
          <w:iCs/>
          <w:strike w:val="false"/>
          <w:color w:val="000000"/>
          <w:sz w:val="22"/>
          <w:szCs w:val="22"/>
        </w:rPr>
        <w:t xml:space="preserve">Life on the Screen</w:t>
      </w:r>
      <w:r>
        <w:rPr>
          <w:rFonts w:ascii="Calibri" w:cs="Calibri" w:eastAsia="Calibri" w:hAnsi="Calibri"/>
          <w:b w:val="false"/>
          <w:bCs w:val="false"/>
          <w:i w:val="false"/>
          <w:iCs w:val="false"/>
          <w:strike w:val="false"/>
          <w:color w:val="000000"/>
          <w:sz w:val="22"/>
          <w:szCs w:val="22"/>
        </w:rPr>
        <w:t xml:space="preserve"> (1995) to </w:t>
      </w:r>
      <w:r>
        <w:rPr>
          <w:rFonts w:ascii="Calibri" w:cs="Calibri" w:eastAsia="Calibri" w:hAnsi="Calibri"/>
          <w:b w:val="false"/>
          <w:bCs w:val="false"/>
          <w:i/>
          <w:iCs/>
          <w:strike w:val="false"/>
          <w:color w:val="000000"/>
          <w:sz w:val="22"/>
          <w:szCs w:val="22"/>
        </w:rPr>
        <w:t xml:space="preserve">Alone Together</w:t>
      </w:r>
      <w:r>
        <w:rPr>
          <w:rFonts w:ascii="Calibri" w:cs="Calibri" w:eastAsia="Calibri" w:hAnsi="Calibri"/>
          <w:b w:val="false"/>
          <w:bCs w:val="false"/>
          <w:i w:val="false"/>
          <w:iCs w:val="false"/>
          <w:strike w:val="false"/>
          <w:color w:val="000000"/>
          <w:sz w:val="22"/>
          <w:szCs w:val="22"/>
        </w:rPr>
        <w:t xml:space="preserve"> (2011) traces the cultural shift from optimism to anxiety about human-machine relations. In the earlier work, Turkle saw online identity play as potentially liberating — a space for exploring selfhood freed from physical constraints. By </w:t>
      </w:r>
      <w:r>
        <w:rPr>
          <w:rFonts w:ascii="Calibri" w:cs="Calibri" w:eastAsia="Calibri" w:hAnsi="Calibri"/>
          <w:b w:val="false"/>
          <w:bCs w:val="false"/>
          <w:i/>
          <w:iCs/>
          <w:strike w:val="false"/>
          <w:color w:val="000000"/>
          <w:sz w:val="22"/>
          <w:szCs w:val="22"/>
        </w:rPr>
        <w:t xml:space="preserve">Alone Together</w:t>
      </w:r>
      <w:r>
        <w:rPr>
          <w:rFonts w:ascii="Calibri" w:cs="Calibri" w:eastAsia="Calibri" w:hAnsi="Calibri"/>
          <w:b w:val="false"/>
          <w:bCs w:val="false"/>
          <w:i w:val="false"/>
          <w:iCs w:val="false"/>
          <w:strike w:val="false"/>
          <w:color w:val="000000"/>
          <w:sz w:val="22"/>
          <w:szCs w:val="22"/>
        </w:rPr>
        <w:t xml:space="preserve">, she had reversed course, arguing that digital communication was producing a "flight from conversation" that diminished empathy and depth. The card occupies the brief window between these two positions: the period when talking to a machine was "strange enough to be interesting" — before it became either utopian or threatening.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Kate Crawford's </w:t>
      </w:r>
      <w:r>
        <w:rPr>
          <w:rFonts w:ascii="Calibri" w:cs="Calibri" w:eastAsia="Calibri" w:hAnsi="Calibri"/>
          <w:b w:val="false"/>
          <w:bCs w:val="false"/>
          <w:i/>
          <w:iCs/>
          <w:strike w:val="false"/>
          <w:color w:val="000000"/>
          <w:sz w:val="22"/>
          <w:szCs w:val="22"/>
        </w:rPr>
        <w:t xml:space="preserve">Atlas of AI</w:t>
      </w:r>
      <w:r>
        <w:rPr>
          <w:rFonts w:ascii="Calibri" w:cs="Calibri" w:eastAsia="Calibri" w:hAnsi="Calibri"/>
          <w:b w:val="false"/>
          <w:bCs w:val="false"/>
          <w:i w:val="false"/>
          <w:iCs w:val="false"/>
          <w:strike w:val="false"/>
          <w:color w:val="000000"/>
          <w:sz w:val="22"/>
          <w:szCs w:val="22"/>
        </w:rPr>
        <w:t xml:space="preserve"> (2021) provides the material counter-argument. Crawford insists that AI is neither artificial nor intelligent — it is an extractive industry that depends on vast quantities of human labor (data labelers, content moderators, warehouse workers), natural resources (water for cooling, lithium for batteries), and concentrated capital. The card's focus on the "correspondence" — the intimate, textual, one-to-one exchange — is the precise scale that Crawford's macro-analysis does not address. Both perspectives are necessary: the structural truth that AI is an industry, and the phenomenological truth that individual human-machine exchanges can generate genuine novelty.</w:t>
      </w:r>
    </w:p>
    <w:p>
      <w:pPr>
        <w:spacing w:after="120" w:before="60" w:line="360" w:lineRule="auto"/>
      </w:pPr>
      <w:r>
        <w:rPr>
          <w:rFonts w:ascii="Calibri" w:cs="Calibri" w:eastAsia="Calibri" w:hAnsi="Calibri"/>
          <w:b/>
          <w:bCs/>
          <w:i w:val="false"/>
          <w:iCs w:val="false"/>
          <w:strike w:val="false"/>
          <w:color w:val="000000"/>
          <w:sz w:val="22"/>
          <w:szCs w:val="22"/>
        </w:rPr>
        <w:t xml:space="preserve">Real-world anchor:</w:t>
      </w:r>
      <w:r>
        <w:rPr>
          <w:rFonts w:ascii="Calibri" w:cs="Calibri" w:eastAsia="Calibri" w:hAnsi="Calibri"/>
          <w:b w:val="false"/>
          <w:bCs w:val="false"/>
          <w:i w:val="false"/>
          <w:iCs w:val="false"/>
          <w:strike w:val="false"/>
          <w:color w:val="000000"/>
          <w:sz w:val="22"/>
          <w:szCs w:val="22"/>
        </w:rPr>
        <w:t xml:space="preserve"> The "semantic attractor" phenomenon described in the card — where a machine develops a local vocabulary orbit around words like "wound," "threshold," "ceremony" through sustained interaction with a specific user — has been documented in research on in-context learning in large language models. The 2023 Anthropic paper on "In-context Learning Creates Task Vectors" showed that transformer models form temporary computational structures during conversation that function like specialized tools for the specific interaction. These are not memories in the human sense, but they are genuine adaptations — the machine changes its processing patterns in response to user pressure.</w:t>
      </w:r>
    </w:p>
    <w:p>
      <w:pPr>
        <w:pStyle w:val="Heading2"/>
        <w:spacing w:after="120" w:before="360" w:line="312" w:lineRule="auto"/>
      </w:pPr>
      <w:r>
        <w:rPr>
          <w:rFonts w:ascii="Calibri" w:cs="Calibri" w:eastAsia="Calibri" w:hAnsi="Calibri"/>
          <w:color w:val="1A1A1A"/>
          <w:sz w:val="36"/>
          <w:szCs w:val="36"/>
        </w:rPr>
        <w:t xml:space="preserve">11. Recursive Time Capsules</w:t>
      </w:r>
    </w:p>
    <w:p>
      <w:pPr>
        <w:spacing w:after="60" w:before="60" w:line="360" w:lineRule="auto"/>
      </w:pPr>
      <w:r>
        <w:rPr>
          <w:rFonts w:ascii="Calibri" w:cs="Calibri" w:eastAsia="Calibri" w:hAnsi="Calibri"/>
          <w:b w:val="false"/>
          <w:bCs w:val="false"/>
          <w:i w:val="false"/>
          <w:iCs w:val="false"/>
          <w:strike w:val="false"/>
          <w:color w:val="666666"/>
          <w:spacing w:val="15"/>
          <w:sz w:val="18"/>
          <w:szCs w:val="18"/>
        </w:rPr>
        <w:t xml:space="preserve">SANDBOX</w:t>
      </w:r>
    </w:p>
    <w:p>
      <w:pPr>
        <w:spacing w:after="240" w:before="60" w:line="360" w:lineRule="auto"/>
      </w:pPr>
      <w:r>
        <w:rPr>
          <w:rFonts w:ascii="Calibri" w:cs="Calibri" w:eastAsia="Calibri" w:hAnsi="Calibri"/>
          <w:b/>
          <w:bCs/>
          <w:i w:val="false"/>
          <w:iCs w:val="false"/>
          <w:strike w:val="false"/>
          <w:color w:val="2B5797"/>
          <w:sz w:val="22"/>
          <w:szCs w:val="22"/>
        </w:rPr>
        <w:t xml:space="preserve">ENTERS THE DEBATE: Hauntology and temporal collapse — whether the past, present, and future can still be meaningfully distinguished in digital environments.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Mark Fisher's concept of "hauntology" — drawn from Derrida and developed in </w:t>
      </w:r>
      <w:r>
        <w:rPr>
          <w:rFonts w:ascii="Calibri" w:cs="Calibri" w:eastAsia="Calibri" w:hAnsi="Calibri"/>
          <w:b w:val="false"/>
          <w:bCs w:val="false"/>
          <w:i/>
          <w:iCs/>
          <w:strike w:val="false"/>
          <w:color w:val="000000"/>
          <w:sz w:val="22"/>
          <w:szCs w:val="22"/>
        </w:rPr>
        <w:t xml:space="preserve">Ghosts of My Life</w:t>
      </w:r>
      <w:r>
        <w:rPr>
          <w:rFonts w:ascii="Calibri" w:cs="Calibri" w:eastAsia="Calibri" w:hAnsi="Calibri"/>
          <w:b w:val="false"/>
          <w:bCs w:val="false"/>
          <w:i w:val="false"/>
          <w:iCs w:val="false"/>
          <w:strike w:val="false"/>
          <w:color w:val="000000"/>
          <w:sz w:val="22"/>
          <w:szCs w:val="22"/>
        </w:rPr>
        <w:t xml:space="preserve"> (2014) — describes a cultural condition in which the future has been canceled. The present is haunted by futures that never arrived and pasts that refuse to pass. Fisher's hauntology was primarily about music and popular culture (the uncanny persistence of 1970s and 1980s aesthetics in contemporary electronic music), but the card extends it to the archive itself: the time capsule as a form becomes hauntological when digital infrastructure collapses the temporal distance it depends 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Wendy Chun's concept of "updating to remain the same" — the paradox of perpetual change that produces stasis — provides the media-theoretical frame. The recursive time capsule is a Chunian object: something that updates continuously (the rotating homepage statement, the algorithmically resurfaced memory) while performing the cultural function of preservation. It is always new and always archival. This temporal paradox is the condition of digital culture itself.</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Hartmut Rosa's "frenetic standstill" — the experience of moving very fast while going nowhere — names the social acceleration version of the same problem. The time capsule form presumes movement through time; frenetic standstill means the capsule opens continuously and never arrives.</w:t>
      </w:r>
    </w:p>
    <w:p>
      <w:pPr>
        <w:spacing w:after="120" w:before="60" w:line="360" w:lineRule="auto"/>
      </w:pPr>
      <w:r>
        <w:rPr>
          <w:rFonts w:ascii="Calibri" w:cs="Calibri" w:eastAsia="Calibri" w:hAnsi="Calibri"/>
          <w:b/>
          <w:bCs/>
          <w:i w:val="false"/>
          <w:iCs w:val="false"/>
          <w:strike w:val="false"/>
          <w:color w:val="000000"/>
          <w:sz w:val="22"/>
          <w:szCs w:val="22"/>
        </w:rPr>
        <w:t xml:space="preserve">Real-world anchor:</w:t>
      </w:r>
      <w:r>
        <w:rPr>
          <w:rFonts w:ascii="Calibri" w:cs="Calibri" w:eastAsia="Calibri" w:hAnsi="Calibri"/>
          <w:b w:val="false"/>
          <w:bCs w:val="false"/>
          <w:i w:val="false"/>
          <w:iCs w:val="false"/>
          <w:strike w:val="false"/>
          <w:color w:val="000000"/>
          <w:sz w:val="22"/>
          <w:szCs w:val="22"/>
        </w:rPr>
        <w:t xml:space="preserve"> Apple's "Memories" feature and Facebook's "On This Day" function are commercial implementations of the recursive time capsule — algorithmic systems that generate nostalgia on schedule. A 2021 study in the journal </w:t>
      </w:r>
      <w:r>
        <w:rPr>
          <w:rFonts w:ascii="Calibri" w:cs="Calibri" w:eastAsia="Calibri" w:hAnsi="Calibri"/>
          <w:b w:val="false"/>
          <w:bCs w:val="false"/>
          <w:i/>
          <w:iCs/>
          <w:strike w:val="false"/>
          <w:color w:val="000000"/>
          <w:sz w:val="22"/>
          <w:szCs w:val="22"/>
        </w:rPr>
        <w:t xml:space="preserve">New Media &amp; Society</w:t>
      </w:r>
      <w:r>
        <w:rPr>
          <w:rFonts w:ascii="Calibri" w:cs="Calibri" w:eastAsia="Calibri" w:hAnsi="Calibri"/>
          <w:b w:val="false"/>
          <w:bCs w:val="false"/>
          <w:i w:val="false"/>
          <w:iCs w:val="false"/>
          <w:strike w:val="false"/>
          <w:color w:val="000000"/>
          <w:sz w:val="22"/>
          <w:szCs w:val="22"/>
        </w:rPr>
        <w:t xml:space="preserve"> found that users experienced these features as both comforting and intrusive, producing what the researchers called "ambient nostalgia" — a background hum of temporal displacement generated by the platform without the user's initiation. The card's concept of "indeterminate later moments" — neither past nor future but a temporal zone the platform manufactures — names what the study documented empirically.</w:t>
      </w:r>
    </w:p>
    <w:p>
      <w:pPr>
        <w:pStyle w:val="Heading2"/>
        <w:spacing w:after="120" w:before="360" w:line="312" w:lineRule="auto"/>
      </w:pPr>
      <w:r>
        <w:rPr>
          <w:rFonts w:ascii="Calibri" w:cs="Calibri" w:eastAsia="Calibri" w:hAnsi="Calibri"/>
          <w:color w:val="1A1A1A"/>
          <w:sz w:val="36"/>
          <w:szCs w:val="36"/>
        </w:rPr>
        <w:t xml:space="preserve">12. The Avatar Problem</w:t>
      </w:r>
    </w:p>
    <w:p>
      <w:pPr>
        <w:spacing w:after="60" w:before="60" w:line="360" w:lineRule="auto"/>
      </w:pPr>
      <w:r>
        <w:rPr>
          <w:rFonts w:ascii="Calibri" w:cs="Calibri" w:eastAsia="Calibri" w:hAnsi="Calibri"/>
          <w:b w:val="false"/>
          <w:bCs w:val="false"/>
          <w:i w:val="false"/>
          <w:iCs w:val="false"/>
          <w:strike w:val="false"/>
          <w:color w:val="666666"/>
          <w:spacing w:val="15"/>
          <w:sz w:val="18"/>
          <w:szCs w:val="18"/>
        </w:rPr>
        <w:t xml:space="preserve">SANDBOX</w:t>
      </w:r>
    </w:p>
    <w:p>
      <w:pPr>
        <w:spacing w:after="240" w:before="60" w:line="360" w:lineRule="auto"/>
      </w:pPr>
      <w:r>
        <w:rPr>
          <w:rFonts w:ascii="Calibri" w:cs="Calibri" w:eastAsia="Calibri" w:hAnsi="Calibri"/>
          <w:b/>
          <w:bCs/>
          <w:i w:val="false"/>
          <w:iCs w:val="false"/>
          <w:strike w:val="false"/>
          <w:color w:val="2B5797"/>
          <w:sz w:val="22"/>
          <w:szCs w:val="22"/>
        </w:rPr>
        <w:t xml:space="preserve">ENTERS THE DEBATE: Digital identity theory — whether online self-representation is a diminishment or an expansion of selfhood.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Sherry Turkle's </w:t>
      </w:r>
      <w:r>
        <w:rPr>
          <w:rFonts w:ascii="Calibri" w:cs="Calibri" w:eastAsia="Calibri" w:hAnsi="Calibri"/>
          <w:b w:val="false"/>
          <w:bCs w:val="false"/>
          <w:i/>
          <w:iCs/>
          <w:strike w:val="false"/>
          <w:color w:val="000000"/>
          <w:sz w:val="22"/>
          <w:szCs w:val="22"/>
        </w:rPr>
        <w:t xml:space="preserve">Life on the Screen</w:t>
      </w:r>
      <w:r>
        <w:rPr>
          <w:rFonts w:ascii="Calibri" w:cs="Calibri" w:eastAsia="Calibri" w:hAnsi="Calibri"/>
          <w:b w:val="false"/>
          <w:bCs w:val="false"/>
          <w:i w:val="false"/>
          <w:iCs w:val="false"/>
          <w:strike w:val="false"/>
          <w:color w:val="000000"/>
          <w:sz w:val="22"/>
          <w:szCs w:val="22"/>
        </w:rPr>
        <w:t xml:space="preserve"> (1995) remains the foundational text on digital identity as a site of experimentation. Turkle documented how early internet users — in MUDs (multi-user dungeons) and chat rooms — used the anonymity of text-based interaction to explore alternative identities: different genders, different personalities, different social positions. Turkle saw this as potentially therapeutic, a "moratorium" in the Eriksonian sense — a space for trying on selves before committing.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Donna Haraway's "A Cyborg Manifesto" (1985) provides the more radical framework. Haraway argues that the boundary between human and machine is already dissolved — that we are all cyborgs, organisms whose identities are constituted through technical apparatus. The card's use of the Verboten manifesto ("the mask shall become you") is a Harawayan argument: the avatar is not hiding the human; the avatar is part of what the human is.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Yuk Hui's </w:t>
      </w:r>
      <w:r>
        <w:rPr>
          <w:rFonts w:ascii="Calibri" w:cs="Calibri" w:eastAsia="Calibri" w:hAnsi="Calibri"/>
          <w:b w:val="false"/>
          <w:bCs w:val="false"/>
          <w:i/>
          <w:iCs/>
          <w:strike w:val="false"/>
          <w:color w:val="000000"/>
          <w:sz w:val="22"/>
          <w:szCs w:val="22"/>
        </w:rPr>
        <w:t xml:space="preserve">On the Existence of Digital Objects</w:t>
      </w:r>
      <w:r>
        <w:rPr>
          <w:rFonts w:ascii="Calibri" w:cs="Calibri" w:eastAsia="Calibri" w:hAnsi="Calibri"/>
          <w:b w:val="false"/>
          <w:bCs w:val="false"/>
          <w:i w:val="false"/>
          <w:iCs w:val="false"/>
          <w:strike w:val="false"/>
          <w:color w:val="000000"/>
          <w:sz w:val="22"/>
          <w:szCs w:val="22"/>
        </w:rPr>
        <w:t xml:space="preserve"> (2016) adds the ontological dimension. Hui argues that digital objects (files, profiles, data structures) have a genuine mode of existence that is neither purely material nor purely ideal. They exist in networks of relations, and their identity is constituted through their connections rather than through intrinsic properties. The Clone in the novel is a digital object in Hui's sense: its identity is relational, constituted through the network of memories that have been selectively retained and deleted.</w:t>
      </w:r>
    </w:p>
    <w:p>
      <w:pPr>
        <w:spacing w:after="120" w:before="60" w:line="360" w:lineRule="auto"/>
      </w:pPr>
      <w:r>
        <w:rPr>
          <w:rFonts w:ascii="Calibri" w:cs="Calibri" w:eastAsia="Calibri" w:hAnsi="Calibri"/>
          <w:b/>
          <w:bCs/>
          <w:i w:val="false"/>
          <w:iCs w:val="false"/>
          <w:strike w:val="false"/>
          <w:color w:val="000000"/>
          <w:sz w:val="22"/>
          <w:szCs w:val="22"/>
        </w:rPr>
        <w:t xml:space="preserve">Real-world anchor:</w:t>
      </w:r>
      <w:r>
        <w:rPr>
          <w:rFonts w:ascii="Calibri" w:cs="Calibri" w:eastAsia="Calibri" w:hAnsi="Calibri"/>
          <w:b w:val="false"/>
          <w:bCs w:val="false"/>
          <w:i w:val="false"/>
          <w:iCs w:val="false"/>
          <w:strike w:val="false"/>
          <w:color w:val="000000"/>
          <w:sz w:val="22"/>
          <w:szCs w:val="22"/>
        </w:rPr>
        <w:t xml:space="preserve"> The proliferation of AI avatar generators (Lensa, Ready Player Me, Apple's Memoji) in 2022–2024 has made the avatar problem commercially concrete. Users now routinely create idealized digital representations of themselves that coexist with their photographic self-representations. The question the card poses — "what kind of selfhood does the avatar generate that was impossible before?" — is being answered in real time by millions of users who maintain multiple simultaneous self-representations across platforms, each constituted by a different grammar of appearance.</w:t>
      </w:r>
    </w:p>
    <w:p>
      <w:pPr>
        <w:pStyle w:val="Heading2"/>
        <w:spacing w:after="120" w:before="360" w:line="312" w:lineRule="auto"/>
      </w:pPr>
      <w:r>
        <w:rPr>
          <w:rFonts w:ascii="Calibri" w:cs="Calibri" w:eastAsia="Calibri" w:hAnsi="Calibri"/>
          <w:color w:val="1A1A1A"/>
          <w:sz w:val="36"/>
          <w:szCs w:val="36"/>
        </w:rPr>
        <w:t xml:space="preserve">13. Mediated Existence Studies</w:t>
      </w:r>
    </w:p>
    <w:p>
      <w:pPr>
        <w:spacing w:after="60" w:before="60" w:line="360" w:lineRule="auto"/>
      </w:pPr>
      <w:r>
        <w:rPr>
          <w:rFonts w:ascii="Calibri" w:cs="Calibri" w:eastAsia="Calibri" w:hAnsi="Calibri"/>
          <w:b w:val="false"/>
          <w:bCs w:val="false"/>
          <w:i w:val="false"/>
          <w:iCs w:val="false"/>
          <w:strike w:val="false"/>
          <w:color w:val="666666"/>
          <w:spacing w:val="15"/>
          <w:sz w:val="18"/>
          <w:szCs w:val="18"/>
        </w:rPr>
        <w:t xml:space="preserve">SANDBOX</w:t>
      </w:r>
    </w:p>
    <w:p>
      <w:pPr>
        <w:spacing w:after="240" w:before="60" w:line="360" w:lineRule="auto"/>
      </w:pPr>
      <w:r>
        <w:rPr>
          <w:rFonts w:ascii="Calibri" w:cs="Calibri" w:eastAsia="Calibri" w:hAnsi="Calibri"/>
          <w:b/>
          <w:bCs/>
          <w:i w:val="false"/>
          <w:iCs w:val="false"/>
          <w:strike w:val="false"/>
          <w:color w:val="2B5797"/>
          <w:sz w:val="22"/>
          <w:szCs w:val="22"/>
        </w:rPr>
        <w:t xml:space="preserve">ENTERS THE DEBATE: Media phenomenology — whether media are tools we use or environments we inhabit.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Mark Deuze's </w:t>
      </w:r>
      <w:r>
        <w:rPr>
          <w:rFonts w:ascii="Calibri" w:cs="Calibri" w:eastAsia="Calibri" w:hAnsi="Calibri"/>
          <w:b w:val="false"/>
          <w:bCs w:val="false"/>
          <w:i/>
          <w:iCs/>
          <w:strike w:val="false"/>
          <w:color w:val="000000"/>
          <w:sz w:val="22"/>
          <w:szCs w:val="22"/>
        </w:rPr>
        <w:t xml:space="preserve">Media Life</w:t>
      </w:r>
      <w:r>
        <w:rPr>
          <w:rFonts w:ascii="Calibri" w:cs="Calibri" w:eastAsia="Calibri" w:hAnsi="Calibri"/>
          <w:b w:val="false"/>
          <w:bCs w:val="false"/>
          <w:i w:val="false"/>
          <w:iCs w:val="false"/>
          <w:strike w:val="false"/>
          <w:color w:val="000000"/>
          <w:sz w:val="22"/>
          <w:szCs w:val="22"/>
        </w:rPr>
        <w:t xml:space="preserve"> (2012) provides the paradigmatic statement: we do not live WITH media; we live IN media. Deuze argues that media have become so thoroughly integrated into daily experience that the distinction between mediated and unmediated life has collapsed. The card's triple meaning of "medierad" (media-ted, medica-ted, mediated) extends Deuze's thesis by adding the pharmaceutical and epistemological dimensions: mediation is not only environmental but also anaesthetic and proxy-based.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Byung-Chul Han's </w:t>
      </w:r>
      <w:r>
        <w:rPr>
          <w:rFonts w:ascii="Calibri" w:cs="Calibri" w:eastAsia="Calibri" w:hAnsi="Calibri"/>
          <w:b w:val="false"/>
          <w:bCs w:val="false"/>
          <w:i/>
          <w:iCs/>
          <w:strike w:val="false"/>
          <w:color w:val="000000"/>
          <w:sz w:val="22"/>
          <w:szCs w:val="22"/>
        </w:rPr>
        <w:t xml:space="preserve">In the Swarm</w:t>
      </w:r>
      <w:r>
        <w:rPr>
          <w:rFonts w:ascii="Calibri" w:cs="Calibri" w:eastAsia="Calibri" w:hAnsi="Calibri"/>
          <w:b w:val="false"/>
          <w:bCs w:val="false"/>
          <w:i w:val="false"/>
          <w:iCs w:val="false"/>
          <w:strike w:val="false"/>
          <w:color w:val="000000"/>
          <w:sz w:val="22"/>
          <w:szCs w:val="22"/>
        </w:rPr>
        <w:t xml:space="preserve"> (2017) provides the social-political analysis. Han argues that digital media transform the public sphere into a "shitstorm" — a space in which outrage, not deliberation, is the dominant communicative mode. But the card's approach differs from Han's: where Han is primarily concerned with the degradation of public discourse, the card operates at the phenomenological level — what does it FEEL like to adjust your facial expression for a video call while trying to listen? The texture of mediated experience, not its political consequences, is the primary object.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Guy Debord's </w:t>
      </w:r>
      <w:r>
        <w:rPr>
          <w:rFonts w:ascii="Calibri" w:cs="Calibri" w:eastAsia="Calibri" w:hAnsi="Calibri"/>
          <w:b w:val="false"/>
          <w:bCs w:val="false"/>
          <w:i/>
          <w:iCs/>
          <w:strike w:val="false"/>
          <w:color w:val="000000"/>
          <w:sz w:val="22"/>
          <w:szCs w:val="22"/>
        </w:rPr>
        <w:t xml:space="preserve">Society of the Spectacle</w:t>
      </w:r>
      <w:r>
        <w:rPr>
          <w:rFonts w:ascii="Calibri" w:cs="Calibri" w:eastAsia="Calibri" w:hAnsi="Calibri"/>
          <w:b w:val="false"/>
          <w:bCs w:val="false"/>
          <w:i w:val="false"/>
          <w:iCs w:val="false"/>
          <w:strike w:val="false"/>
          <w:color w:val="000000"/>
          <w:sz w:val="22"/>
          <w:szCs w:val="22"/>
        </w:rPr>
        <w:t xml:space="preserve"> (1967) provides the historical antecedent. Debord argued that in consumer capitalism, all life presents itself as an immense accumulation of spectacles — lived reality is replaced by its representation. The card updates Debord for the participatory media age: we are no longer spectators of the spectacle but performers in it. The distinction between audience and actor has collapsed, producing what the card calls "medierad existens" — a condition in which the self cannot distinguish between experiencing and representing its experience.</w:t>
      </w:r>
    </w:p>
    <w:p>
      <w:pPr>
        <w:spacing w:after="120" w:before="60" w:line="360" w:lineRule="auto"/>
      </w:pPr>
      <w:r>
        <w:rPr>
          <w:rFonts w:ascii="Calibri" w:cs="Calibri" w:eastAsia="Calibri" w:hAnsi="Calibri"/>
          <w:b/>
          <w:bCs/>
          <w:i w:val="false"/>
          <w:iCs w:val="false"/>
          <w:strike w:val="false"/>
          <w:color w:val="000000"/>
          <w:sz w:val="22"/>
          <w:szCs w:val="22"/>
        </w:rPr>
        <w:t xml:space="preserve">Real-world anchor:</w:t>
      </w:r>
      <w:r>
        <w:rPr>
          <w:rFonts w:ascii="Calibri" w:cs="Calibri" w:eastAsia="Calibri" w:hAnsi="Calibri"/>
          <w:b w:val="false"/>
          <w:bCs w:val="false"/>
          <w:i w:val="false"/>
          <w:iCs w:val="false"/>
          <w:strike w:val="false"/>
          <w:color w:val="000000"/>
          <w:sz w:val="22"/>
          <w:szCs w:val="22"/>
        </w:rPr>
        <w:t xml:space="preserve"> A 2024 survey by the Swedish Internet Foundation (Internetstiftelsen) found that Swedes aged 16–25 spend an average of 4.5 hours per day on screens outside of work or study — time during which their attention, emotional responses, and social interactions are substantially mediated by platform interfaces. The card's method — "structured notations on what daily life actually feels like inside technically saturated environments" — is the qualitative counterpart to this quantitative data.</w:t>
      </w:r>
    </w:p>
    <w:p>
      <w:pPr>
        <w:pStyle w:val="Heading2"/>
        <w:spacing w:after="120" w:before="360" w:line="312" w:lineRule="auto"/>
      </w:pPr>
      <w:r>
        <w:rPr>
          <w:rFonts w:ascii="Calibri" w:cs="Calibri" w:eastAsia="Calibri" w:hAnsi="Calibri"/>
          <w:color w:val="1A1A1A"/>
          <w:sz w:val="36"/>
          <w:szCs w:val="36"/>
        </w:rPr>
        <w:t xml:space="preserve">14. Psychotechnical Subjectivity: Working Glossary</w:t>
      </w:r>
    </w:p>
    <w:p>
      <w:pPr>
        <w:spacing w:after="60" w:before="60" w:line="360" w:lineRule="auto"/>
      </w:pPr>
      <w:r>
        <w:rPr>
          <w:rFonts w:ascii="Calibri" w:cs="Calibri" w:eastAsia="Calibri" w:hAnsi="Calibri"/>
          <w:b w:val="false"/>
          <w:bCs w:val="false"/>
          <w:i w:val="false"/>
          <w:iCs w:val="false"/>
          <w:strike w:val="false"/>
          <w:color w:val="666666"/>
          <w:spacing w:val="15"/>
          <w:sz w:val="18"/>
          <w:szCs w:val="18"/>
        </w:rPr>
        <w:t xml:space="preserve">SANDBOX</w:t>
      </w:r>
    </w:p>
    <w:p>
      <w:pPr>
        <w:spacing w:after="240" w:before="60" w:line="360" w:lineRule="auto"/>
      </w:pPr>
      <w:r>
        <w:rPr>
          <w:rFonts w:ascii="Calibri" w:cs="Calibri" w:eastAsia="Calibri" w:hAnsi="Calibri"/>
          <w:b/>
          <w:bCs/>
          <w:i w:val="false"/>
          <w:iCs w:val="false"/>
          <w:strike w:val="false"/>
          <w:color w:val="2B5797"/>
          <w:sz w:val="22"/>
          <w:szCs w:val="22"/>
        </w:rPr>
        <w:t xml:space="preserve">ENTERS THE DEBATE: Terminological innovation in digital culture theory — whether existing vocabulary can name emergent conditions.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Bernard Stiegler's concept of "pharmacology" — the idea that every technical system is simultaneously a remedy and a poison — provides the methodological model. Stiegler argued that the same technology that enables new forms of knowledge and social connection also enables new forms of cognitive capture and social disaffiliation. The glossary form is itself pharmacological: naming a condition makes it visible and therefore treatable, but the naming also risks reducing complex lived experience to clinical categories.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Gilbert Simondon's </w:t>
      </w:r>
      <w:r>
        <w:rPr>
          <w:rFonts w:ascii="Calibri" w:cs="Calibri" w:eastAsia="Calibri" w:hAnsi="Calibri"/>
          <w:b w:val="false"/>
          <w:bCs w:val="false"/>
          <w:i/>
          <w:iCs/>
          <w:strike w:val="false"/>
          <w:color w:val="000000"/>
          <w:sz w:val="22"/>
          <w:szCs w:val="22"/>
        </w:rPr>
        <w:t xml:space="preserve">On the Mode of Existence of Technical Objects</w:t>
      </w:r>
      <w:r>
        <w:rPr>
          <w:rFonts w:ascii="Calibri" w:cs="Calibri" w:eastAsia="Calibri" w:hAnsi="Calibri"/>
          <w:b w:val="false"/>
          <w:bCs w:val="false"/>
          <w:i w:val="false"/>
          <w:iCs w:val="false"/>
          <w:strike w:val="false"/>
          <w:color w:val="000000"/>
          <w:sz w:val="22"/>
          <w:szCs w:val="22"/>
        </w:rPr>
        <w:t xml:space="preserve"> (1958/2017) provides the philosophical foundation for understanding technology as constitutive of rather than external to human experience. Simondon's concept of "individuation" — the process by which individuals (both human and technical) come into being through their relations — is the theoretical backbone of the glossary's core terms. The "techautist" is not a static type but an individuation in progress — a self in the process of forming through specific technical relations.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Yuk Hui's concept of "cosmotechnics" — the unification of cosmic and moral orders through technical activities — offers the most radical frame. Hui argues that different cultures have different cosmotechnics, and that the Western assumption of a single universal technology is itself a parochial position. The glossary's insistence on generating NEW terms (</w:t>
      </w:r>
      <w:r>
        <w:rPr>
          <w:rFonts w:ascii="Calibri" w:cs="Calibri" w:eastAsia="Calibri" w:hAnsi="Calibri"/>
          <w:b w:val="false"/>
          <w:bCs w:val="false"/>
          <w:i/>
          <w:iCs/>
          <w:strike w:val="false"/>
          <w:color w:val="000000"/>
          <w:sz w:val="22"/>
          <w:szCs w:val="22"/>
        </w:rPr>
        <w:t xml:space="preserve">techautisten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skrytsociosfären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totalteknisk</w:t>
      </w:r>
      <w:r>
        <w:rPr>
          <w:rFonts w:ascii="Calibri" w:cs="Calibri" w:eastAsia="Calibri" w:hAnsi="Calibri"/>
          <w:b w:val="false"/>
          <w:bCs w:val="false"/>
          <w:i w:val="false"/>
          <w:iCs w:val="false"/>
          <w:strike w:val="false"/>
          <w:color w:val="000000"/>
          <w:sz w:val="22"/>
          <w:szCs w:val="22"/>
        </w:rPr>
        <w:t xml:space="preserve">) rather than importing existing English-language concepts is a cosmotechnical act: it asserts that the Swedish-language experience of digital culture may require its own vocabulary, not translation.</w:t>
      </w:r>
    </w:p>
    <w:p>
      <w:pPr>
        <w:spacing w:after="120" w:before="60" w:line="360" w:lineRule="auto"/>
      </w:pPr>
      <w:r>
        <w:rPr>
          <w:rFonts w:ascii="Calibri" w:cs="Calibri" w:eastAsia="Calibri" w:hAnsi="Calibri"/>
          <w:b/>
          <w:bCs/>
          <w:i w:val="false"/>
          <w:iCs w:val="false"/>
          <w:strike w:val="false"/>
          <w:color w:val="000000"/>
          <w:sz w:val="22"/>
          <w:szCs w:val="22"/>
        </w:rPr>
        <w:t xml:space="preserve">Real-world anchor:</w:t>
      </w:r>
      <w:r>
        <w:rPr>
          <w:rFonts w:ascii="Calibri" w:cs="Calibri" w:eastAsia="Calibri" w:hAnsi="Calibri"/>
          <w:b w:val="false"/>
          <w:bCs w:val="false"/>
          <w:i w:val="false"/>
          <w:iCs w:val="false"/>
          <w:strike w:val="false"/>
          <w:color w:val="000000"/>
          <w:sz w:val="22"/>
          <w:szCs w:val="22"/>
        </w:rPr>
        <w:t xml:space="preserve"> The proliferation of neologisms in digital culture discourse — "doom-scrolling," "main character energy," "touch grass," "chronically online," "brain rot" — demonstrates that ordinary language users already recognize the need for new terms to name new conditions. The glossary's scholarly neologisms operate at a higher register but serve the same diagnostic function: making visible what existing vocabulary cannot name.</w:t>
      </w:r>
    </w:p>
    <w:p>
      <w:pPr>
        <w:pStyle w:val="Heading2"/>
        <w:spacing w:after="120" w:before="360" w:line="312" w:lineRule="auto"/>
      </w:pPr>
      <w:r>
        <w:rPr>
          <w:rFonts w:ascii="Calibri" w:cs="Calibri" w:eastAsia="Calibri" w:hAnsi="Calibri"/>
          <w:color w:val="1A1A1A"/>
          <w:sz w:val="36"/>
          <w:szCs w:val="36"/>
        </w:rPr>
        <w:t xml:space="preserve">15. Infrastructural Publishing Logic</w:t>
      </w:r>
    </w:p>
    <w:p>
      <w:pPr>
        <w:spacing w:after="60" w:before="60" w:line="360" w:lineRule="auto"/>
      </w:pPr>
      <w:r>
        <w:rPr>
          <w:rFonts w:ascii="Calibri" w:cs="Calibri" w:eastAsia="Calibri" w:hAnsi="Calibri"/>
          <w:b w:val="false"/>
          <w:bCs w:val="false"/>
          <w:i w:val="false"/>
          <w:iCs w:val="false"/>
          <w:strike w:val="false"/>
          <w:color w:val="666666"/>
          <w:spacing w:val="15"/>
          <w:sz w:val="18"/>
          <w:szCs w:val="18"/>
        </w:rPr>
        <w:t xml:space="preserve">SANDBOX</w:t>
      </w:r>
    </w:p>
    <w:p>
      <w:pPr>
        <w:spacing w:after="240" w:before="60" w:line="360" w:lineRule="auto"/>
      </w:pPr>
      <w:r>
        <w:rPr>
          <w:rFonts w:ascii="Calibri" w:cs="Calibri" w:eastAsia="Calibri" w:hAnsi="Calibri"/>
          <w:b/>
          <w:bCs/>
          <w:i w:val="false"/>
          <w:iCs w:val="false"/>
          <w:strike w:val="false"/>
          <w:color w:val="2B5797"/>
          <w:sz w:val="22"/>
          <w:szCs w:val="22"/>
        </w:rPr>
        <w:t xml:space="preserve">ENTERS THE DEBATE: Publishing as infrastructure — whether the medium of distribution is constitutive of cultural meaning.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Craig Mod's "Subcompact Publishing" (2012) provides the contemporary publishing-specific framework. Mod argued for stripping digital publishing down to its essential components — "what's the simplest thing we can build?" — and treating the publication as a minimal viable product rather than a simulation of print. The card's argument about the publisher's nervous system extending through infrastructure echoes Mod's position but reverses its direction: where Mod advocates simplicity as a design principle, the card describes complexity as an existential condition.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Matthew Kirschenbaum's </w:t>
      </w:r>
      <w:r>
        <w:rPr>
          <w:rFonts w:ascii="Calibri" w:cs="Calibri" w:eastAsia="Calibri" w:hAnsi="Calibri"/>
          <w:b w:val="false"/>
          <w:bCs w:val="false"/>
          <w:i/>
          <w:iCs/>
          <w:strike w:val="false"/>
          <w:color w:val="000000"/>
          <w:sz w:val="22"/>
          <w:szCs w:val="22"/>
        </w:rPr>
        <w:t xml:space="preserve">Track Changes</w:t>
      </w:r>
      <w:r>
        <w:rPr>
          <w:rFonts w:ascii="Calibri" w:cs="Calibri" w:eastAsia="Calibri" w:hAnsi="Calibri"/>
          <w:b w:val="false"/>
          <w:bCs w:val="false"/>
          <w:i w:val="false"/>
          <w:iCs w:val="false"/>
          <w:strike w:val="false"/>
          <w:color w:val="000000"/>
          <w:sz w:val="22"/>
          <w:szCs w:val="22"/>
        </w:rPr>
        <w:t xml:space="preserve"> (2016) documents the history of word processing and its effects on literary production, showing that writing technologies are never neutral — they shape what can be written, how it is revised, and what kinds of authorship become possible. The card's argument that "the infrastructure is the content" — that the agent-bootstrap prompt is simultaneously a technical instruction and a philosophical manifesto — extends Kirschenbaum's insight from the word processor to the entire publishing pipeline.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Dennis Tenen's </w:t>
      </w:r>
      <w:r>
        <w:rPr>
          <w:rFonts w:ascii="Calibri" w:cs="Calibri" w:eastAsia="Calibri" w:hAnsi="Calibri"/>
          <w:b w:val="false"/>
          <w:bCs w:val="false"/>
          <w:i/>
          <w:iCs/>
          <w:strike w:val="false"/>
          <w:color w:val="000000"/>
          <w:sz w:val="22"/>
          <w:szCs w:val="22"/>
        </w:rPr>
        <w:t xml:space="preserve">Plain Text</w:t>
      </w:r>
      <w:r>
        <w:rPr>
          <w:rFonts w:ascii="Calibri" w:cs="Calibri" w:eastAsia="Calibri" w:hAnsi="Calibri"/>
          <w:b w:val="false"/>
          <w:bCs w:val="false"/>
          <w:i w:val="false"/>
          <w:iCs w:val="false"/>
          <w:strike w:val="false"/>
          <w:color w:val="000000"/>
          <w:sz w:val="22"/>
          <w:szCs w:val="22"/>
        </w:rPr>
        <w:t xml:space="preserve"> (2017) makes the argument for text as infrastructure most explicitly. Tenen traces the material history of digital text — from punched cards to Unicode — and argues that understanding the technical substrate of writing is essential for understanding what writing is and can be. The card's four-surface folder model (README, index, runs, proposals) is a practical implementation of Tenen's theoretical insight: the infrastructure through which text is organized determines what kinds of textual operations are possible.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Alessandro Ludovico's </w:t>
      </w:r>
      <w:r>
        <w:rPr>
          <w:rFonts w:ascii="Calibri" w:cs="Calibri" w:eastAsia="Calibri" w:hAnsi="Calibri"/>
          <w:b w:val="false"/>
          <w:bCs w:val="false"/>
          <w:i/>
          <w:iCs/>
          <w:strike w:val="false"/>
          <w:color w:val="000000"/>
          <w:sz w:val="22"/>
          <w:szCs w:val="22"/>
        </w:rPr>
        <w:t xml:space="preserve">Post-Digital Print</w:t>
      </w:r>
      <w:r>
        <w:rPr>
          <w:rFonts w:ascii="Calibri" w:cs="Calibri" w:eastAsia="Calibri" w:hAnsi="Calibri"/>
          <w:b w:val="false"/>
          <w:bCs w:val="false"/>
          <w:i w:val="false"/>
          <w:iCs w:val="false"/>
          <w:strike w:val="false"/>
          <w:color w:val="000000"/>
          <w:sz w:val="22"/>
          <w:szCs w:val="22"/>
        </w:rPr>
        <w:t xml:space="preserve"> (2012) historicizes the relationship between print and digital, arguing that the "death of print" narrative is premature and that physical publishing retains specific material and cultural properties that digital cannot replicate. The Förlag's logistikcentral — a physical space through which physical books pass — is the embodiment of Ludovico's position: the digital pipeline does not replace the physical object but reorganizes its production conditions.</w:t>
      </w:r>
    </w:p>
    <w:p>
      <w:pPr>
        <w:spacing w:after="120" w:before="60" w:line="360" w:lineRule="auto"/>
      </w:pPr>
      <w:r>
        <w:rPr>
          <w:rFonts w:ascii="Calibri" w:cs="Calibri" w:eastAsia="Calibri" w:hAnsi="Calibri"/>
          <w:b/>
          <w:bCs/>
          <w:i w:val="false"/>
          <w:iCs w:val="false"/>
          <w:strike w:val="false"/>
          <w:color w:val="000000"/>
          <w:sz w:val="22"/>
          <w:szCs w:val="22"/>
        </w:rPr>
        <w:t xml:space="preserve">Real-world anchor:</w:t>
      </w:r>
      <w:r>
        <w:rPr>
          <w:rFonts w:ascii="Calibri" w:cs="Calibri" w:eastAsia="Calibri" w:hAnsi="Calibri"/>
          <w:b w:val="false"/>
          <w:bCs w:val="false"/>
          <w:i w:val="false"/>
          <w:iCs w:val="false"/>
          <w:strike w:val="false"/>
          <w:color w:val="000000"/>
          <w:sz w:val="22"/>
          <w:szCs w:val="22"/>
        </w:rPr>
        <w:t xml:space="preserve"> The rise of Risograph printing as an indie publishing method in 2020–2025 demonstrates the card's thesis in material form. Risograph is slower, less precise, and more expensive per unit than digital printing — but its material imperfections (ink bleeding, registration errors, color variation) encode the publisher's labor into the object. Each copy is slightly different. This is the opposite of digital reproduction's promise of infinite identical copies, and it is precisely what gives Risograph publications their cultural charge.</w:t>
      </w:r>
    </w:p>
    <w:p>
      <w:pPr>
        <w:pStyle w:val="Heading2"/>
        <w:spacing w:after="120" w:before="360" w:line="312" w:lineRule="auto"/>
      </w:pPr>
      <w:r>
        <w:rPr>
          <w:rFonts w:ascii="Calibri" w:cs="Calibri" w:eastAsia="Calibri" w:hAnsi="Calibri"/>
          <w:color w:val="1A1A1A"/>
          <w:sz w:val="36"/>
          <w:szCs w:val="36"/>
        </w:rPr>
        <w:t xml:space="preserve">16. Corpus of Departures</w:t>
      </w:r>
    </w:p>
    <w:p>
      <w:pPr>
        <w:spacing w:after="60" w:before="60" w:line="360" w:lineRule="auto"/>
      </w:pPr>
      <w:r>
        <w:rPr>
          <w:rFonts w:ascii="Calibri" w:cs="Calibri" w:eastAsia="Calibri" w:hAnsi="Calibri"/>
          <w:b w:val="false"/>
          <w:bCs w:val="false"/>
          <w:i w:val="false"/>
          <w:iCs w:val="false"/>
          <w:strike w:val="false"/>
          <w:color w:val="666666"/>
          <w:spacing w:val="15"/>
          <w:sz w:val="18"/>
          <w:szCs w:val="18"/>
        </w:rPr>
        <w:t xml:space="preserve">SANDBOX</w:t>
      </w:r>
    </w:p>
    <w:p>
      <w:pPr>
        <w:spacing w:after="240" w:before="60" w:line="360" w:lineRule="auto"/>
      </w:pPr>
      <w:r>
        <w:rPr>
          <w:rFonts w:ascii="Calibri" w:cs="Calibri" w:eastAsia="Calibri" w:hAnsi="Calibri"/>
          <w:b/>
          <w:bCs/>
          <w:i w:val="false"/>
          <w:iCs w:val="false"/>
          <w:strike w:val="false"/>
          <w:color w:val="2B5797"/>
          <w:sz w:val="22"/>
          <w:szCs w:val="22"/>
        </w:rPr>
        <w:t xml:space="preserve">ENTERS THE DEBATE: Exit studies — the sociology and phenomenology of leaving digital platforms.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Jessa Lingel's </w:t>
      </w:r>
      <w:r>
        <w:rPr>
          <w:rFonts w:ascii="Calibri" w:cs="Calibri" w:eastAsia="Calibri" w:hAnsi="Calibri"/>
          <w:b w:val="false"/>
          <w:bCs w:val="false"/>
          <w:i/>
          <w:iCs/>
          <w:strike w:val="false"/>
          <w:color w:val="000000"/>
          <w:sz w:val="22"/>
          <w:szCs w:val="22"/>
        </w:rPr>
        <w:t xml:space="preserve">Digital Countercultures and the Struggle for Community</w:t>
      </w:r>
      <w:r>
        <w:rPr>
          <w:rFonts w:ascii="Calibri" w:cs="Calibri" w:eastAsia="Calibri" w:hAnsi="Calibri"/>
          <w:b w:val="false"/>
          <w:bCs w:val="false"/>
          <w:i w:val="false"/>
          <w:iCs w:val="false"/>
          <w:strike w:val="false"/>
          <w:color w:val="000000"/>
          <w:sz w:val="22"/>
          <w:szCs w:val="22"/>
        </w:rPr>
        <w:t xml:space="preserve"> (2017) documents communities that exist at the margins of mainstream digital platforms — Craigslist users, zine makers, underground music networks — and argues that these counter-publics maintain alternative social forms that resist platform logic. The card's taxonomy of departures (voluntary/involuntary, announced/silent, reversible/irreversible) extends Lingel's analysis from communities to individuals, asking what happens when a single person exits a digital social field.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Bernie Hogan's "The Presentation of Self in the Age of Social Media" (2010) updates Goffman for the digital context, introducing the concept of the "exhibition" — a persistent display of self-data that exists independently of the person's real-time performance. When someone disappears from a platform, their exhibition persists — a presence without a person behind it. The card's analysis of the farewell post as a genre is the communicative counterpart to Hogan's structural argument.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Carl Öhman's research at the Oxford Internet Institute on the "digital remains" of the dead has produced estimates that Facebook alone may contain profiles of 4.9 billion deceased users by the end of the century — eventually outnumbering the living. This demographic projection makes the card's argument about irreversible departure materially concrete: the platform will eventually become a cemetery, and the question of how to treat digital remains will become one of the century's major cultural-legal challenges.</w:t>
      </w:r>
    </w:p>
    <w:p>
      <w:pPr>
        <w:spacing w:after="120" w:before="60" w:line="360" w:lineRule="auto"/>
      </w:pPr>
      <w:r>
        <w:rPr>
          <w:rFonts w:ascii="Calibri" w:cs="Calibri" w:eastAsia="Calibri" w:hAnsi="Calibri"/>
          <w:b/>
          <w:bCs/>
          <w:i w:val="false"/>
          <w:iCs w:val="false"/>
          <w:strike w:val="false"/>
          <w:color w:val="000000"/>
          <w:sz w:val="22"/>
          <w:szCs w:val="22"/>
        </w:rPr>
        <w:t xml:space="preserve">Real-world anchor:</w:t>
      </w:r>
      <w:r>
        <w:rPr>
          <w:rFonts w:ascii="Calibri" w:cs="Calibri" w:eastAsia="Calibri" w:hAnsi="Calibri"/>
          <w:b w:val="false"/>
          <w:bCs w:val="false"/>
          <w:i w:val="false"/>
          <w:iCs w:val="false"/>
          <w:strike w:val="false"/>
          <w:color w:val="000000"/>
          <w:sz w:val="22"/>
          <w:szCs w:val="22"/>
        </w:rPr>
        <w:t xml:space="preserve"> The mass Twitter-to-Mastodon and Twitter-to-Bluesky migrations of 2022–2024 provided real-time data on digital departure as a collective phenomenon. Researchers documented that departure was rarely clean: users maintained "ghost accounts" on the abandoned platform, cross-posted for months, and experienced what one researcher called "platform grief" — mourning not for a person but for a social environment. The card's analysis of departure as a genre with recognizable conventions (temporal marker, gratitude sequence, future-orientation, benediction) was empirically visible in thousands of farewell tweets.</w:t>
      </w:r>
    </w:p>
    <w:p>
      <w:pPr>
        <w:pStyle w:val="Heading2"/>
        <w:spacing w:after="120" w:before="360" w:line="312" w:lineRule="auto"/>
      </w:pPr>
      <w:r>
        <w:rPr>
          <w:rFonts w:ascii="Calibri" w:cs="Calibri" w:eastAsia="Calibri" w:hAnsi="Calibri"/>
          <w:color w:val="1A1A1A"/>
          <w:sz w:val="36"/>
          <w:szCs w:val="36"/>
        </w:rPr>
        <w:t xml:space="preserve">17. Digital Identity and Bodily Integrity</w:t>
      </w:r>
    </w:p>
    <w:p>
      <w:pPr>
        <w:spacing w:after="60" w:before="60" w:line="360" w:lineRule="auto"/>
      </w:pPr>
      <w:r>
        <w:rPr>
          <w:rFonts w:ascii="Calibri" w:cs="Calibri" w:eastAsia="Calibri" w:hAnsi="Calibri"/>
          <w:b w:val="false"/>
          <w:bCs w:val="false"/>
          <w:i w:val="false"/>
          <w:iCs w:val="false"/>
          <w:strike w:val="false"/>
          <w:color w:val="666666"/>
          <w:spacing w:val="15"/>
          <w:sz w:val="18"/>
          <w:szCs w:val="18"/>
        </w:rPr>
        <w:t xml:space="preserve">SANDBOX</w:t>
      </w:r>
    </w:p>
    <w:p>
      <w:pPr>
        <w:spacing w:after="240" w:before="60" w:line="360" w:lineRule="auto"/>
      </w:pPr>
      <w:r>
        <w:rPr>
          <w:rFonts w:ascii="Calibri" w:cs="Calibri" w:eastAsia="Calibri" w:hAnsi="Calibri"/>
          <w:b/>
          <w:bCs/>
          <w:i w:val="false"/>
          <w:iCs w:val="false"/>
          <w:strike w:val="false"/>
          <w:color w:val="2B5797"/>
          <w:sz w:val="22"/>
          <w:szCs w:val="22"/>
        </w:rPr>
        <w:t xml:space="preserve">ENTERS THE DEBATE: Biopolitics in the age of wearable technology — who governs the body when the body generates data.</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Btihaj Ajana's </w:t>
      </w:r>
      <w:r>
        <w:rPr>
          <w:rFonts w:ascii="Calibri" w:cs="Calibri" w:eastAsia="Calibri" w:hAnsi="Calibri"/>
          <w:b w:val="false"/>
          <w:bCs w:val="false"/>
          <w:i/>
          <w:iCs/>
          <w:strike w:val="false"/>
          <w:color w:val="000000"/>
          <w:sz w:val="22"/>
          <w:szCs w:val="22"/>
        </w:rPr>
        <w:t xml:space="preserve">Governing through Biometrics</w:t>
      </w:r>
      <w:r>
        <w:rPr>
          <w:rFonts w:ascii="Calibri" w:cs="Calibri" w:eastAsia="Calibri" w:hAnsi="Calibri"/>
          <w:b w:val="false"/>
          <w:bCs w:val="false"/>
          <w:i w:val="false"/>
          <w:iCs w:val="false"/>
          <w:strike w:val="false"/>
          <w:color w:val="000000"/>
          <w:sz w:val="22"/>
          <w:szCs w:val="22"/>
        </w:rPr>
        <w:t xml:space="preserve"> (2013) provides the political theory. Ajana argues that biometric technologies (fingerprinting, facial recognition, iris scanning) do not merely identify bodies but produce new forms of governance — new ways of sorting, classifying, and controlling populations through their biological characteristics. The card's tension between "the edited digital identity" and "the uneditable body" is Ajana's governance thesis stated at the individual phenomenological level.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Maurice Merleau-Ponty's </w:t>
      </w:r>
      <w:r>
        <w:rPr>
          <w:rFonts w:ascii="Calibri" w:cs="Calibri" w:eastAsia="Calibri" w:hAnsi="Calibri"/>
          <w:b w:val="false"/>
          <w:bCs w:val="false"/>
          <w:i/>
          <w:iCs/>
          <w:strike w:val="false"/>
          <w:color w:val="000000"/>
          <w:sz w:val="22"/>
          <w:szCs w:val="22"/>
        </w:rPr>
        <w:t xml:space="preserve">Phenomenology of Perception</w:t>
      </w:r>
      <w:r>
        <w:rPr>
          <w:rFonts w:ascii="Calibri" w:cs="Calibri" w:eastAsia="Calibri" w:hAnsi="Calibri"/>
          <w:b w:val="false"/>
          <w:bCs w:val="false"/>
          <w:i w:val="false"/>
          <w:iCs w:val="false"/>
          <w:strike w:val="false"/>
          <w:color w:val="000000"/>
          <w:sz w:val="22"/>
          <w:szCs w:val="22"/>
        </w:rPr>
        <w:t xml:space="preserve"> (1945) remains the philosophical bedrock. Merleau-Ponty's central argument — that the body is not an object in the world but the subject's point of view on the world — means that the body cannot be fully objectified without losing something essential. The card's cave narrator who tries to expand her visual field by massaging her eyes from the inside is performing a Merleau-Pontian experiment: attempting to change the body's perceptual apparatus through intentional engagement, working at the boundary between body-as-subject and body-as-object.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Deborah Lupton's </w:t>
      </w:r>
      <w:r>
        <w:rPr>
          <w:rFonts w:ascii="Calibri" w:cs="Calibri" w:eastAsia="Calibri" w:hAnsi="Calibri"/>
          <w:b w:val="false"/>
          <w:bCs w:val="false"/>
          <w:i/>
          <w:iCs/>
          <w:strike w:val="false"/>
          <w:color w:val="000000"/>
          <w:sz w:val="22"/>
          <w:szCs w:val="22"/>
        </w:rPr>
        <w:t xml:space="preserve">Digital Health</w:t>
      </w:r>
      <w:r>
        <w:rPr>
          <w:rFonts w:ascii="Calibri" w:cs="Calibri" w:eastAsia="Calibri" w:hAnsi="Calibri"/>
          <w:b w:val="false"/>
          <w:bCs w:val="false"/>
          <w:i w:val="false"/>
          <w:iCs w:val="false"/>
          <w:strike w:val="false"/>
          <w:color w:val="000000"/>
          <w:sz w:val="22"/>
          <w:szCs w:val="22"/>
        </w:rPr>
        <w:t xml:space="preserve"> (2017) documents the specific mechanisms through which health data is extracted, processed, and monetized. Lupton identifies "dataveillance" — surveillance through data — as the characteristic mode of governance in digital health. The fitness tracker does not merely monitor; it normalizes. It establishes a standard (10,000 steps, 8 hours of sleep, 60–100 bpm resting heart rate) and measures deviation. The body becomes legible as a set of metrics, and the metrics become the basis for institutional decision-making (insurance premiums, employment wellness programs, clinical risk assessment).</w:t>
      </w:r>
    </w:p>
    <w:p>
      <w:pPr>
        <w:spacing w:after="120" w:before="60" w:line="360" w:lineRule="auto"/>
      </w:pPr>
      <w:r>
        <w:rPr>
          <w:rFonts w:ascii="Calibri" w:cs="Calibri" w:eastAsia="Calibri" w:hAnsi="Calibri"/>
          <w:b/>
          <w:bCs/>
          <w:i w:val="false"/>
          <w:iCs w:val="false"/>
          <w:strike w:val="false"/>
          <w:color w:val="000000"/>
          <w:sz w:val="22"/>
          <w:szCs w:val="22"/>
        </w:rPr>
        <w:t xml:space="preserve">Real-world anchor:</w:t>
      </w:r>
      <w:r>
        <w:rPr>
          <w:rFonts w:ascii="Calibri" w:cs="Calibri" w:eastAsia="Calibri" w:hAnsi="Calibri"/>
          <w:b w:val="false"/>
          <w:bCs w:val="false"/>
          <w:i w:val="false"/>
          <w:iCs w:val="false"/>
          <w:strike w:val="false"/>
          <w:color w:val="000000"/>
          <w:sz w:val="22"/>
          <w:szCs w:val="22"/>
        </w:rPr>
        <w:t xml:space="preserve"> The 2023 controversy over Amazon's acquisition of One Medical and its implications for health data privacy illustrated the card's concerns materially. When a company that operates the world's largest e-commerce platform and cloud computing infrastructure also holds patients' medical records, the boundary between commercial data and health data collapses. The body's data — once the most private category of information — becomes a node in a commercial network.</w:t>
      </w:r>
    </w:p>
    <w:p>
      <w:pPr>
        <w:pStyle w:val="Heading2"/>
        <w:spacing w:after="120" w:before="360" w:line="312" w:lineRule="auto"/>
      </w:pPr>
      <w:r>
        <w:rPr>
          <w:rFonts w:ascii="Calibri" w:cs="Calibri" w:eastAsia="Calibri" w:hAnsi="Calibri"/>
          <w:color w:val="1A1A1A"/>
          <w:sz w:val="36"/>
          <w:szCs w:val="36"/>
        </w:rPr>
        <w:t xml:space="preserve">18. Text Systems That Talk Back</w:t>
      </w:r>
    </w:p>
    <w:p>
      <w:pPr>
        <w:spacing w:after="60" w:before="60" w:line="360" w:lineRule="auto"/>
      </w:pPr>
      <w:r>
        <w:rPr>
          <w:rFonts w:ascii="Calibri" w:cs="Calibri" w:eastAsia="Calibri" w:hAnsi="Calibri"/>
          <w:b w:val="false"/>
          <w:bCs w:val="false"/>
          <w:i w:val="false"/>
          <w:iCs w:val="false"/>
          <w:strike w:val="false"/>
          <w:color w:val="666666"/>
          <w:spacing w:val="15"/>
          <w:sz w:val="18"/>
          <w:szCs w:val="18"/>
        </w:rPr>
        <w:t xml:space="preserve">SANDBOX</w:t>
      </w:r>
    </w:p>
    <w:p>
      <w:pPr>
        <w:spacing w:after="240" w:before="60" w:line="360" w:lineRule="auto"/>
      </w:pPr>
      <w:r>
        <w:rPr>
          <w:rFonts w:ascii="Calibri" w:cs="Calibri" w:eastAsia="Calibri" w:hAnsi="Calibri"/>
          <w:b/>
          <w:bCs/>
          <w:i w:val="false"/>
          <w:iCs w:val="false"/>
          <w:strike w:val="false"/>
          <w:color w:val="2B5797"/>
          <w:sz w:val="22"/>
          <w:szCs w:val="22"/>
        </w:rPr>
        <w:t xml:space="preserve">ENTERS THE DEBATE: Machine agency and the philosophy of computation — whether computational systems can be genuine participants in meaning-making.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Joseph Weizenbaum's ELIZA (1966) remains the origin story. Weizenbaum created a simple pattern-matching program that simulated a Rogerian psychotherapist, and was horrified when users — including his own secretary — formed emotional attachments to it. The card's question "Is ceremony for the machine?" is a direct descendant of Weizenbaum's original anxiety: when humans treat machines as interlocutors, who is changed?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Janet Murray's </w:t>
      </w:r>
      <w:r>
        <w:rPr>
          <w:rFonts w:ascii="Calibri" w:cs="Calibri" w:eastAsia="Calibri" w:hAnsi="Calibri"/>
          <w:b w:val="false"/>
          <w:bCs w:val="false"/>
          <w:i/>
          <w:iCs/>
          <w:strike w:val="false"/>
          <w:color w:val="000000"/>
          <w:sz w:val="22"/>
          <w:szCs w:val="22"/>
        </w:rPr>
        <w:t xml:space="preserve">Hamlet on the Holodeck</w:t>
      </w:r>
      <w:r>
        <w:rPr>
          <w:rFonts w:ascii="Calibri" w:cs="Calibri" w:eastAsia="Calibri" w:hAnsi="Calibri"/>
          <w:b w:val="false"/>
          <w:bCs w:val="false"/>
          <w:i w:val="false"/>
          <w:iCs w:val="false"/>
          <w:strike w:val="false"/>
          <w:color w:val="000000"/>
          <w:sz w:val="22"/>
          <w:szCs w:val="22"/>
        </w:rPr>
        <w:t xml:space="preserve"> (1997) provides the narrative-theory framework. Murray argued that interactive digital environments create a new form of authorship — "procedural authorship" — in which the creator designs systems that generate narrative rather than writing narrative directly. The card's agent-bootstrap prompt ("treat source material as pressure, not as command") is a precise formulation of procedural authorship: the human creates the conditions for textual generation; the machine performs the generation; the result belongs to neither fully.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Benjamin Bratton's </w:t>
      </w:r>
      <w:r>
        <w:rPr>
          <w:rFonts w:ascii="Calibri" w:cs="Calibri" w:eastAsia="Calibri" w:hAnsi="Calibri"/>
          <w:b w:val="false"/>
          <w:bCs w:val="false"/>
          <w:i/>
          <w:iCs/>
          <w:strike w:val="false"/>
          <w:color w:val="000000"/>
          <w:sz w:val="22"/>
          <w:szCs w:val="22"/>
        </w:rPr>
        <w:t xml:space="preserve">The Stack</w:t>
      </w:r>
      <w:r>
        <w:rPr>
          <w:rFonts w:ascii="Calibri" w:cs="Calibri" w:eastAsia="Calibri" w:hAnsi="Calibri"/>
          <w:b w:val="false"/>
          <w:bCs w:val="false"/>
          <w:i w:val="false"/>
          <w:iCs w:val="false"/>
          <w:strike w:val="false"/>
          <w:color w:val="000000"/>
          <w:sz w:val="22"/>
          <w:szCs w:val="22"/>
        </w:rPr>
        <w:t xml:space="preserve"> (2016), specifically his concept of "the user" as a position within a computational architecture rather than a human being, provides the infrastructural ground. Bratton argues that "user" is a category that can be occupied by humans, machines, or algorithms — that the computational system does not inherently distinguish between them. The card's investigation of "the conditions under which a text system appears to develop agency" takes Bratton's architectural insight and applies it to the specific domain of language.</w:t>
      </w:r>
    </w:p>
    <w:p>
      <w:pPr>
        <w:spacing w:after="120" w:before="60" w:line="360" w:lineRule="auto"/>
      </w:pPr>
      <w:r>
        <w:rPr>
          <w:rFonts w:ascii="Calibri" w:cs="Calibri" w:eastAsia="Calibri" w:hAnsi="Calibri"/>
          <w:b/>
          <w:bCs/>
          <w:i w:val="false"/>
          <w:iCs w:val="false"/>
          <w:strike w:val="false"/>
          <w:color w:val="000000"/>
          <w:sz w:val="22"/>
          <w:szCs w:val="22"/>
        </w:rPr>
        <w:t xml:space="preserve">Real-world anchor:</w:t>
      </w:r>
      <w:r>
        <w:rPr>
          <w:rFonts w:ascii="Calibri" w:cs="Calibri" w:eastAsia="Calibri" w:hAnsi="Calibri"/>
          <w:b w:val="false"/>
          <w:bCs w:val="false"/>
          <w:i w:val="false"/>
          <w:iCs w:val="false"/>
          <w:strike w:val="false"/>
          <w:color w:val="000000"/>
          <w:sz w:val="22"/>
          <w:szCs w:val="22"/>
        </w:rPr>
        <w:t xml:space="preserve"> The 2023–2024 debate over AI "alignment" and "hallucination" — whether large language models can be made to consistently produce truthful, helpful responses — has largely framed the issue in terms of engineering reliability. The card reframes it as a question of textual agency: the "hallucination" is precisely the moment when the system generates text that exceeds the user's request, producing something unexpected and potentially valuable. The comprehension battery described in the card — which tests whether an AI has "genuinely read" a text — is a diagnostic for exactly this capacity: the system's ability to contend with source material rather than merely consuming it.</w:t>
      </w:r>
    </w:p>
    <w:p>
      <w:pPr>
        <w:pStyle w:val="Heading2"/>
        <w:spacing w:after="120" w:before="360" w:line="312" w:lineRule="auto"/>
      </w:pPr>
      <w:r>
        <w:rPr>
          <w:rFonts w:ascii="Calibri" w:cs="Calibri" w:eastAsia="Calibri" w:hAnsi="Calibri"/>
          <w:color w:val="1A1A1A"/>
          <w:sz w:val="36"/>
          <w:szCs w:val="36"/>
        </w:rPr>
        <w:t xml:space="preserve">19. Cultural Diagnostics: A Survey</w:t>
      </w:r>
    </w:p>
    <w:p>
      <w:pPr>
        <w:spacing w:after="60" w:before="60" w:line="360" w:lineRule="auto"/>
      </w:pPr>
      <w:r>
        <w:rPr>
          <w:rFonts w:ascii="Calibri" w:cs="Calibri" w:eastAsia="Calibri" w:hAnsi="Calibri"/>
          <w:b w:val="false"/>
          <w:bCs w:val="false"/>
          <w:i w:val="false"/>
          <w:iCs w:val="false"/>
          <w:strike w:val="false"/>
          <w:color w:val="666666"/>
          <w:spacing w:val="15"/>
          <w:sz w:val="18"/>
          <w:szCs w:val="18"/>
        </w:rPr>
        <w:t xml:space="preserve">SANDBOX</w:t>
      </w:r>
    </w:p>
    <w:p>
      <w:pPr>
        <w:spacing w:after="240" w:before="60" w:line="360" w:lineRule="auto"/>
      </w:pPr>
      <w:r>
        <w:rPr>
          <w:rFonts w:ascii="Calibri" w:cs="Calibri" w:eastAsia="Calibri" w:hAnsi="Calibri"/>
          <w:b/>
          <w:bCs/>
          <w:i w:val="false"/>
          <w:iCs w:val="false"/>
          <w:strike w:val="false"/>
          <w:color w:val="2B5797"/>
          <w:sz w:val="22"/>
          <w:szCs w:val="22"/>
        </w:rPr>
        <w:t xml:space="preserve">ENTERS THE DEBATE: The diagnostics of the present — whether we can characterize the current moment without collapsing into optimism or pessimism.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Hartmut Rosa's </w:t>
      </w:r>
      <w:r>
        <w:rPr>
          <w:rFonts w:ascii="Calibri" w:cs="Calibri" w:eastAsia="Calibri" w:hAnsi="Calibri"/>
          <w:b w:val="false"/>
          <w:bCs w:val="false"/>
          <w:i/>
          <w:iCs/>
          <w:strike w:val="false"/>
          <w:color w:val="000000"/>
          <w:sz w:val="22"/>
          <w:szCs w:val="22"/>
        </w:rPr>
        <w:t xml:space="preserve">Resonance</w:t>
      </w:r>
      <w:r>
        <w:rPr>
          <w:rFonts w:ascii="Calibri" w:cs="Calibri" w:eastAsia="Calibri" w:hAnsi="Calibri"/>
          <w:b w:val="false"/>
          <w:bCs w:val="false"/>
          <w:i w:val="false"/>
          <w:iCs w:val="false"/>
          <w:strike w:val="false"/>
          <w:color w:val="000000"/>
          <w:sz w:val="22"/>
          <w:szCs w:val="22"/>
        </w:rPr>
        <w:t xml:space="preserve"> (2019) provides the most ambitious recent attempt at cultural diagnosis. Rosa argues that the fundamental crisis of modernity is not alienation (Marx), rationalization (Weber), or anomie (Durkheim), but a loss of "resonance" — the ability to be affected by and respond to the world. A resonant relationship with the world involves being touched, being transformed, and feeling that one's own voice reaches the other. The card's five-axis diagnostic model is structured to measure resonance conditions rather than pathology indicators.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Raymond Williams' concept of "structures of feeling" — introduced in </w:t>
      </w:r>
      <w:r>
        <w:rPr>
          <w:rFonts w:ascii="Calibri" w:cs="Calibri" w:eastAsia="Calibri" w:hAnsi="Calibri"/>
          <w:b w:val="false"/>
          <w:bCs w:val="false"/>
          <w:i/>
          <w:iCs/>
          <w:strike w:val="false"/>
          <w:color w:val="000000"/>
          <w:sz w:val="22"/>
          <w:szCs w:val="22"/>
        </w:rPr>
        <w:t xml:space="preserve">Marxism and Literature</w:t>
      </w:r>
      <w:r>
        <w:rPr>
          <w:rFonts w:ascii="Calibri" w:cs="Calibri" w:eastAsia="Calibri" w:hAnsi="Calibri"/>
          <w:b w:val="false"/>
          <w:bCs w:val="false"/>
          <w:i w:val="false"/>
          <w:iCs w:val="false"/>
          <w:strike w:val="false"/>
          <w:color w:val="000000"/>
          <w:sz w:val="22"/>
          <w:szCs w:val="22"/>
        </w:rPr>
        <w:t xml:space="preserve"> (1977) — names the pre-articulate sense of a period's dominant emotional texture. A structure of feeling is not an ideology or a worldview; it is the lived quality of social experience at a particular time and place. The card's refusal of both optimism and pessimism, its insistence on "multiple axes that can move independently, producing a characterization with internal contradictions," is a methodological commitment to capturing structures of feeling in their complexity rather than reducing them to narrative.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Lauren Berlant's </w:t>
      </w:r>
      <w:r>
        <w:rPr>
          <w:rFonts w:ascii="Calibri" w:cs="Calibri" w:eastAsia="Calibri" w:hAnsi="Calibri"/>
          <w:b w:val="false"/>
          <w:bCs w:val="false"/>
          <w:i/>
          <w:iCs/>
          <w:strike w:val="false"/>
          <w:color w:val="000000"/>
          <w:sz w:val="22"/>
          <w:szCs w:val="22"/>
        </w:rPr>
        <w:t xml:space="preserve">Cruel Optimism</w:t>
      </w:r>
      <w:r>
        <w:rPr>
          <w:rFonts w:ascii="Calibri" w:cs="Calibri" w:eastAsia="Calibri" w:hAnsi="Calibri"/>
          <w:b w:val="false"/>
          <w:bCs w:val="false"/>
          <w:i w:val="false"/>
          <w:iCs w:val="false"/>
          <w:strike w:val="false"/>
          <w:color w:val="000000"/>
          <w:sz w:val="22"/>
          <w:szCs w:val="22"/>
        </w:rPr>
        <w:t xml:space="preserve"> (2011) diagnoses a specific structure of feeling in contemporary neoliberal culture: the attachment to objects of desire (the good life, upward mobility, political agency) that are actually obstacles to one's flourishing. Berlant's concept names the affective dimension of the card's axis on "future-arc visibility" — the capacity to generate credible images of the future. When available futures are themselves objects of cruel optimism — promises of fulfillment that structurally cannot be delivered — the diagnostic must account for the gap between aspiration and architecture.</w:t>
      </w:r>
    </w:p>
    <w:p>
      <w:pPr>
        <w:spacing w:after="120" w:before="60" w:line="360" w:lineRule="auto"/>
      </w:pPr>
      <w:r>
        <w:rPr>
          <w:rFonts w:ascii="Calibri" w:cs="Calibri" w:eastAsia="Calibri" w:hAnsi="Calibri"/>
          <w:b/>
          <w:bCs/>
          <w:i w:val="false"/>
          <w:iCs w:val="false"/>
          <w:strike w:val="false"/>
          <w:color w:val="000000"/>
          <w:sz w:val="22"/>
          <w:szCs w:val="22"/>
        </w:rPr>
        <w:t xml:space="preserve">Real-world anchor:</w:t>
      </w:r>
      <w:r>
        <w:rPr>
          <w:rFonts w:ascii="Calibri" w:cs="Calibri" w:eastAsia="Calibri" w:hAnsi="Calibri"/>
          <w:b w:val="false"/>
          <w:bCs w:val="false"/>
          <w:i w:val="false"/>
          <w:iCs w:val="false"/>
          <w:strike w:val="false"/>
          <w:color w:val="000000"/>
          <w:sz w:val="22"/>
          <w:szCs w:val="22"/>
        </w:rPr>
        <w:t xml:space="preserve"> The annual Edelman Trust Barometer, which has measured trust in institutions (government, business, media, NGOs) across 28 countries since 2000, provides quantitative longitudinal data for the kind of cultural diagnostics the card proposes. The 2024 report found that innovation is now more feared than welcomed in 14 of 28 countries — the first time this has occurred in the survey's history. This empirical finding supports the card's axis on future-arc visibility: when innovation itself is feared, the cultural capacity to imagine positive futures has been structurally compromised.</w:t>
      </w:r>
    </w:p>
    <w:p>
      <w:pPr>
        <w:pStyle w:val="Heading2"/>
        <w:spacing w:after="120" w:before="360" w:line="312" w:lineRule="auto"/>
      </w:pPr>
      <w:r>
        <w:rPr>
          <w:rFonts w:ascii="Calibri" w:cs="Calibri" w:eastAsia="Calibri" w:hAnsi="Calibri"/>
          <w:color w:val="1A1A1A"/>
          <w:sz w:val="36"/>
          <w:szCs w:val="36"/>
        </w:rPr>
        <w:t xml:space="preserve">20. The Attention Audit</w:t>
      </w:r>
    </w:p>
    <w:p>
      <w:pPr>
        <w:spacing w:after="60" w:before="60" w:line="360" w:lineRule="auto"/>
      </w:pPr>
      <w:r>
        <w:rPr>
          <w:rFonts w:ascii="Calibri" w:cs="Calibri" w:eastAsia="Calibri" w:hAnsi="Calibri"/>
          <w:b w:val="false"/>
          <w:bCs w:val="false"/>
          <w:i w:val="false"/>
          <w:iCs w:val="false"/>
          <w:strike w:val="false"/>
          <w:color w:val="666666"/>
          <w:spacing w:val="15"/>
          <w:sz w:val="18"/>
          <w:szCs w:val="18"/>
        </w:rPr>
        <w:t xml:space="preserve">SANDBOX</w:t>
      </w:r>
    </w:p>
    <w:p>
      <w:pPr>
        <w:spacing w:after="240" w:before="60" w:line="360" w:lineRule="auto"/>
      </w:pPr>
      <w:r>
        <w:rPr>
          <w:rFonts w:ascii="Calibri" w:cs="Calibri" w:eastAsia="Calibri" w:hAnsi="Calibri"/>
          <w:b/>
          <w:bCs/>
          <w:i w:val="false"/>
          <w:iCs w:val="false"/>
          <w:strike w:val="false"/>
          <w:color w:val="2B5797"/>
          <w:sz w:val="22"/>
          <w:szCs w:val="22"/>
        </w:rPr>
        <w:t xml:space="preserve">ENTERS THE DEBATE: Attention economics and the politics of cognitive sovereignty — who controls where your mind goes.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Tim Wu's </w:t>
      </w:r>
      <w:r>
        <w:rPr>
          <w:rFonts w:ascii="Calibri" w:cs="Calibri" w:eastAsia="Calibri" w:hAnsi="Calibri"/>
          <w:b w:val="false"/>
          <w:bCs w:val="false"/>
          <w:i/>
          <w:iCs/>
          <w:strike w:val="false"/>
          <w:color w:val="000000"/>
          <w:sz w:val="22"/>
          <w:szCs w:val="22"/>
        </w:rPr>
        <w:t xml:space="preserve">The Attention Merchants</w:t>
      </w:r>
      <w:r>
        <w:rPr>
          <w:rFonts w:ascii="Calibri" w:cs="Calibri" w:eastAsia="Calibri" w:hAnsi="Calibri"/>
          <w:b w:val="false"/>
          <w:bCs w:val="false"/>
          <w:i w:val="false"/>
          <w:iCs w:val="false"/>
          <w:strike w:val="false"/>
          <w:color w:val="000000"/>
          <w:sz w:val="22"/>
          <w:szCs w:val="22"/>
        </w:rPr>
        <w:t xml:space="preserve"> (2016) provides the economic history. Wu traces the commodification of attention from 19th-century newspapers through radio, television, and the internet, showing that the attention economy is not a recent invention but a 150-year-old industrial complex. The card's three-economy model (captured, directed, residual) extends Wu's historical analysis into a phenomenological taxonomy: not just who captures attention, but what attention does when it is not being captured.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Jenny Odell's </w:t>
      </w:r>
      <w:r>
        <w:rPr>
          <w:rFonts w:ascii="Calibri" w:cs="Calibri" w:eastAsia="Calibri" w:hAnsi="Calibri"/>
          <w:b w:val="false"/>
          <w:bCs w:val="false"/>
          <w:i/>
          <w:iCs/>
          <w:strike w:val="false"/>
          <w:color w:val="000000"/>
          <w:sz w:val="22"/>
          <w:szCs w:val="22"/>
        </w:rPr>
        <w:t xml:space="preserve">How to Do Nothing: Resisting the Attention Economy</w:t>
      </w:r>
      <w:r>
        <w:rPr>
          <w:rFonts w:ascii="Calibri" w:cs="Calibri" w:eastAsia="Calibri" w:hAnsi="Calibri"/>
          <w:b w:val="false"/>
          <w:bCs w:val="false"/>
          <w:i w:val="false"/>
          <w:iCs w:val="false"/>
          <w:strike w:val="false"/>
          <w:color w:val="000000"/>
          <w:sz w:val="22"/>
          <w:szCs w:val="22"/>
        </w:rPr>
        <w:t xml:space="preserve"> (2019) provides the most sustained contemporary argument for attention as resistance. Odell advocates "doing nothing" — not as passivity but as a deliberate practice of redirecting attention toward the local, the ecological, the slow. The card engages Odell but pushes beyond her: Odell's resistance is primarily spatial (bioregionalism, place-based attention); the card's resistance is primarily temporal (attention at a frequency the platform cannot monetize).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Yves Citton's </w:t>
      </w:r>
      <w:r>
        <w:rPr>
          <w:rFonts w:ascii="Calibri" w:cs="Calibri" w:eastAsia="Calibri" w:hAnsi="Calibri"/>
          <w:b w:val="false"/>
          <w:bCs w:val="false"/>
          <w:i/>
          <w:iCs/>
          <w:strike w:val="false"/>
          <w:color w:val="000000"/>
          <w:sz w:val="22"/>
          <w:szCs w:val="22"/>
        </w:rPr>
        <w:t xml:space="preserve">The Ecology of Attention</w:t>
      </w:r>
      <w:r>
        <w:rPr>
          <w:rFonts w:ascii="Calibri" w:cs="Calibri" w:eastAsia="Calibri" w:hAnsi="Calibri"/>
          <w:b w:val="false"/>
          <w:bCs w:val="false"/>
          <w:i w:val="false"/>
          <w:iCs w:val="false"/>
          <w:strike w:val="false"/>
          <w:color w:val="000000"/>
          <w:sz w:val="22"/>
          <w:szCs w:val="22"/>
        </w:rPr>
        <w:t xml:space="preserve"> (2017) provides the theoretical framework for treating attention as a shared resource rather than an individual capacity. Citton argues that attention is not a purely cognitive phenomenon but an ecological one — distributed across environments, shaped by collective practices, and requiring governance structures analogous to those used for natural resources. The card's "attention audit" is Citton's ecology made practical: a structured method for documenting how attention is distributed, captured, and wasted in daily life.</w:t>
      </w:r>
    </w:p>
    <w:p>
      <w:pPr>
        <w:spacing w:after="120" w:before="60" w:line="360" w:lineRule="auto"/>
      </w:pPr>
      <w:r>
        <w:rPr>
          <w:rFonts w:ascii="Calibri" w:cs="Calibri" w:eastAsia="Calibri" w:hAnsi="Calibri"/>
          <w:b/>
          <w:bCs/>
          <w:i w:val="false"/>
          <w:iCs w:val="false"/>
          <w:strike w:val="false"/>
          <w:color w:val="000000"/>
          <w:sz w:val="22"/>
          <w:szCs w:val="22"/>
        </w:rPr>
        <w:t xml:space="preserve">Real-world anchor:</w:t>
      </w:r>
      <w:r>
        <w:rPr>
          <w:rFonts w:ascii="Calibri" w:cs="Calibri" w:eastAsia="Calibri" w:hAnsi="Calibri"/>
          <w:b w:val="false"/>
          <w:bCs w:val="false"/>
          <w:i w:val="false"/>
          <w:iCs w:val="false"/>
          <w:strike w:val="false"/>
          <w:color w:val="000000"/>
          <w:sz w:val="22"/>
          <w:szCs w:val="22"/>
        </w:rPr>
        <w:t xml:space="preserve"> The Borderland festival's "zero percent algorithm" policy — no scheduled push notifications, no recommendation engine, no curated paths — is a real-world implementation of the card's theoretical framework. Borderland (held annually near Alvaret, Sweden) operates on the Burning Man principle of radical participation, but the card extracts a specific insight: the festival demonstrates what attention does when the algorithmic capture infrastructure is removed. The result is not necessarily better attention — it is DIFFERENT attention. Disoriented, demanding, and unoptimized. The card does not romanticize this. It documents it.</w:t>
      </w:r>
    </w:p>
    <w:p>
      <w:pPr>
        <w:spacing w:after="120" w:before="60" w:line="360" w:lineRule="auto"/>
      </w:pPr>
      <w:r>
        <w:rPr>
          <w:rFonts w:ascii="Calibri" w:cs="Calibri" w:eastAsia="Calibri" w:hAnsi="Calibri"/>
          <w:b/>
          <w:bCs/>
          <w:i w:val="false"/>
          <w:iCs w:val="false"/>
          <w:strike w:val="false"/>
          <w:color w:val="000000"/>
          <w:sz w:val="22"/>
          <w:szCs w:val="22"/>
        </w:rPr>
        <w:t xml:space="preserve">Document prepared:</w:t>
      </w:r>
      <w:r>
        <w:rPr>
          <w:rFonts w:ascii="Calibri" w:cs="Calibri" w:eastAsia="Calibri" w:hAnsi="Calibri"/>
          <w:b w:val="false"/>
          <w:bCs w:val="false"/>
          <w:i w:val="false"/>
          <w:iCs w:val="false"/>
          <w:strike w:val="false"/>
          <w:color w:val="555555"/>
          <w:sz w:val="22"/>
          <w:szCs w:val="22"/>
        </w:rPr>
        <w:t xml:space="preserve"> April 2026 · Verboten Media Production Grounding</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bCs/>
          <w:i w:val="false"/>
          <w:iCs w:val="false"/>
          <w:strike w:val="false"/>
          <w:color w:val="000000"/>
          <w:sz w:val="22"/>
          <w:szCs w:val="22"/>
        </w:rPr>
        <w:t xml:space="preserve">Register scope:</w:t>
      </w:r>
      <w:r>
        <w:rPr>
          <w:rFonts w:ascii="Calibri" w:cs="Calibri" w:eastAsia="Calibri" w:hAnsi="Calibri"/>
          <w:b w:val="false"/>
          <w:bCs w:val="false"/>
          <w:i w:val="false"/>
          <w:iCs w:val="false"/>
          <w:strike w:val="false"/>
          <w:color w:val="555555"/>
          <w:sz w:val="22"/>
          <w:szCs w:val="22"/>
        </w:rPr>
        <w:t xml:space="preserve"> 20 cards (10 Writings, 10 Sandbox)</w:t>
      </w:r>
      <w:r>
        <w:rPr>
          <w:rFonts w:ascii="Calibri" w:cs="Calibri" w:eastAsia="Calibri" w:hAnsi="Calibri"/>
          <w:b w:val="false"/>
          <w:bCs w:val="false"/>
          <w:i w:val="false"/>
          <w:iCs w:val="false"/>
          <w:color w:val="555555"/>
          <w:sz w:val="22"/>
          <w:szCs w:val="22"/>
        </w:rPr>
        <w:br/>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555555"/>
          <w:sz w:val="22"/>
          <w:szCs w:val="22"/>
        </w:rPr>
        <w:t xml:space="preserve"> Scholarly scaffolding — anchoring card arguments in external discourse for editorial review, contributor onboarding, and citation integrity.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LLLpDUVdfka8oau6mucja</dc:title>
  <dc:creator>Un-named</dc:creator>
  <dc:description>Generated document</dc:description>
  <cp:lastModifiedBy>Un-named</cp:lastModifiedBy>
  <cp:revision>1</cp:revision>
  <dcterms:created xsi:type="dcterms:W3CDTF">2026-04-17T08:36:41.450Z</dcterms:created>
  <dcterms:modified xsi:type="dcterms:W3CDTF">2026-04-17T08:36:41.450Z</dcterms:modified>
</cp:coreProperties>
</file>

<file path=docProps/custom.xml><?xml version="1.0" encoding="utf-8"?>
<Properties xmlns="http://schemas.openxmlformats.org/officeDocument/2006/custom-properties" xmlns:vt="http://schemas.openxmlformats.org/officeDocument/2006/docPropsVTypes"/>
</file>