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828" w:rsidRDefault="003C1B48">
      <w:r>
        <w:t xml:space="preserve">Sub-lethal fungicide stress </w:t>
      </w:r>
      <w:r w:rsidR="007F0F7A">
        <w:t>induced</w:t>
      </w:r>
      <w:r>
        <w:t xml:space="preserve"> polymorphism in </w:t>
      </w:r>
      <w:r w:rsidRPr="007F0F7A">
        <w:rPr>
          <w:i/>
          <w:iCs/>
        </w:rPr>
        <w:t>Sclerotinia sclerotiorum</w:t>
      </w:r>
      <w:r>
        <w:t xml:space="preserve"> genomic DNA</w:t>
      </w:r>
    </w:p>
    <w:p w:rsidR="003C1B48" w:rsidRDefault="005C3E06">
      <w:r>
        <w:t>B Sajeewa Amaradasa and</w:t>
      </w:r>
      <w:r w:rsidR="00F32B48">
        <w:t xml:space="preserve"> Sydney E</w:t>
      </w:r>
      <w:r>
        <w:t>verhart</w:t>
      </w:r>
    </w:p>
    <w:p w:rsidR="005C3E06" w:rsidRDefault="005C3E06">
      <w:r>
        <w:t>First author and second authors: Department of Plant Pathology, University of Nebraska-Lincoln, Lincoln NE 68583</w:t>
      </w:r>
    </w:p>
    <w:p w:rsidR="005C3E06" w:rsidRDefault="00564A41">
      <w:r>
        <w:t xml:space="preserve">Corresponding author: Sydney Everhart; E-mail address: everhart@unl.edu </w:t>
      </w:r>
    </w:p>
    <w:p w:rsidR="005B2DE1" w:rsidRDefault="005C3E06">
      <w:r>
        <w:t>ABSTRACT</w:t>
      </w:r>
    </w:p>
    <w:p w:rsidR="00564A41" w:rsidRDefault="00564A41"/>
    <w:p w:rsidR="00564A41" w:rsidRDefault="00564A41">
      <w:r>
        <w:t>Intro</w:t>
      </w:r>
      <w:r w:rsidR="0096349E">
        <w:t>duction</w:t>
      </w:r>
    </w:p>
    <w:p w:rsidR="00443E2D" w:rsidRDefault="00F77FA8" w:rsidP="00BC0ECA">
      <w:r>
        <w:t xml:space="preserve">Most of the </w:t>
      </w:r>
      <w:r w:rsidR="00E17EDD">
        <w:t xml:space="preserve">fungicide </w:t>
      </w:r>
      <w:r w:rsidR="00970536">
        <w:t xml:space="preserve">efficacy </w:t>
      </w:r>
      <w:r w:rsidR="00E17EDD">
        <w:t>studies have</w:t>
      </w:r>
      <w:r>
        <w:t xml:space="preserve"> been carried out to </w:t>
      </w:r>
      <w:r w:rsidR="00F054F5">
        <w:t>ascertain</w:t>
      </w:r>
      <w:r>
        <w:t xml:space="preserve"> the effect of lethal doses </w:t>
      </w:r>
      <w:r w:rsidR="000D28CA">
        <w:t xml:space="preserve">driving </w:t>
      </w:r>
      <w:r>
        <w:t xml:space="preserve">pathogen resistance </w:t>
      </w:r>
      <w:r w:rsidR="00F2607D">
        <w:t xml:space="preserve">by selecting </w:t>
      </w:r>
      <w:r w:rsidR="00BC0ECA">
        <w:t xml:space="preserve">for </w:t>
      </w:r>
      <w:r w:rsidR="00B5015D">
        <w:t xml:space="preserve">preexisting </w:t>
      </w:r>
      <w:r w:rsidR="00970536">
        <w:t>rare mutant</w:t>
      </w:r>
      <w:r w:rsidR="00F01131">
        <w:t xml:space="preserve">s </w:t>
      </w:r>
      <w:r w:rsidR="00F054F5">
        <w:t>resistant</w:t>
      </w:r>
      <w:r w:rsidR="00F01131">
        <w:t xml:space="preserve"> </w:t>
      </w:r>
      <w:r w:rsidR="00BC0ECA">
        <w:t xml:space="preserve">to </w:t>
      </w:r>
      <w:r w:rsidR="00F01131">
        <w:t>fungicidal action</w:t>
      </w:r>
      <w:r w:rsidR="00E17EDD">
        <w:t>.</w:t>
      </w:r>
      <w:r w:rsidR="00F2607D">
        <w:t xml:space="preserve"> </w:t>
      </w:r>
      <w:r w:rsidR="00E17EDD">
        <w:t>Only little work has been</w:t>
      </w:r>
      <w:r>
        <w:t xml:space="preserve"> </w:t>
      </w:r>
      <w:r w:rsidR="00030EC2">
        <w:t xml:space="preserve">done </w:t>
      </w:r>
      <w:r w:rsidR="00E17EDD">
        <w:t>to decipher</w:t>
      </w:r>
      <w:r w:rsidR="000D28CA">
        <w:t xml:space="preserve"> contribution of </w:t>
      </w:r>
      <w:proofErr w:type="spellStart"/>
      <w:r>
        <w:t>sublethal</w:t>
      </w:r>
      <w:proofErr w:type="spellEnd"/>
      <w:r>
        <w:t xml:space="preserve"> </w:t>
      </w:r>
      <w:r w:rsidR="00F01131">
        <w:t xml:space="preserve">fungicide </w:t>
      </w:r>
      <w:r>
        <w:t xml:space="preserve">doses </w:t>
      </w:r>
      <w:r w:rsidR="00F01131">
        <w:t>acting as a driver of mutations</w:t>
      </w:r>
      <w:r>
        <w:t xml:space="preserve">. </w:t>
      </w:r>
      <w:proofErr w:type="spellStart"/>
      <w:r w:rsidR="007D7EE1">
        <w:t>Suble</w:t>
      </w:r>
      <w:r w:rsidR="00030EC2">
        <w:t>thal</w:t>
      </w:r>
      <w:proofErr w:type="spellEnd"/>
      <w:r w:rsidR="00030EC2">
        <w:t xml:space="preserve"> doses of antimicrobials have</w:t>
      </w:r>
      <w:r w:rsidR="007D7EE1">
        <w:t xml:space="preserve"> </w:t>
      </w:r>
      <w:r w:rsidR="00581793">
        <w:t>been documented to</w:t>
      </w:r>
      <w:r w:rsidR="007D7EE1">
        <w:t xml:space="preserve"> damage or alter DNA in </w:t>
      </w:r>
      <w:r w:rsidR="007D7EE1" w:rsidRPr="00BC0ECA">
        <w:rPr>
          <w:strike/>
        </w:rPr>
        <w:t>pathogenic</w:t>
      </w:r>
      <w:r w:rsidR="007D7EE1">
        <w:t xml:space="preserve"> microorganisms such as bacteria and fungi </w:t>
      </w:r>
      <w:r w:rsidR="007D7EE1" w:rsidRPr="00326DB3">
        <w:rPr>
          <w:highlight w:val="cyan"/>
        </w:rPr>
        <w:t>(</w:t>
      </w:r>
      <w:proofErr w:type="spellStart"/>
      <w:r w:rsidR="00181F05">
        <w:rPr>
          <w:rFonts w:ascii="AdvOT82c4f4c4" w:hAnsi="AdvOT82c4f4c4" w:cs="AdvOT82c4f4c4"/>
          <w:color w:val="000000"/>
          <w:sz w:val="16"/>
          <w:szCs w:val="16"/>
        </w:rPr>
        <w:t>Andersson</w:t>
      </w:r>
      <w:proofErr w:type="spellEnd"/>
      <w:r w:rsidR="00181F05">
        <w:rPr>
          <w:rFonts w:ascii="AdvOT82c4f4c4" w:hAnsi="AdvOT82c4f4c4" w:cs="AdvOT82c4f4c4"/>
          <w:color w:val="000000"/>
          <w:sz w:val="16"/>
          <w:szCs w:val="16"/>
        </w:rPr>
        <w:t xml:space="preserve"> DI, Hughes D (2014||</w:t>
      </w:r>
      <w:r w:rsidR="00181F05" w:rsidRPr="00181F05">
        <w:t xml:space="preserve"> Rebecca S. Shapiro. (2015)</w:t>
      </w:r>
      <w:r w:rsidR="007D7EE1" w:rsidRPr="00326DB3">
        <w:rPr>
          <w:highlight w:val="cyan"/>
        </w:rPr>
        <w:t>Ref</w:t>
      </w:r>
      <w:r w:rsidR="007D7EE1">
        <w:t>)</w:t>
      </w:r>
      <w:r w:rsidR="00581793">
        <w:t xml:space="preserve"> lead</w:t>
      </w:r>
      <w:r w:rsidR="00BC0ECA">
        <w:t>ing</w:t>
      </w:r>
      <w:r w:rsidR="00581793">
        <w:t xml:space="preserve"> to </w:t>
      </w:r>
      <w:r w:rsidR="00BC0ECA">
        <w:t xml:space="preserve">an increase in </w:t>
      </w:r>
      <w:r w:rsidR="00581793">
        <w:t>mutagenesis</w:t>
      </w:r>
      <w:r w:rsidR="007D7EE1">
        <w:t xml:space="preserve">. </w:t>
      </w:r>
      <w:r w:rsidR="00326DB3">
        <w:t xml:space="preserve">There is ample chance of fungal pathogens being exposed to </w:t>
      </w:r>
      <w:proofErr w:type="spellStart"/>
      <w:r w:rsidR="00326DB3">
        <w:t>sublethal</w:t>
      </w:r>
      <w:proofErr w:type="spellEnd"/>
      <w:r w:rsidR="00326DB3">
        <w:t xml:space="preserve"> doses of fungicides in an agricultural setting. Farmers may spray </w:t>
      </w:r>
      <w:proofErr w:type="spellStart"/>
      <w:r w:rsidR="00326DB3">
        <w:t>sublethal</w:t>
      </w:r>
      <w:proofErr w:type="spellEnd"/>
      <w:r w:rsidR="00326DB3">
        <w:t xml:space="preserve"> doses int</w:t>
      </w:r>
      <w:r w:rsidR="00443E2D">
        <w:t>entionally or accidentally. In s</w:t>
      </w:r>
      <w:r w:rsidR="00326DB3">
        <w:t xml:space="preserve">ome cases, rainfall or dew on plants can dilute the application rate to create </w:t>
      </w:r>
      <w:proofErr w:type="spellStart"/>
      <w:r w:rsidR="00326DB3">
        <w:t>sublethal</w:t>
      </w:r>
      <w:proofErr w:type="spellEnd"/>
      <w:r w:rsidR="00326DB3">
        <w:t xml:space="preserve"> doses. </w:t>
      </w:r>
      <w:r w:rsidR="00DE6D75">
        <w:t xml:space="preserve">Environmental conditions prevailing in a field can degrade chemicals resulting in </w:t>
      </w:r>
      <w:proofErr w:type="spellStart"/>
      <w:r w:rsidR="00DE6D75">
        <w:t>sublethal</w:t>
      </w:r>
      <w:proofErr w:type="spellEnd"/>
      <w:r w:rsidR="00DE6D75">
        <w:t xml:space="preserve"> rates.  </w:t>
      </w:r>
    </w:p>
    <w:p w:rsidR="00A06D29" w:rsidRDefault="007B1E9D" w:rsidP="00C56C81">
      <w:r>
        <w:t xml:space="preserve">Most published research work </w:t>
      </w:r>
      <w:r w:rsidR="00F91AD7">
        <w:t>had</w:t>
      </w:r>
      <w:r>
        <w:t xml:space="preserve"> focused on </w:t>
      </w:r>
      <w:r w:rsidR="00E64D65">
        <w:t xml:space="preserve">studying effects of </w:t>
      </w:r>
      <w:proofErr w:type="spellStart"/>
      <w:r w:rsidR="00E64D65">
        <w:t>sublethal</w:t>
      </w:r>
      <w:proofErr w:type="spellEnd"/>
      <w:r w:rsidR="00E64D65">
        <w:t xml:space="preserve"> doses of antimicrobials on </w:t>
      </w:r>
      <w:r w:rsidR="00E64D65" w:rsidRPr="00BC0ECA">
        <w:t>bacterial pathogens</w:t>
      </w:r>
      <w:r w:rsidR="00E64D65">
        <w:t xml:space="preserve"> either in humans or livestock animals (</w:t>
      </w:r>
      <w:proofErr w:type="spellStart"/>
      <w:r w:rsidR="00E64D65">
        <w:rPr>
          <w:rFonts w:ascii="AdvOT82c4f4c4" w:hAnsi="AdvOT82c4f4c4" w:cs="AdvOT82c4f4c4"/>
          <w:color w:val="000000"/>
          <w:sz w:val="16"/>
          <w:szCs w:val="16"/>
        </w:rPr>
        <w:t>Andersson</w:t>
      </w:r>
      <w:proofErr w:type="spellEnd"/>
      <w:r w:rsidR="00E64D65">
        <w:rPr>
          <w:rFonts w:ascii="AdvOT82c4f4c4" w:hAnsi="AdvOT82c4f4c4" w:cs="AdvOT82c4f4c4"/>
          <w:color w:val="000000"/>
          <w:sz w:val="16"/>
          <w:szCs w:val="16"/>
        </w:rPr>
        <w:t xml:space="preserve"> DI, Hughes D (2014</w:t>
      </w:r>
      <w:proofErr w:type="gramStart"/>
      <w:r w:rsidR="00E64D65">
        <w:rPr>
          <w:rFonts w:ascii="AdvOT82c4f4c4" w:hAnsi="AdvOT82c4f4c4" w:cs="AdvOT82c4f4c4"/>
          <w:color w:val="000000"/>
          <w:sz w:val="16"/>
          <w:szCs w:val="16"/>
        </w:rPr>
        <w:t>)|</w:t>
      </w:r>
      <w:proofErr w:type="gramEnd"/>
      <w:r w:rsidR="00E64D65">
        <w:rPr>
          <w:rFonts w:ascii="AdvOT82c4f4c4" w:hAnsi="AdvOT82c4f4c4" w:cs="AdvOT82c4f4c4"/>
          <w:color w:val="000000"/>
          <w:sz w:val="16"/>
          <w:szCs w:val="16"/>
        </w:rPr>
        <w:t>|</w:t>
      </w:r>
      <w:r w:rsidR="00E64D65" w:rsidRPr="00181F05">
        <w:t>Rebecca S. Shapiro. (2015)</w:t>
      </w:r>
      <w:r w:rsidR="00E64D65" w:rsidRPr="0093341C">
        <w:rPr>
          <w:highlight w:val="cyan"/>
        </w:rPr>
        <w:t>Ref</w:t>
      </w:r>
      <w:r w:rsidR="00E64D65">
        <w:t xml:space="preserve">). The evidence suggests that there is an increase in the rates </w:t>
      </w:r>
      <w:r w:rsidR="00F91AD7">
        <w:t>of various genetic processes su</w:t>
      </w:r>
      <w:r w:rsidR="00E64D65">
        <w:t xml:space="preserve">ch as frequency of horizontal gene transfer, recombination and mutagenesis due to </w:t>
      </w:r>
      <w:r w:rsidR="00F91AD7">
        <w:t xml:space="preserve">exposure of </w:t>
      </w:r>
      <w:r w:rsidR="00942E04">
        <w:t xml:space="preserve">bacteria to </w:t>
      </w:r>
      <w:proofErr w:type="spellStart"/>
      <w:r w:rsidR="00E64D65">
        <w:t>sub</w:t>
      </w:r>
      <w:r w:rsidR="00F91AD7">
        <w:t>lethal</w:t>
      </w:r>
      <w:proofErr w:type="spellEnd"/>
      <w:r w:rsidR="00F91AD7">
        <w:t xml:space="preserve"> levels of antibiotics</w:t>
      </w:r>
      <w:r w:rsidR="004D0AD9">
        <w:t xml:space="preserve"> (</w:t>
      </w:r>
      <w:proofErr w:type="spellStart"/>
      <w:r w:rsidR="004D0AD9">
        <w:rPr>
          <w:rFonts w:ascii="AdvOT82c4f4c4" w:hAnsi="AdvOT82c4f4c4" w:cs="AdvOT82c4f4c4"/>
          <w:color w:val="000000"/>
          <w:sz w:val="16"/>
          <w:szCs w:val="16"/>
        </w:rPr>
        <w:t>Andersson</w:t>
      </w:r>
      <w:proofErr w:type="spellEnd"/>
      <w:r w:rsidR="004D0AD9">
        <w:rPr>
          <w:rFonts w:ascii="AdvOT82c4f4c4" w:hAnsi="AdvOT82c4f4c4" w:cs="AdvOT82c4f4c4"/>
          <w:color w:val="000000"/>
          <w:sz w:val="16"/>
          <w:szCs w:val="16"/>
        </w:rPr>
        <w:t xml:space="preserve"> DI, Hughes D (2014))</w:t>
      </w:r>
      <w:r w:rsidR="00F91AD7">
        <w:t>.</w:t>
      </w:r>
      <w:r w:rsidR="004D0AD9">
        <w:t xml:space="preserve"> Antimicrobial compounds even at low concentrations can damage microbial DNA</w:t>
      </w:r>
      <w:r w:rsidR="0007404B">
        <w:t xml:space="preserve"> directly or indirectly</w:t>
      </w:r>
      <w:r w:rsidR="004D0AD9">
        <w:t>. For example anti</w:t>
      </w:r>
      <w:r w:rsidR="0007404B">
        <w:t>tumor</w:t>
      </w:r>
      <w:r w:rsidR="004D0AD9">
        <w:t xml:space="preserve"> antibiotic bleomycin is capable of directly damaging DNA by binding DNA and cleaving them (</w:t>
      </w:r>
      <w:r w:rsidR="004D0AD9" w:rsidRPr="00306755">
        <w:rPr>
          <w:rFonts w:ascii="AdvOT82c4f4c4" w:hAnsi="AdvOT82c4f4c4" w:cs="AdvOT82c4f4c4"/>
          <w:color w:val="000000"/>
          <w:sz w:val="16"/>
          <w:szCs w:val="16"/>
          <w:highlight w:val="cyan"/>
        </w:rPr>
        <w:t>Hecht SM 2000</w:t>
      </w:r>
      <w:r w:rsidR="004D0AD9">
        <w:t>). Some antibiotics such as β-lactams, aminoglycosides, and quinolones as well as antifungal</w:t>
      </w:r>
      <w:r w:rsidR="0007404B">
        <w:t>s</w:t>
      </w:r>
      <w:r w:rsidR="004D0AD9">
        <w:t xml:space="preserve"> </w:t>
      </w:r>
      <w:r w:rsidR="0007404B">
        <w:t xml:space="preserve">such as </w:t>
      </w:r>
      <w:r w:rsidR="004D0AD9">
        <w:t>a</w:t>
      </w:r>
      <w:r w:rsidR="004D0AD9" w:rsidRPr="00BD523E">
        <w:t xml:space="preserve">mphotericin </w:t>
      </w:r>
      <w:r w:rsidR="004D0AD9" w:rsidRPr="00B5015D">
        <w:t>B (azole group antifungal agent)</w:t>
      </w:r>
      <w:r w:rsidR="004D0AD9">
        <w:t xml:space="preserve"> </w:t>
      </w:r>
      <w:r w:rsidR="00FD6A0F">
        <w:t xml:space="preserve">induce production of </w:t>
      </w:r>
      <w:r w:rsidR="00FD6A0F" w:rsidRPr="006A3784">
        <w:t>reactive oxygen species (ROS)</w:t>
      </w:r>
      <w:r w:rsidR="00FD6A0F">
        <w:t xml:space="preserve"> downstream of their cellular targets. ROS such as hydroxyl radicals </w:t>
      </w:r>
      <w:r w:rsidR="0007404B">
        <w:t xml:space="preserve">damage DNA by </w:t>
      </w:r>
      <w:r w:rsidR="004D0AD9">
        <w:t>form</w:t>
      </w:r>
      <w:r w:rsidR="00FD6A0F">
        <w:t>ation of</w:t>
      </w:r>
      <w:r w:rsidR="004D0AD9">
        <w:t xml:space="preserve"> DNA strand breaks </w:t>
      </w:r>
      <w:r w:rsidR="00FD6A0F">
        <w:t>and modification of</w:t>
      </w:r>
      <w:r w:rsidR="004D0AD9" w:rsidRPr="00BA3346">
        <w:t xml:space="preserve"> guanine bases in the pathogen genome</w:t>
      </w:r>
      <w:r w:rsidR="004D0AD9">
        <w:t xml:space="preserve"> (</w:t>
      </w:r>
      <w:r w:rsidR="004D0AD9">
        <w:rPr>
          <w:rFonts w:ascii="AdvOT82c4f4c4" w:hAnsi="AdvOT82c4f4c4" w:cs="AdvOT82c4f4c4"/>
          <w:color w:val="000000"/>
          <w:sz w:val="16"/>
          <w:szCs w:val="16"/>
        </w:rPr>
        <w:t>Mesa-</w:t>
      </w:r>
      <w:proofErr w:type="spellStart"/>
      <w:r w:rsidR="004D0AD9">
        <w:rPr>
          <w:rFonts w:ascii="AdvOT82c4f4c4" w:hAnsi="AdvOT82c4f4c4" w:cs="AdvOT82c4f4c4"/>
          <w:color w:val="000000"/>
          <w:sz w:val="16"/>
          <w:szCs w:val="16"/>
        </w:rPr>
        <w:t>Arango</w:t>
      </w:r>
      <w:proofErr w:type="spellEnd"/>
      <w:r w:rsidR="004D0AD9">
        <w:rPr>
          <w:rFonts w:ascii="AdvOT82c4f4c4" w:hAnsi="AdvOT82c4f4c4" w:cs="AdvOT82c4f4c4"/>
          <w:color w:val="000000"/>
          <w:sz w:val="16"/>
          <w:szCs w:val="16"/>
        </w:rPr>
        <w:t xml:space="preserve"> AC, 2014 || </w:t>
      </w:r>
      <w:proofErr w:type="spellStart"/>
      <w:r w:rsidR="004D0AD9">
        <w:rPr>
          <w:rFonts w:ascii="AdvOT82c4f4c4" w:hAnsi="AdvOT82c4f4c4" w:cs="AdvOT82c4f4c4"/>
          <w:color w:val="000000"/>
          <w:sz w:val="16"/>
          <w:szCs w:val="16"/>
        </w:rPr>
        <w:t>Foti</w:t>
      </w:r>
      <w:proofErr w:type="spellEnd"/>
      <w:r w:rsidR="004D0AD9">
        <w:rPr>
          <w:rFonts w:ascii="AdvOT82c4f4c4" w:hAnsi="AdvOT82c4f4c4" w:cs="AdvOT82c4f4c4"/>
          <w:color w:val="000000"/>
          <w:sz w:val="16"/>
          <w:szCs w:val="16"/>
        </w:rPr>
        <w:t xml:space="preserve"> JJ 2012 ||</w:t>
      </w:r>
      <w:r w:rsidR="004D0AD9" w:rsidRPr="00FE55EC">
        <w:rPr>
          <w:rFonts w:ascii="AdvOT82c4f4c4" w:hAnsi="AdvOT82c4f4c4" w:cs="AdvOT82c4f4c4"/>
          <w:sz w:val="16"/>
          <w:szCs w:val="16"/>
        </w:rPr>
        <w:t xml:space="preserve"> </w:t>
      </w:r>
      <w:r w:rsidR="004D0AD9">
        <w:rPr>
          <w:rFonts w:ascii="AdvOT82c4f4c4" w:hAnsi="AdvOT82c4f4c4" w:cs="AdvOT82c4f4c4"/>
          <w:sz w:val="16"/>
          <w:szCs w:val="16"/>
        </w:rPr>
        <w:t xml:space="preserve">Zhao X, </w:t>
      </w:r>
      <w:proofErr w:type="spellStart"/>
      <w:r w:rsidR="004D0AD9">
        <w:rPr>
          <w:rFonts w:ascii="AdvOT82c4f4c4" w:hAnsi="AdvOT82c4f4c4" w:cs="AdvOT82c4f4c4"/>
          <w:sz w:val="16"/>
          <w:szCs w:val="16"/>
        </w:rPr>
        <w:t>Drlica</w:t>
      </w:r>
      <w:proofErr w:type="spellEnd"/>
      <w:r w:rsidR="004D0AD9">
        <w:rPr>
          <w:rFonts w:ascii="AdvOT82c4f4c4" w:hAnsi="AdvOT82c4f4c4" w:cs="AdvOT82c4f4c4"/>
          <w:sz w:val="16"/>
          <w:szCs w:val="16"/>
        </w:rPr>
        <w:t xml:space="preserve"> K (2014) || </w:t>
      </w:r>
      <w:r w:rsidR="004D0AD9">
        <w:rPr>
          <w:rFonts w:ascii="AdvOT82c4f4c4" w:hAnsi="AdvOT82c4f4c4" w:cs="AdvOT82c4f4c4"/>
          <w:color w:val="000000"/>
          <w:sz w:val="16"/>
          <w:szCs w:val="16"/>
        </w:rPr>
        <w:t xml:space="preserve">Gutierrez A et al. </w:t>
      </w:r>
      <w:r w:rsidR="004D0AD9" w:rsidRPr="000F0F37">
        <w:rPr>
          <w:rFonts w:ascii="AdvOT82c4f4c4" w:hAnsi="AdvOT82c4f4c4" w:cs="AdvOT82c4f4c4"/>
          <w:color w:val="000000"/>
          <w:sz w:val="16"/>
          <w:szCs w:val="16"/>
          <w:highlight w:val="cyan"/>
        </w:rPr>
        <w:t>ref</w:t>
      </w:r>
      <w:r w:rsidR="004D0AD9">
        <w:rPr>
          <w:rFonts w:ascii="AdvOT82c4f4c4" w:hAnsi="AdvOT82c4f4c4" w:cs="AdvOT82c4f4c4"/>
          <w:color w:val="000000"/>
          <w:sz w:val="16"/>
          <w:szCs w:val="16"/>
        </w:rPr>
        <w:t>)</w:t>
      </w:r>
      <w:r w:rsidR="004D0AD9" w:rsidRPr="00BA3346">
        <w:t>.</w:t>
      </w:r>
      <w:r w:rsidR="0007404B">
        <w:t xml:space="preserve"> </w:t>
      </w:r>
      <w:r w:rsidR="00D51F21">
        <w:t xml:space="preserve">As a survival mechanism microorganisms react to </w:t>
      </w:r>
      <w:proofErr w:type="gramStart"/>
      <w:r w:rsidR="00D51F21">
        <w:t>damaged</w:t>
      </w:r>
      <w:proofErr w:type="gramEnd"/>
      <w:r w:rsidR="00D51F21">
        <w:t xml:space="preserve"> DNA with activating </w:t>
      </w:r>
      <w:r w:rsidR="00C56C81">
        <w:t xml:space="preserve">DNA damage repair pathways. However, this process can introduce mutations into the genome. </w:t>
      </w:r>
      <w:r w:rsidR="0050657F">
        <w:t>In</w:t>
      </w:r>
      <w:r w:rsidR="00C7755A">
        <w:t xml:space="preserve"> bacteria, SOS </w:t>
      </w:r>
      <w:r w:rsidR="0050657F">
        <w:t>response</w:t>
      </w:r>
      <w:r w:rsidR="00C7755A">
        <w:t xml:space="preserve"> and </w:t>
      </w:r>
      <w:proofErr w:type="spellStart"/>
      <w:r w:rsidR="00C7755A">
        <w:t>RpoS</w:t>
      </w:r>
      <w:proofErr w:type="spellEnd"/>
      <w:r w:rsidR="00C7755A">
        <w:t xml:space="preserve"> </w:t>
      </w:r>
      <w:r w:rsidR="0050657F">
        <w:t xml:space="preserve">regulation </w:t>
      </w:r>
      <w:r w:rsidR="001D72B7">
        <w:t>is</w:t>
      </w:r>
      <w:r w:rsidR="0050657F">
        <w:t xml:space="preserve"> activate</w:t>
      </w:r>
      <w:r w:rsidR="001D72B7">
        <w:t>d</w:t>
      </w:r>
      <w:r w:rsidR="0050657F">
        <w:t xml:space="preserve"> in response to antibiotics mediated </w:t>
      </w:r>
      <w:r w:rsidR="00C7755A">
        <w:t xml:space="preserve">DNA </w:t>
      </w:r>
      <w:r w:rsidR="0050657F">
        <w:t xml:space="preserve">damage. </w:t>
      </w:r>
      <w:r w:rsidR="00CC4789">
        <w:t>SOS is the global response</w:t>
      </w:r>
      <w:r w:rsidR="001720E0">
        <w:t xml:space="preserve"> to DNA damage by bacteria in which high activity of DNA repair takes place. </w:t>
      </w:r>
      <w:proofErr w:type="spellStart"/>
      <w:r w:rsidR="001720E0">
        <w:t>D</w:t>
      </w:r>
      <w:r w:rsidR="0050657F">
        <w:t>erepression</w:t>
      </w:r>
      <w:proofErr w:type="spellEnd"/>
      <w:r w:rsidR="0050657F">
        <w:t xml:space="preserve"> of SOS genes and activation of </w:t>
      </w:r>
      <w:r w:rsidR="00C87F74">
        <w:t xml:space="preserve">low fidelity </w:t>
      </w:r>
      <w:r w:rsidR="00846D6A">
        <w:t>polymerases</w:t>
      </w:r>
      <w:r w:rsidR="0050657F">
        <w:t xml:space="preserve"> </w:t>
      </w:r>
      <w:r w:rsidR="001720E0">
        <w:t>l</w:t>
      </w:r>
      <w:r w:rsidR="00133B31">
        <w:t xml:space="preserve">eads to DNA repair </w:t>
      </w:r>
      <w:r w:rsidR="001720E0">
        <w:t>and survival of bacteria</w:t>
      </w:r>
      <w:r w:rsidR="00C708FD">
        <w:t xml:space="preserve">. However, </w:t>
      </w:r>
      <w:r w:rsidR="0050657F">
        <w:t>there may be a</w:t>
      </w:r>
      <w:r w:rsidR="00C87F74">
        <w:t xml:space="preserve"> </w:t>
      </w:r>
      <w:r w:rsidR="001D72B7">
        <w:t>compromise</w:t>
      </w:r>
      <w:r w:rsidR="00C87F74">
        <w:t xml:space="preserve"> on the fidelity of synthesized DNA leading to mutagenesis</w:t>
      </w:r>
      <w:r w:rsidR="001F47D2">
        <w:t xml:space="preserve"> by introducing substitute bases</w:t>
      </w:r>
      <w:r w:rsidR="00B95671">
        <w:t xml:space="preserve"> </w:t>
      </w:r>
      <w:r w:rsidR="00C56C81">
        <w:t xml:space="preserve">or </w:t>
      </w:r>
      <w:r w:rsidR="00846D6A">
        <w:t>single nucleotide polymorphisms</w:t>
      </w:r>
      <w:r w:rsidR="00B95671">
        <w:t xml:space="preserve"> (SNP</w:t>
      </w:r>
      <w:r w:rsidR="00846D6A">
        <w:t>)</w:t>
      </w:r>
      <w:r w:rsidR="00C87F74">
        <w:t xml:space="preserve">. SOS response can also activate movement of mobile elements such as </w:t>
      </w:r>
      <w:r w:rsidR="00C87F74" w:rsidRPr="00C87F74">
        <w:t xml:space="preserve">integrative conjugative elements (ICEs) </w:t>
      </w:r>
      <w:r w:rsidR="00C87F74">
        <w:t>and transposons (</w:t>
      </w:r>
      <w:proofErr w:type="spellStart"/>
      <w:r w:rsidR="00C87F74">
        <w:rPr>
          <w:rFonts w:ascii="AdvOT82c4f4c4" w:hAnsi="AdvOT82c4f4c4" w:cs="AdvOT82c4f4c4"/>
          <w:color w:val="000000"/>
          <w:sz w:val="16"/>
          <w:szCs w:val="16"/>
        </w:rPr>
        <w:t>Andersson</w:t>
      </w:r>
      <w:proofErr w:type="spellEnd"/>
      <w:r w:rsidR="00C87F74">
        <w:rPr>
          <w:rFonts w:ascii="AdvOT82c4f4c4" w:hAnsi="AdvOT82c4f4c4" w:cs="AdvOT82c4f4c4"/>
          <w:color w:val="000000"/>
          <w:sz w:val="16"/>
          <w:szCs w:val="16"/>
        </w:rPr>
        <w:t xml:space="preserve"> DI, Hughes D (2014)</w:t>
      </w:r>
      <w:r w:rsidR="00C87F74">
        <w:t xml:space="preserve">). </w:t>
      </w:r>
      <w:r w:rsidR="001D72B7">
        <w:t>On the other</w:t>
      </w:r>
      <w:r w:rsidR="00C708FD">
        <w:t xml:space="preserve"> hand</w:t>
      </w:r>
      <w:r w:rsidR="001D72B7">
        <w:t xml:space="preserve"> </w:t>
      </w:r>
      <w:r w:rsidR="00C708FD">
        <w:t>t</w:t>
      </w:r>
      <w:r w:rsidR="00C87F74">
        <w:t xml:space="preserve">he </w:t>
      </w:r>
      <w:proofErr w:type="spellStart"/>
      <w:r w:rsidR="00C87F74">
        <w:t>RpoS</w:t>
      </w:r>
      <w:proofErr w:type="spellEnd"/>
      <w:r w:rsidR="001720E0">
        <w:t xml:space="preserve"> is a </w:t>
      </w:r>
      <w:r w:rsidR="00133B31">
        <w:t xml:space="preserve">general </w:t>
      </w:r>
      <w:r w:rsidR="001720E0">
        <w:t>str</w:t>
      </w:r>
      <w:r w:rsidR="00133B31">
        <w:t>ess response sigma factor which regulates the levels of translation and protein stability (</w:t>
      </w:r>
      <w:r w:rsidR="00DA4D4C">
        <w:rPr>
          <w:rFonts w:ascii="AdvOT82c4f4c4" w:hAnsi="AdvOT82c4f4c4" w:cs="AdvOT82c4f4c4"/>
          <w:color w:val="000000"/>
          <w:sz w:val="16"/>
          <w:szCs w:val="16"/>
        </w:rPr>
        <w:t xml:space="preserve">Gutierrez </w:t>
      </w:r>
      <w:proofErr w:type="gramStart"/>
      <w:r w:rsidR="00DA4D4C">
        <w:rPr>
          <w:rFonts w:ascii="AdvOT82c4f4c4" w:hAnsi="AdvOT82c4f4c4" w:cs="AdvOT82c4f4c4"/>
          <w:color w:val="000000"/>
          <w:sz w:val="16"/>
          <w:szCs w:val="16"/>
        </w:rPr>
        <w:t>A</w:t>
      </w:r>
      <w:proofErr w:type="gramEnd"/>
      <w:r w:rsidR="00DA4D4C">
        <w:rPr>
          <w:rFonts w:ascii="AdvOT82c4f4c4" w:hAnsi="AdvOT82c4f4c4" w:cs="AdvOT82c4f4c4"/>
          <w:color w:val="000000"/>
          <w:sz w:val="16"/>
          <w:szCs w:val="16"/>
        </w:rPr>
        <w:t xml:space="preserve"> et al</w:t>
      </w:r>
      <w:r w:rsidR="00DA4D4C">
        <w:t>). D</w:t>
      </w:r>
      <w:r w:rsidR="00DA4D4C" w:rsidRPr="00DA4D4C">
        <w:t xml:space="preserve">own regulation of </w:t>
      </w:r>
      <w:proofErr w:type="spellStart"/>
      <w:r w:rsidR="00DA4D4C" w:rsidRPr="00DA4D4C">
        <w:t>MutS</w:t>
      </w:r>
      <w:proofErr w:type="spellEnd"/>
      <w:r w:rsidR="00DA4D4C" w:rsidRPr="00DA4D4C">
        <w:t xml:space="preserve"> protein</w:t>
      </w:r>
      <w:r w:rsidR="00DA4D4C">
        <w:t>,</w:t>
      </w:r>
      <w:r w:rsidR="00DA4D4C" w:rsidRPr="00DA4D4C">
        <w:t xml:space="preserve"> </w:t>
      </w:r>
      <w:r w:rsidR="00DA4D4C">
        <w:t xml:space="preserve">a mismatch repair protein </w:t>
      </w:r>
      <w:r w:rsidR="00B5015D">
        <w:t xml:space="preserve">synthesized </w:t>
      </w:r>
      <w:r w:rsidR="00DA4D4C" w:rsidRPr="00DA4D4C">
        <w:t xml:space="preserve">by </w:t>
      </w:r>
      <w:r w:rsidR="00DA4D4C">
        <w:t xml:space="preserve">increase </w:t>
      </w:r>
      <w:proofErr w:type="spellStart"/>
      <w:r w:rsidR="00DA4D4C">
        <w:t>RpoS</w:t>
      </w:r>
      <w:proofErr w:type="spellEnd"/>
      <w:r w:rsidR="00DA4D4C">
        <w:t xml:space="preserve"> expression </w:t>
      </w:r>
      <w:r w:rsidR="00DA4D4C">
        <w:lastRenderedPageBreak/>
        <w:t xml:space="preserve">promotes mutations in bacterial genome. </w:t>
      </w:r>
      <w:proofErr w:type="spellStart"/>
      <w:r w:rsidR="005C5DC5">
        <w:t>RpoS</w:t>
      </w:r>
      <w:proofErr w:type="spellEnd"/>
      <w:r w:rsidR="005C5DC5">
        <w:t xml:space="preserve"> induction also up</w:t>
      </w:r>
      <w:r w:rsidR="00A06D29">
        <w:t xml:space="preserve"> </w:t>
      </w:r>
      <w:r w:rsidR="005C5DC5">
        <w:t>regulate error prone DNA polymerase IV which may also contribute to mutations when DNA is replicated.</w:t>
      </w:r>
      <w:r w:rsidR="007E432B">
        <w:t xml:space="preserve">  Studies on </w:t>
      </w:r>
      <w:r w:rsidR="00074B21">
        <w:t>yeast</w:t>
      </w:r>
      <w:r w:rsidR="007E432B">
        <w:t xml:space="preserve"> has revealed homologous DNA repair mechanism</w:t>
      </w:r>
      <w:r w:rsidR="00074B21">
        <w:t>s in euk</w:t>
      </w:r>
      <w:r w:rsidR="007E432B">
        <w:t>aryotes in res</w:t>
      </w:r>
      <w:r w:rsidR="0072198F">
        <w:t xml:space="preserve">ponse to DNA damage by </w:t>
      </w:r>
      <w:r w:rsidR="00074B21">
        <w:t>chronic environmental stress</w:t>
      </w:r>
      <w:r w:rsidR="00A06D29">
        <w:t>es</w:t>
      </w:r>
      <w:r w:rsidR="00074B21">
        <w:t xml:space="preserve"> </w:t>
      </w:r>
      <w:r w:rsidR="0072198F">
        <w:t>(</w:t>
      </w:r>
      <w:proofErr w:type="spellStart"/>
      <w:r w:rsidR="0072198F">
        <w:rPr>
          <w:rFonts w:ascii="AdvOT82c4f4c4" w:hAnsi="AdvOT82c4f4c4" w:cs="AdvOT82c4f4c4"/>
          <w:color w:val="000000"/>
          <w:sz w:val="16"/>
          <w:szCs w:val="16"/>
        </w:rPr>
        <w:t>Boiteux</w:t>
      </w:r>
      <w:proofErr w:type="spellEnd"/>
      <w:r w:rsidR="0072198F">
        <w:rPr>
          <w:rFonts w:ascii="AdvOT82c4f4c4" w:hAnsi="AdvOT82c4f4c4" w:cs="AdvOT82c4f4c4"/>
          <w:color w:val="000000"/>
          <w:sz w:val="16"/>
          <w:szCs w:val="16"/>
        </w:rPr>
        <w:t xml:space="preserve"> S, </w:t>
      </w:r>
      <w:proofErr w:type="spellStart"/>
      <w:r w:rsidR="0072198F">
        <w:rPr>
          <w:rFonts w:ascii="AdvOT82c4f4c4" w:hAnsi="AdvOT82c4f4c4" w:cs="AdvOT82c4f4c4"/>
          <w:color w:val="000000"/>
          <w:sz w:val="16"/>
          <w:szCs w:val="16"/>
        </w:rPr>
        <w:t>Jinks</w:t>
      </w:r>
      <w:proofErr w:type="spellEnd"/>
      <w:r w:rsidR="0072198F">
        <w:rPr>
          <w:rFonts w:ascii="AdvOT82c4f4c4" w:hAnsi="AdvOT82c4f4c4" w:cs="AdvOT82c4f4c4"/>
          <w:color w:val="000000"/>
          <w:sz w:val="16"/>
          <w:szCs w:val="16"/>
        </w:rPr>
        <w:t>-Robertson S (2013</w:t>
      </w:r>
      <w:proofErr w:type="gramStart"/>
      <w:r w:rsidR="0072198F">
        <w:rPr>
          <w:rFonts w:ascii="AdvOT82c4f4c4" w:hAnsi="AdvOT82c4f4c4" w:cs="AdvOT82c4f4c4"/>
          <w:color w:val="000000"/>
          <w:sz w:val="16"/>
          <w:szCs w:val="16"/>
        </w:rPr>
        <w:t>)</w:t>
      </w:r>
      <w:r w:rsidR="00B57D5F">
        <w:rPr>
          <w:rFonts w:ascii="AdvOT82c4f4c4" w:hAnsi="AdvOT82c4f4c4" w:cs="AdvOT82c4f4c4"/>
          <w:color w:val="000000"/>
          <w:sz w:val="16"/>
          <w:szCs w:val="16"/>
        </w:rPr>
        <w:t>|</w:t>
      </w:r>
      <w:proofErr w:type="gramEnd"/>
      <w:r w:rsidR="00B57D5F">
        <w:rPr>
          <w:rFonts w:ascii="AdvOT82c4f4c4" w:hAnsi="AdvOT82c4f4c4" w:cs="AdvOT82c4f4c4"/>
          <w:color w:val="000000"/>
          <w:sz w:val="16"/>
          <w:szCs w:val="16"/>
        </w:rPr>
        <w:t>|</w:t>
      </w:r>
      <w:r w:rsidR="00B57D5F" w:rsidRPr="00B57D5F">
        <w:rPr>
          <w:rFonts w:ascii="AdvOT82c4f4c4" w:hAnsi="AdvOT82c4f4c4" w:cs="AdvOT82c4f4c4"/>
          <w:color w:val="000000"/>
          <w:sz w:val="16"/>
          <w:szCs w:val="16"/>
        </w:rPr>
        <w:t xml:space="preserve"> </w:t>
      </w:r>
      <w:r w:rsidR="00B57D5F">
        <w:rPr>
          <w:rFonts w:ascii="AdvOT82c4f4c4" w:hAnsi="AdvOT82c4f4c4" w:cs="AdvOT82c4f4c4"/>
          <w:color w:val="000000"/>
          <w:sz w:val="16"/>
          <w:szCs w:val="16"/>
        </w:rPr>
        <w:t xml:space="preserve">Shor E, Fox CA, Broach JR </w:t>
      </w:r>
      <w:r w:rsidR="00B57D5F" w:rsidRPr="009E0E14">
        <w:rPr>
          <w:rFonts w:ascii="AdvOT82c4f4c4" w:hAnsi="AdvOT82c4f4c4" w:cs="AdvOT82c4f4c4"/>
          <w:color w:val="000000"/>
          <w:sz w:val="16"/>
          <w:szCs w:val="16"/>
          <w:highlight w:val="cyan"/>
        </w:rPr>
        <w:t>(2013)</w:t>
      </w:r>
      <w:r w:rsidR="0072198F">
        <w:t>)</w:t>
      </w:r>
      <w:r w:rsidR="00074B21">
        <w:t xml:space="preserve">. This </w:t>
      </w:r>
      <w:r w:rsidR="002A5370">
        <w:t xml:space="preserve">is mediated by </w:t>
      </w:r>
      <w:r w:rsidR="00074B21">
        <w:t xml:space="preserve">synthesis of </w:t>
      </w:r>
      <w:proofErr w:type="spellStart"/>
      <w:r w:rsidR="00074B21">
        <w:t>translesion</w:t>
      </w:r>
      <w:proofErr w:type="spellEnd"/>
      <w:r w:rsidR="00074B21">
        <w:t xml:space="preserve"> DNA polymerase</w:t>
      </w:r>
      <w:r w:rsidR="00B57D5F">
        <w:t xml:space="preserve"> Rev1 which increases rate of mutations</w:t>
      </w:r>
      <w:r w:rsidR="00A06D29">
        <w:t xml:space="preserve"> in fungal genome</w:t>
      </w:r>
      <w:r w:rsidR="00B57D5F">
        <w:t xml:space="preserve"> (</w:t>
      </w:r>
      <w:r w:rsidR="00B57D5F" w:rsidRPr="00181F05">
        <w:t>R</w:t>
      </w:r>
      <w:r w:rsidR="00B57D5F" w:rsidRPr="009E0E14">
        <w:rPr>
          <w:highlight w:val="cyan"/>
        </w:rPr>
        <w:t>eb</w:t>
      </w:r>
      <w:r w:rsidR="00B57D5F" w:rsidRPr="00181F05">
        <w:t>ecca S. Shapiro. (2015)</w:t>
      </w:r>
      <w:r w:rsidR="00B57D5F">
        <w:t>.</w:t>
      </w:r>
      <w:r w:rsidR="00A06D29">
        <w:t xml:space="preserve"> </w:t>
      </w:r>
    </w:p>
    <w:p w:rsidR="00C44D37" w:rsidRDefault="00A06D29" w:rsidP="00CB75F2">
      <w:r>
        <w:t>A</w:t>
      </w:r>
      <w:r w:rsidRPr="00A06D29">
        <w:t>lthough</w:t>
      </w:r>
      <w:r w:rsidR="00805CAD" w:rsidRPr="00A06D29">
        <w:t>, a</w:t>
      </w:r>
      <w:r w:rsidR="00B57D5F" w:rsidRPr="00A06D29">
        <w:rPr>
          <w:rFonts w:cs="AdvOT1ef757c0"/>
        </w:rPr>
        <w:t>ntifungal-induced SNP mutagenesis has not been well documented in fungal pathogens</w:t>
      </w:r>
      <w:r w:rsidR="00B57D5F">
        <w:rPr>
          <w:rFonts w:ascii="AdvOT1ef757c0" w:hAnsi="AdvOT1ef757c0" w:cs="AdvOT1ef757c0"/>
          <w:sz w:val="20"/>
          <w:szCs w:val="20"/>
        </w:rPr>
        <w:t xml:space="preserve"> (</w:t>
      </w:r>
      <w:r w:rsidR="00B57D5F" w:rsidRPr="00181F05">
        <w:t>R</w:t>
      </w:r>
      <w:r w:rsidR="00B57D5F" w:rsidRPr="009E0E14">
        <w:rPr>
          <w:highlight w:val="cyan"/>
        </w:rPr>
        <w:t>ebe</w:t>
      </w:r>
      <w:r>
        <w:t xml:space="preserve">cca S. Shapiro </w:t>
      </w:r>
      <w:r w:rsidR="00B57D5F" w:rsidRPr="00181F05">
        <w:t>2015</w:t>
      </w:r>
      <w:r>
        <w:t>),</w:t>
      </w:r>
      <w:r w:rsidR="00B95671">
        <w:t xml:space="preserve"> </w:t>
      </w:r>
      <w:r w:rsidR="00D242C0" w:rsidRPr="00A06D29">
        <w:t>major chromosomal changes have been reported in human fungal pathogens</w:t>
      </w:r>
      <w:r w:rsidR="00C24F0A" w:rsidRPr="00A06D29">
        <w:t xml:space="preserve"> such as </w:t>
      </w:r>
      <w:r w:rsidR="00C24F0A" w:rsidRPr="00A06D29">
        <w:rPr>
          <w:rFonts w:cs="AdvOT7d6df7ab.I"/>
          <w:i/>
          <w:iCs/>
        </w:rPr>
        <w:t xml:space="preserve">Candida </w:t>
      </w:r>
      <w:proofErr w:type="spellStart"/>
      <w:r w:rsidR="00C24F0A" w:rsidRPr="00A06D29">
        <w:rPr>
          <w:rFonts w:cs="AdvOT7d6df7ab.I"/>
          <w:i/>
          <w:iCs/>
        </w:rPr>
        <w:t>albicans</w:t>
      </w:r>
      <w:proofErr w:type="spellEnd"/>
      <w:r w:rsidR="00C24F0A">
        <w:rPr>
          <w:rFonts w:ascii="AdvOT7d6df7ab.I" w:hAnsi="AdvOT7d6df7ab.I" w:cs="AdvOT7d6df7ab.I"/>
          <w:sz w:val="20"/>
          <w:szCs w:val="20"/>
        </w:rPr>
        <w:t xml:space="preserve"> (</w:t>
      </w:r>
      <w:proofErr w:type="spellStart"/>
      <w:r w:rsidR="00C24F0A">
        <w:rPr>
          <w:rFonts w:ascii="AdvOT82c4f4c4" w:hAnsi="AdvOT82c4f4c4" w:cs="AdvOT82c4f4c4"/>
          <w:color w:val="000000"/>
          <w:sz w:val="16"/>
          <w:szCs w:val="16"/>
        </w:rPr>
        <w:t>Selmecki</w:t>
      </w:r>
      <w:proofErr w:type="spellEnd"/>
      <w:r w:rsidR="00C24F0A">
        <w:rPr>
          <w:rFonts w:ascii="AdvOT82c4f4c4" w:hAnsi="AdvOT82c4f4c4" w:cs="AdvOT82c4f4c4"/>
          <w:color w:val="000000"/>
          <w:sz w:val="16"/>
          <w:szCs w:val="16"/>
        </w:rPr>
        <w:t xml:space="preserve"> A, </w:t>
      </w:r>
      <w:proofErr w:type="spellStart"/>
      <w:r w:rsidR="00C24F0A">
        <w:rPr>
          <w:rFonts w:ascii="AdvOT82c4f4c4" w:hAnsi="AdvOT82c4f4c4" w:cs="AdvOT82c4f4c4"/>
          <w:color w:val="000000"/>
          <w:sz w:val="16"/>
          <w:szCs w:val="16"/>
        </w:rPr>
        <w:t>Forche</w:t>
      </w:r>
      <w:proofErr w:type="spellEnd"/>
      <w:r w:rsidR="00C24F0A">
        <w:rPr>
          <w:rFonts w:ascii="AdvOT82c4f4c4" w:hAnsi="AdvOT82c4f4c4" w:cs="AdvOT82c4f4c4"/>
          <w:color w:val="000000"/>
          <w:sz w:val="16"/>
          <w:szCs w:val="16"/>
        </w:rPr>
        <w:t xml:space="preserve"> A, Berman J (2010)</w:t>
      </w:r>
      <w:r w:rsidR="00C24F0A">
        <w:t xml:space="preserve">) </w:t>
      </w:r>
      <w:r w:rsidR="00C24F0A" w:rsidRPr="00A06D29">
        <w:t xml:space="preserve">and </w:t>
      </w:r>
      <w:r w:rsidR="00C24F0A" w:rsidRPr="00A06D29">
        <w:rPr>
          <w:rFonts w:cs="AdvOT7d6df7ab.I"/>
          <w:i/>
          <w:iCs/>
        </w:rPr>
        <w:t xml:space="preserve">Cryptococcus </w:t>
      </w:r>
      <w:proofErr w:type="spellStart"/>
      <w:r w:rsidR="00C24F0A" w:rsidRPr="00A06D29">
        <w:rPr>
          <w:rFonts w:cs="AdvOT7d6df7ab.I"/>
          <w:i/>
          <w:iCs/>
        </w:rPr>
        <w:t>neoformans</w:t>
      </w:r>
      <w:proofErr w:type="spellEnd"/>
      <w:r w:rsidR="00C24F0A">
        <w:rPr>
          <w:rFonts w:ascii="AdvOT7d6df7ab.I" w:hAnsi="AdvOT7d6df7ab.I" w:cs="AdvOT7d6df7ab.I"/>
          <w:sz w:val="20"/>
          <w:szCs w:val="20"/>
        </w:rPr>
        <w:t xml:space="preserve"> (</w:t>
      </w:r>
      <w:proofErr w:type="spellStart"/>
      <w:r w:rsidR="00C24F0A">
        <w:rPr>
          <w:rFonts w:ascii="AdvOT82c4f4c4" w:hAnsi="AdvOT82c4f4c4" w:cs="AdvOT82c4f4c4"/>
          <w:color w:val="000000"/>
          <w:sz w:val="16"/>
          <w:szCs w:val="16"/>
        </w:rPr>
        <w:t>Sionov</w:t>
      </w:r>
      <w:proofErr w:type="spellEnd"/>
      <w:r w:rsidR="00C24F0A">
        <w:rPr>
          <w:rFonts w:ascii="AdvOT82c4f4c4" w:hAnsi="AdvOT82c4f4c4" w:cs="AdvOT82c4f4c4"/>
          <w:color w:val="000000"/>
          <w:sz w:val="16"/>
          <w:szCs w:val="16"/>
        </w:rPr>
        <w:t xml:space="preserve"> E, Lee H, Chang YC, Kwon-Chung KJ (2010)</w:t>
      </w:r>
      <w:r w:rsidR="00C24F0A">
        <w:rPr>
          <w:rFonts w:ascii="AdvOT7d6df7ab.I" w:hAnsi="AdvOT7d6df7ab.I" w:cs="AdvOT7d6df7ab.I"/>
          <w:sz w:val="20"/>
          <w:szCs w:val="20"/>
        </w:rPr>
        <w:t>)</w:t>
      </w:r>
      <w:r w:rsidR="00C24F0A">
        <w:t>.</w:t>
      </w:r>
      <w:r w:rsidR="00B57D5F">
        <w:rPr>
          <w:rFonts w:ascii="AdvOT1ef757c0" w:hAnsi="AdvOT1ef757c0" w:cs="AdvOT1ef757c0"/>
          <w:sz w:val="20"/>
          <w:szCs w:val="20"/>
        </w:rPr>
        <w:t xml:space="preserve"> </w:t>
      </w:r>
      <w:r w:rsidR="00B57D5F">
        <w:t xml:space="preserve"> </w:t>
      </w:r>
      <w:r w:rsidR="00C44D37">
        <w:t xml:space="preserve">It has been observed </w:t>
      </w:r>
      <w:r w:rsidR="009318D6">
        <w:t xml:space="preserve">that </w:t>
      </w:r>
      <w:r w:rsidR="00C44D37">
        <w:t>f</w:t>
      </w:r>
      <w:r w:rsidR="00C24F0A">
        <w:t xml:space="preserve">ungal pathogens exposed to stress </w:t>
      </w:r>
      <w:r w:rsidR="009075A0">
        <w:t>promotes</w:t>
      </w:r>
      <w:r w:rsidR="00063DF9">
        <w:t xml:space="preserve"> loss of </w:t>
      </w:r>
      <w:proofErr w:type="spellStart"/>
      <w:r w:rsidR="00063DF9">
        <w:t>heterozygocity</w:t>
      </w:r>
      <w:proofErr w:type="spellEnd"/>
      <w:r w:rsidR="00063DF9">
        <w:t xml:space="preserve"> (LOH) and aneuploidy</w:t>
      </w:r>
      <w:r w:rsidR="00CB75F2">
        <w:t>.</w:t>
      </w:r>
      <w:r w:rsidR="009075A0">
        <w:t xml:space="preserve"> </w:t>
      </w:r>
      <w:r w:rsidR="00C44D37">
        <w:t>(</w:t>
      </w:r>
      <w:proofErr w:type="spellStart"/>
      <w:r w:rsidR="00C44D37">
        <w:rPr>
          <w:rFonts w:ascii="AdvOT82c4f4c4" w:hAnsi="AdvOT82c4f4c4" w:cs="AdvOT82c4f4c4"/>
          <w:sz w:val="16"/>
          <w:szCs w:val="16"/>
        </w:rPr>
        <w:t>Selmecki</w:t>
      </w:r>
      <w:proofErr w:type="spellEnd"/>
      <w:r w:rsidR="00C44D37">
        <w:rPr>
          <w:rFonts w:ascii="AdvOT82c4f4c4" w:hAnsi="AdvOT82c4f4c4" w:cs="AdvOT82c4f4c4"/>
          <w:sz w:val="16"/>
          <w:szCs w:val="16"/>
        </w:rPr>
        <w:t xml:space="preserve"> A, </w:t>
      </w:r>
      <w:proofErr w:type="spellStart"/>
      <w:r w:rsidR="00C44D37">
        <w:rPr>
          <w:rFonts w:ascii="AdvOT82c4f4c4" w:hAnsi="AdvOT82c4f4c4" w:cs="AdvOT82c4f4c4"/>
          <w:sz w:val="16"/>
          <w:szCs w:val="16"/>
        </w:rPr>
        <w:t>Forche</w:t>
      </w:r>
      <w:proofErr w:type="spellEnd"/>
      <w:r w:rsidR="00C44D37">
        <w:rPr>
          <w:rFonts w:ascii="AdvOT82c4f4c4" w:hAnsi="AdvOT82c4f4c4" w:cs="AdvOT82c4f4c4"/>
          <w:sz w:val="16"/>
          <w:szCs w:val="16"/>
        </w:rPr>
        <w:t xml:space="preserve"> A, Berman J (2010),||</w:t>
      </w:r>
      <w:r w:rsidR="00C44D37" w:rsidRPr="00C44D37">
        <w:rPr>
          <w:rFonts w:ascii="AdvOT82c4f4c4" w:hAnsi="AdvOT82c4f4c4" w:cs="AdvOT82c4f4c4"/>
          <w:color w:val="000000"/>
          <w:sz w:val="16"/>
          <w:szCs w:val="16"/>
        </w:rPr>
        <w:t xml:space="preserve"> </w:t>
      </w:r>
      <w:proofErr w:type="spellStart"/>
      <w:r w:rsidR="00C44D37">
        <w:rPr>
          <w:rFonts w:ascii="AdvOT82c4f4c4" w:hAnsi="AdvOT82c4f4c4" w:cs="AdvOT82c4f4c4"/>
          <w:color w:val="000000"/>
          <w:sz w:val="16"/>
          <w:szCs w:val="16"/>
        </w:rPr>
        <w:t>Selmecki</w:t>
      </w:r>
      <w:proofErr w:type="spellEnd"/>
      <w:r w:rsidR="00C44D37">
        <w:rPr>
          <w:rFonts w:ascii="AdvOT82c4f4c4" w:hAnsi="AdvOT82c4f4c4" w:cs="AdvOT82c4f4c4"/>
          <w:color w:val="000000"/>
          <w:sz w:val="16"/>
          <w:szCs w:val="16"/>
        </w:rPr>
        <w:t xml:space="preserve"> AM, </w:t>
      </w:r>
      <w:proofErr w:type="spellStart"/>
      <w:r w:rsidR="00C44D37">
        <w:rPr>
          <w:rFonts w:ascii="AdvOT82c4f4c4" w:hAnsi="AdvOT82c4f4c4" w:cs="AdvOT82c4f4c4"/>
          <w:color w:val="000000"/>
          <w:sz w:val="16"/>
          <w:szCs w:val="16"/>
        </w:rPr>
        <w:t>Dulmage</w:t>
      </w:r>
      <w:proofErr w:type="spellEnd"/>
      <w:r w:rsidR="00C44D37">
        <w:rPr>
          <w:rFonts w:ascii="AdvOT82c4f4c4" w:hAnsi="AdvOT82c4f4c4" w:cs="AdvOT82c4f4c4"/>
          <w:color w:val="000000"/>
          <w:sz w:val="16"/>
          <w:szCs w:val="16"/>
        </w:rPr>
        <w:t xml:space="preserve"> K, Cowen LE, Anderson JB, Berman J (2009) </w:t>
      </w:r>
      <w:r w:rsidR="00C44D37">
        <w:t>)</w:t>
      </w:r>
      <w:r w:rsidR="00063DF9">
        <w:t xml:space="preserve">. </w:t>
      </w:r>
      <w:r w:rsidR="00313888">
        <w:t xml:space="preserve"> </w:t>
      </w:r>
      <w:r w:rsidR="00CB75F2">
        <w:t xml:space="preserve">Both chromosomal changes and SNP mutagenesis may have consequences of </w:t>
      </w:r>
      <w:r w:rsidR="00CB75F2" w:rsidRPr="009318D6">
        <w:rPr>
          <w:highlight w:val="yellow"/>
        </w:rPr>
        <w:t xml:space="preserve">acquiring </w:t>
      </w:r>
      <w:proofErr w:type="spellStart"/>
      <w:r w:rsidR="00CB75F2" w:rsidRPr="009318D6">
        <w:rPr>
          <w:highlight w:val="yellow"/>
        </w:rPr>
        <w:t>anti</w:t>
      </w:r>
      <w:r w:rsidR="00CB75F2">
        <w:rPr>
          <w:highlight w:val="yellow"/>
        </w:rPr>
        <w:t>micorbial</w:t>
      </w:r>
      <w:proofErr w:type="spellEnd"/>
      <w:r w:rsidR="00CB75F2" w:rsidRPr="009318D6">
        <w:rPr>
          <w:highlight w:val="yellow"/>
        </w:rPr>
        <w:t xml:space="preserve"> resistance determinants</w:t>
      </w:r>
      <w:r w:rsidR="00CB75F2">
        <w:t>.</w:t>
      </w:r>
    </w:p>
    <w:p w:rsidR="00BF7B6D" w:rsidRDefault="00FF0EF3" w:rsidP="00831870">
      <w:r>
        <w:t xml:space="preserve">Studies with isolates of </w:t>
      </w:r>
      <w:r w:rsidR="00AA1976">
        <w:t xml:space="preserve">fungal plant pathogens subjected </w:t>
      </w:r>
      <w:proofErr w:type="spellStart"/>
      <w:r w:rsidR="00AA1976">
        <w:t>sublethal</w:t>
      </w:r>
      <w:proofErr w:type="spellEnd"/>
      <w:r w:rsidR="00AA1976">
        <w:t xml:space="preserve"> doses of fungicides </w:t>
      </w:r>
      <w:r>
        <w:t>had</w:t>
      </w:r>
      <w:r w:rsidR="00AA1976">
        <w:t xml:space="preserve"> shown phenotypic changes such as stimulatory growth on media (i.e. </w:t>
      </w:r>
      <w:r w:rsidR="00A55B73">
        <w:t>higher</w:t>
      </w:r>
      <w:r w:rsidR="00AA1976">
        <w:t xml:space="preserve"> rate of growth than </w:t>
      </w:r>
      <w:r w:rsidR="00E01FA4">
        <w:t>none-</w:t>
      </w:r>
      <w:r w:rsidR="00AA1976">
        <w:t>amen</w:t>
      </w:r>
      <w:r w:rsidR="00E01FA4">
        <w:t>d</w:t>
      </w:r>
      <w:r w:rsidR="00AA1976">
        <w:t xml:space="preserve">ed media) </w:t>
      </w:r>
      <w:r w:rsidR="00A55B73">
        <w:t>or</w:t>
      </w:r>
      <w:r w:rsidR="00AA1976">
        <w:t xml:space="preserve"> either increase or decrease in aggressiveness </w:t>
      </w:r>
      <w:r w:rsidR="00A55B73">
        <w:t xml:space="preserve">on </w:t>
      </w:r>
      <w:r w:rsidR="00AA1976">
        <w:t>hosts</w:t>
      </w:r>
      <w:r w:rsidR="00A55B73">
        <w:t xml:space="preserve"> </w:t>
      </w:r>
      <w:r w:rsidR="00AA1976">
        <w:t>(</w:t>
      </w:r>
      <w:proofErr w:type="spellStart"/>
      <w:r w:rsidR="00E01FA4" w:rsidRPr="00E01FA4">
        <w:rPr>
          <w:highlight w:val="cyan"/>
        </w:rPr>
        <w:t>Sak</w:t>
      </w:r>
      <w:r w:rsidR="00E01FA4">
        <w:t>hr</w:t>
      </w:r>
      <w:proofErr w:type="spellEnd"/>
      <w:r w:rsidR="00E01FA4">
        <w:t xml:space="preserve"> </w:t>
      </w:r>
      <w:proofErr w:type="spellStart"/>
      <w:r w:rsidR="00E01FA4">
        <w:t>Ajouz</w:t>
      </w:r>
      <w:proofErr w:type="spellEnd"/>
      <w:r w:rsidR="00E01FA4">
        <w:t>, Ver</w:t>
      </w:r>
      <w:r w:rsidR="00E01FA4" w:rsidRPr="00E01FA4">
        <w:t xml:space="preserve">onique </w:t>
      </w:r>
      <w:proofErr w:type="spellStart"/>
      <w:r w:rsidR="00E01FA4" w:rsidRPr="00E01FA4">
        <w:t>Decognet</w:t>
      </w:r>
      <w:proofErr w:type="spellEnd"/>
      <w:r w:rsidR="00E01FA4" w:rsidRPr="00E01FA4">
        <w:t xml:space="preserve">, Philippe C. </w:t>
      </w:r>
      <w:proofErr w:type="spellStart"/>
      <w:r w:rsidR="00E01FA4" w:rsidRPr="00E01FA4">
        <w:t>Nicot</w:t>
      </w:r>
      <w:proofErr w:type="spellEnd"/>
      <w:r w:rsidR="00E01FA4" w:rsidRPr="00E01FA4">
        <w:t>, Marc Bardin</w:t>
      </w:r>
      <w:r w:rsidR="00E01FA4">
        <w:t xml:space="preserve"> 2010||</w:t>
      </w:r>
      <w:r w:rsidR="00BF7B6D" w:rsidRPr="00BF7B6D">
        <w:t xml:space="preserve"> Feng Zhou, Hong-</w:t>
      </w:r>
      <w:proofErr w:type="spellStart"/>
      <w:r w:rsidR="00BF7B6D" w:rsidRPr="00BF7B6D">
        <w:t>Jie</w:t>
      </w:r>
      <w:proofErr w:type="spellEnd"/>
      <w:r w:rsidR="00BF7B6D" w:rsidRPr="00BF7B6D">
        <w:t xml:space="preserve"> Liang, </w:t>
      </w:r>
      <w:proofErr w:type="spellStart"/>
      <w:r w:rsidR="00BF7B6D" w:rsidRPr="00BF7B6D">
        <w:t>Ya</w:t>
      </w:r>
      <w:proofErr w:type="spellEnd"/>
      <w:r w:rsidR="00BF7B6D" w:rsidRPr="00BF7B6D">
        <w:t>-Li Di, Hong You, and Fu-Xing Zhu. 2014</w:t>
      </w:r>
      <w:proofErr w:type="gramStart"/>
      <w:r w:rsidR="00BF7B6D" w:rsidRPr="00BF7B6D">
        <w:t>.</w:t>
      </w:r>
      <w:r w:rsidR="00E01FA4">
        <w:t xml:space="preserve">  </w:t>
      </w:r>
      <w:r w:rsidR="00AA1976">
        <w:t>R</w:t>
      </w:r>
      <w:r w:rsidR="00AA1976" w:rsidRPr="00E01FA4">
        <w:rPr>
          <w:highlight w:val="cyan"/>
        </w:rPr>
        <w:t>ef</w:t>
      </w:r>
      <w:proofErr w:type="gramEnd"/>
      <w:r w:rsidR="00AA1976">
        <w:t>).</w:t>
      </w:r>
      <w:r w:rsidR="00A55B73">
        <w:t xml:space="preserve"> However, these phenotypic modifications were not associated </w:t>
      </w:r>
      <w:r w:rsidR="00E01FA4">
        <w:t xml:space="preserve">with genotypic changes or </w:t>
      </w:r>
      <w:r>
        <w:t xml:space="preserve">molecular basis was not </w:t>
      </w:r>
      <w:r w:rsidR="00E01FA4">
        <w:t>investigated</w:t>
      </w:r>
      <w:r w:rsidR="00BF7B6D">
        <w:t>.</w:t>
      </w:r>
      <w:r w:rsidR="008F1272">
        <w:t xml:space="preserve"> There is a great possibility of plant pathogenic fungi exposed to environmental stresses such as </w:t>
      </w:r>
      <w:proofErr w:type="spellStart"/>
      <w:r w:rsidR="008F1272">
        <w:t>sublethal</w:t>
      </w:r>
      <w:proofErr w:type="spellEnd"/>
      <w:r w:rsidR="008F1272">
        <w:t xml:space="preserve"> fungicide</w:t>
      </w:r>
      <w:r w:rsidR="00831870">
        <w:t xml:space="preserve"> doses driving</w:t>
      </w:r>
      <w:r w:rsidR="008F1272">
        <w:t xml:space="preserve"> </w:t>
      </w:r>
      <w:r w:rsidR="00831870">
        <w:t>above n</w:t>
      </w:r>
      <w:r w:rsidR="008F1272">
        <w:t>ormal mutations.</w:t>
      </w:r>
      <w:r w:rsidR="00831870">
        <w:t xml:space="preserve"> However, this field lacks published data.</w:t>
      </w:r>
      <w:r w:rsidR="008F1272">
        <w:t xml:space="preserve">   </w:t>
      </w:r>
      <w:r w:rsidR="00BF7B6D">
        <w:t xml:space="preserve"> </w:t>
      </w:r>
    </w:p>
    <w:p w:rsidR="00B26E8E" w:rsidRDefault="00B26E8E" w:rsidP="0003488C">
      <w:r>
        <w:t xml:space="preserve">In order to investigate </w:t>
      </w:r>
      <w:r w:rsidR="00A827E0">
        <w:t xml:space="preserve">how long term exposure of </w:t>
      </w:r>
      <w:proofErr w:type="spellStart"/>
      <w:r w:rsidR="00A827E0">
        <w:t>sublethal</w:t>
      </w:r>
      <w:proofErr w:type="spellEnd"/>
      <w:r w:rsidR="00A827E0">
        <w:t xml:space="preserve"> doses of fungicide affect </w:t>
      </w:r>
      <w:r w:rsidR="004E14EA">
        <w:t xml:space="preserve">mutagenesis in </w:t>
      </w:r>
      <w:r w:rsidR="00A827E0">
        <w:t xml:space="preserve">fungal genome, </w:t>
      </w:r>
      <w:r>
        <w:t xml:space="preserve">we experimented with model plant pathogen </w:t>
      </w:r>
      <w:r w:rsidRPr="00B26E8E">
        <w:rPr>
          <w:i/>
        </w:rPr>
        <w:t>Sclerotinia sclerotiorum</w:t>
      </w:r>
      <w:r>
        <w:t xml:space="preserve"> </w:t>
      </w:r>
      <w:r w:rsidRPr="00FF0EF3">
        <w:t xml:space="preserve">(Lib.) de </w:t>
      </w:r>
      <w:proofErr w:type="spellStart"/>
      <w:r w:rsidRPr="00FF0EF3">
        <w:t>Bary</w:t>
      </w:r>
      <w:proofErr w:type="spellEnd"/>
      <w:r>
        <w:t xml:space="preserve">. </w:t>
      </w:r>
      <w:r w:rsidR="00A827E0" w:rsidRPr="00690412">
        <w:rPr>
          <w:i/>
          <w:iCs/>
        </w:rPr>
        <w:t xml:space="preserve">Sclerotinia </w:t>
      </w:r>
      <w:r w:rsidR="00A827E0" w:rsidRPr="00FF0EF3">
        <w:rPr>
          <w:i/>
          <w:iCs/>
        </w:rPr>
        <w:t>sclerotiorum</w:t>
      </w:r>
      <w:r w:rsidR="00A827E0" w:rsidRPr="00A4697A">
        <w:t xml:space="preserve"> is a destructive necrotrophic</w:t>
      </w:r>
      <w:r w:rsidR="00A827E0">
        <w:t xml:space="preserve"> fungus</w:t>
      </w:r>
      <w:r w:rsidR="00A827E0" w:rsidRPr="00A4697A">
        <w:t>, [</w:t>
      </w:r>
      <w:r w:rsidR="00A827E0">
        <w:t xml:space="preserve">Bolton MD, </w:t>
      </w:r>
      <w:proofErr w:type="spellStart"/>
      <w:r w:rsidR="00A827E0">
        <w:t>Thomma</w:t>
      </w:r>
      <w:proofErr w:type="spellEnd"/>
      <w:r w:rsidR="00A827E0">
        <w:t xml:space="preserve"> BPHJ, Nelson BD (2006)</w:t>
      </w:r>
      <w:r w:rsidR="00A827E0" w:rsidRPr="00A4697A">
        <w:t>] with a host range of more than 400 species of plants belonging to 75 families [</w:t>
      </w:r>
      <w:r w:rsidR="00A827E0">
        <w:t>Boland GJ, Hall R (1994)</w:t>
      </w:r>
      <w:r w:rsidR="00A827E0" w:rsidRPr="00A4697A">
        <w:t xml:space="preserve">]. </w:t>
      </w:r>
      <w:r w:rsidR="00A827E0">
        <w:t xml:space="preserve">It reproduces sexually in the field under right environmental conditions, but rarely produces any spores in vitro, and largely considered as a clonally disseminated fungus. </w:t>
      </w:r>
      <w:r w:rsidR="00A827E0" w:rsidRPr="00FF0EF3">
        <w:t>Some of the cash crops that can be devastated by this fungal pathogen include sunflower, soybean, oilseed rape, dry bean, chickpea, peanut, dry pea, lentils and various vegetables [</w:t>
      </w:r>
      <w:r w:rsidR="00A827E0">
        <w:t xml:space="preserve">Bolton MD, </w:t>
      </w:r>
      <w:proofErr w:type="spellStart"/>
      <w:r w:rsidR="00A827E0">
        <w:t>Thomma</w:t>
      </w:r>
      <w:proofErr w:type="spellEnd"/>
      <w:r w:rsidR="00A827E0">
        <w:t xml:space="preserve"> BPHJ, Nelson BD (2006)</w:t>
      </w:r>
      <w:r w:rsidR="00A827E0" w:rsidRPr="00A4697A">
        <w:t>]</w:t>
      </w:r>
      <w:r w:rsidR="00A827E0">
        <w:t xml:space="preserve">. Since most crops are either susceptible or only partially resistant against this pathogen, farmers rely on fungicide applications for disease management during epidemics (Bolton MD, </w:t>
      </w:r>
      <w:proofErr w:type="spellStart"/>
      <w:r w:rsidR="00A827E0">
        <w:t>Thomma</w:t>
      </w:r>
      <w:proofErr w:type="spellEnd"/>
      <w:r w:rsidR="00A827E0">
        <w:t xml:space="preserve"> BPHJ, Nelson BD (2006</w:t>
      </w:r>
      <w:proofErr w:type="gramStart"/>
      <w:r w:rsidR="00A827E0">
        <w:t>)|</w:t>
      </w:r>
      <w:proofErr w:type="gramEnd"/>
      <w:r w:rsidR="00A827E0">
        <w:t>|</w:t>
      </w:r>
      <w:proofErr w:type="spellStart"/>
      <w:r w:rsidR="00A827E0">
        <w:t>Steadmen</w:t>
      </w:r>
      <w:proofErr w:type="spellEnd"/>
      <w:r w:rsidR="00A827E0">
        <w:t xml:space="preserve"> 1984</w:t>
      </w:r>
      <w:r w:rsidR="00A827E0" w:rsidRPr="00A4697A">
        <w:t>]</w:t>
      </w:r>
      <w:r w:rsidR="00A827E0">
        <w:t xml:space="preserve">. </w:t>
      </w:r>
      <w:r w:rsidR="004E14EA">
        <w:t xml:space="preserve">Five commercial fungicide formulations namely, iprodione, thiophanate methyl, boscalid, azoxystrobin, and pyraclostrobin belonging to different modes of actions were tested for </w:t>
      </w:r>
      <w:r w:rsidR="0003488C">
        <w:t xml:space="preserve">long </w:t>
      </w:r>
      <w:r w:rsidR="009357B8">
        <w:t xml:space="preserve">term </w:t>
      </w:r>
      <w:proofErr w:type="spellStart"/>
      <w:r w:rsidR="004E14EA">
        <w:t>sublethal</w:t>
      </w:r>
      <w:proofErr w:type="spellEnd"/>
      <w:r w:rsidR="004E14EA">
        <w:t xml:space="preserve"> effect</w:t>
      </w:r>
      <w:r w:rsidR="0003488C">
        <w:t xml:space="preserve"> on genomic changes of </w:t>
      </w:r>
      <w:r w:rsidR="0003488C" w:rsidRPr="0003488C">
        <w:rPr>
          <w:i/>
          <w:iCs/>
        </w:rPr>
        <w:t>S. sclerotiorum</w:t>
      </w:r>
      <w:r w:rsidR="004E14EA">
        <w:t>.</w:t>
      </w:r>
      <w:r w:rsidR="00353AF6">
        <w:t xml:space="preserve"> Nine microsatellite markers developed for </w:t>
      </w:r>
      <w:r w:rsidR="00353AF6" w:rsidRPr="00800424">
        <w:rPr>
          <w:i/>
          <w:iCs/>
        </w:rPr>
        <w:t>S. sclerotiorum</w:t>
      </w:r>
      <w:r w:rsidR="00353AF6">
        <w:t xml:space="preserve"> (</w:t>
      </w:r>
      <w:proofErr w:type="spellStart"/>
      <w:r w:rsidR="00353AF6">
        <w:t>Sirjusing</w:t>
      </w:r>
      <w:proofErr w:type="spellEnd"/>
      <w:r w:rsidR="00353AF6">
        <w:t xml:space="preserve"> and Kohn, 2001) and three amplified fragment length polymorphic (AFLP) markers were used to characterize molecular changes of the fungal isolates subjected to </w:t>
      </w:r>
      <w:proofErr w:type="spellStart"/>
      <w:r w:rsidR="00353AF6">
        <w:t>sublethal</w:t>
      </w:r>
      <w:proofErr w:type="spellEnd"/>
      <w:r w:rsidR="00353AF6">
        <w:t xml:space="preserve"> treatments. </w:t>
      </w:r>
      <w:r w:rsidR="00353AF6" w:rsidRPr="0023489F">
        <w:rPr>
          <w:rFonts w:cs="AdvTimes"/>
        </w:rPr>
        <w:t>Microsatellite</w:t>
      </w:r>
      <w:r w:rsidR="00353AF6">
        <w:rPr>
          <w:rFonts w:cs="AdvTimes"/>
        </w:rPr>
        <w:t>s</w:t>
      </w:r>
      <w:r w:rsidR="00353AF6" w:rsidRPr="0023489F">
        <w:rPr>
          <w:rFonts w:cs="AdvTimes"/>
        </w:rPr>
        <w:t xml:space="preserve"> (simple sequence repeats or SSR) are codominant, polymorphic </w:t>
      </w:r>
      <w:r w:rsidR="00353AF6">
        <w:rPr>
          <w:rFonts w:cs="AdvTimes"/>
        </w:rPr>
        <w:t>markers with short tandem repeats consisting of 2-6 base pairs and have been used extensively for population genetic studies due to their high level of genotypic variation [</w:t>
      </w:r>
      <w:r w:rsidR="00353AF6" w:rsidRPr="00AB71A1">
        <w:t xml:space="preserve">Sweet MJ1, </w:t>
      </w:r>
      <w:proofErr w:type="spellStart"/>
      <w:r w:rsidR="00353AF6" w:rsidRPr="00AB71A1">
        <w:t>Scriven</w:t>
      </w:r>
      <w:proofErr w:type="spellEnd"/>
      <w:r w:rsidR="00353AF6" w:rsidRPr="00AB71A1">
        <w:t xml:space="preserve"> LA, Singleton I.</w:t>
      </w:r>
      <w:r w:rsidR="00353AF6">
        <w:t>, 2012</w:t>
      </w:r>
      <w:proofErr w:type="gramStart"/>
      <w:r w:rsidR="00353AF6">
        <w:t>,|</w:t>
      </w:r>
      <w:proofErr w:type="gramEnd"/>
      <w:r w:rsidR="00353AF6">
        <w:t>|</w:t>
      </w:r>
      <w:r w:rsidR="00353AF6" w:rsidRPr="00F65EAD">
        <w:t xml:space="preserve"> </w:t>
      </w:r>
      <w:proofErr w:type="spellStart"/>
      <w:r w:rsidR="00353AF6">
        <w:t>Sirjusing</w:t>
      </w:r>
      <w:proofErr w:type="spellEnd"/>
      <w:r w:rsidR="00353AF6">
        <w:t xml:space="preserve"> and Kohn, 2001,|| </w:t>
      </w:r>
      <w:proofErr w:type="spellStart"/>
      <w:r w:rsidR="00353AF6">
        <w:t>Attalh</w:t>
      </w:r>
      <w:proofErr w:type="spellEnd"/>
      <w:r w:rsidR="00353AF6">
        <w:t xml:space="preserve"> 2004]</w:t>
      </w:r>
      <w:r w:rsidR="00353AF6">
        <w:rPr>
          <w:rFonts w:cs="AdvTimes"/>
        </w:rPr>
        <w:t xml:space="preserve">.  A microsatellite marker is able to detect multiple alleles in a single locus.  Unlike microsatellites, AFLP is a </w:t>
      </w:r>
      <w:proofErr w:type="spellStart"/>
      <w:r w:rsidR="00353AF6">
        <w:rPr>
          <w:rFonts w:cs="AdvTimes"/>
        </w:rPr>
        <w:t>multilocus</w:t>
      </w:r>
      <w:proofErr w:type="spellEnd"/>
      <w:r w:rsidR="00353AF6">
        <w:rPr>
          <w:rFonts w:cs="AdvTimes"/>
        </w:rPr>
        <w:t xml:space="preserve"> marker with the ability to screen relatively large areas of the pathogen genome [</w:t>
      </w:r>
      <w:r w:rsidR="00353AF6" w:rsidRPr="00F219EF">
        <w:rPr>
          <w:rFonts w:cs="ArialMT"/>
        </w:rPr>
        <w:t xml:space="preserve">Mueller UG, </w:t>
      </w:r>
      <w:proofErr w:type="spellStart"/>
      <w:r w:rsidR="00353AF6" w:rsidRPr="00F219EF">
        <w:rPr>
          <w:rFonts w:cs="ArialMT"/>
        </w:rPr>
        <w:t>Wolfenbarger</w:t>
      </w:r>
      <w:proofErr w:type="spellEnd"/>
      <w:r w:rsidR="00353AF6" w:rsidRPr="00F219EF">
        <w:rPr>
          <w:rFonts w:cs="ArialMT"/>
        </w:rPr>
        <w:t xml:space="preserve"> LL (1999)</w:t>
      </w:r>
      <w:r w:rsidR="00353AF6">
        <w:rPr>
          <w:rFonts w:cs="ArialMT"/>
        </w:rPr>
        <w:t>].</w:t>
      </w:r>
      <w:r w:rsidR="00353AF6">
        <w:rPr>
          <w:rFonts w:cs="AdvTimes"/>
        </w:rPr>
        <w:t xml:space="preserve"> AFLP is a dominant marker which has the capacity to generate numerous polymorphic DNA fragments </w:t>
      </w:r>
      <w:r w:rsidR="00353AF6" w:rsidRPr="0003488C">
        <w:rPr>
          <w:rFonts w:cs="AdvTimes"/>
          <w:strike/>
        </w:rPr>
        <w:lastRenderedPageBreak/>
        <w:t>(loci)</w:t>
      </w:r>
      <w:r w:rsidR="00353AF6">
        <w:rPr>
          <w:rFonts w:cs="AdvTimes"/>
        </w:rPr>
        <w:t xml:space="preserve"> per isolate that can be used to decipher cryptic relationships between closely related species, subspecies, and isolates [(</w:t>
      </w:r>
      <w:proofErr w:type="spellStart"/>
      <w:r w:rsidR="00353AF6" w:rsidRPr="00800424">
        <w:rPr>
          <w:rFonts w:cs="ArialMT"/>
        </w:rPr>
        <w:t>Vos</w:t>
      </w:r>
      <w:proofErr w:type="spellEnd"/>
      <w:r w:rsidR="00353AF6" w:rsidRPr="00800424">
        <w:rPr>
          <w:rFonts w:cs="ArialMT"/>
        </w:rPr>
        <w:t xml:space="preserve"> P, </w:t>
      </w:r>
      <w:proofErr w:type="spellStart"/>
      <w:r w:rsidR="00353AF6" w:rsidRPr="00800424">
        <w:rPr>
          <w:rFonts w:cs="ArialMT"/>
        </w:rPr>
        <w:t>Hogers</w:t>
      </w:r>
      <w:proofErr w:type="spellEnd"/>
      <w:r w:rsidR="00353AF6" w:rsidRPr="00800424">
        <w:rPr>
          <w:rFonts w:cs="ArialMT"/>
        </w:rPr>
        <w:t xml:space="preserve"> R, </w:t>
      </w:r>
      <w:proofErr w:type="spellStart"/>
      <w:r w:rsidR="00353AF6" w:rsidRPr="00800424">
        <w:rPr>
          <w:rFonts w:cs="ArialMT"/>
        </w:rPr>
        <w:t>Bleeker</w:t>
      </w:r>
      <w:proofErr w:type="spellEnd"/>
      <w:r w:rsidR="00353AF6" w:rsidRPr="00800424">
        <w:rPr>
          <w:rFonts w:cs="ArialMT"/>
        </w:rPr>
        <w:t xml:space="preserve"> M, </w:t>
      </w:r>
      <w:proofErr w:type="spellStart"/>
      <w:r w:rsidR="00353AF6" w:rsidRPr="00800424">
        <w:rPr>
          <w:rFonts w:cs="ArialMT"/>
        </w:rPr>
        <w:t>Reijans</w:t>
      </w:r>
      <w:proofErr w:type="spellEnd"/>
      <w:r w:rsidR="00353AF6" w:rsidRPr="00800424">
        <w:rPr>
          <w:rFonts w:cs="ArialMT"/>
        </w:rPr>
        <w:t xml:space="preserve"> M, van de Lee T, et al. (1995)</w:t>
      </w:r>
      <w:r w:rsidR="00353AF6">
        <w:rPr>
          <w:rFonts w:cs="ArialMT"/>
        </w:rPr>
        <w:t xml:space="preserve">]. </w:t>
      </w:r>
    </w:p>
    <w:p w:rsidR="00831870" w:rsidRDefault="00831870" w:rsidP="00F65EAD">
      <w:r>
        <w:t xml:space="preserve">The objectives of this study were to </w:t>
      </w:r>
      <w:r w:rsidR="00313888">
        <w:t>(</w:t>
      </w:r>
      <w:proofErr w:type="spellStart"/>
      <w:r w:rsidR="00E31AF8">
        <w:t>i</w:t>
      </w:r>
      <w:proofErr w:type="spellEnd"/>
      <w:r w:rsidR="00E31AF8">
        <w:t>)</w:t>
      </w:r>
      <w:r w:rsidR="00313888">
        <w:t xml:space="preserve"> </w:t>
      </w:r>
      <w:r w:rsidR="00694806">
        <w:t xml:space="preserve">assess genomic variations of </w:t>
      </w:r>
      <w:r w:rsidR="00694806" w:rsidRPr="00713318">
        <w:rPr>
          <w:i/>
        </w:rPr>
        <w:t>S. sclerotiorum</w:t>
      </w:r>
      <w:r w:rsidR="00694806">
        <w:t xml:space="preserve"> isolates exposed to long term </w:t>
      </w:r>
      <w:proofErr w:type="spellStart"/>
      <w:r w:rsidR="00694806">
        <w:t>sublethal</w:t>
      </w:r>
      <w:proofErr w:type="spellEnd"/>
      <w:r w:rsidR="00694806">
        <w:t xml:space="preserve"> doses of</w:t>
      </w:r>
      <w:r w:rsidR="00E31AF8">
        <w:t xml:space="preserve"> fungicides</w:t>
      </w:r>
      <w:r w:rsidR="00313888">
        <w:t xml:space="preserve"> in vitro</w:t>
      </w:r>
      <w:r w:rsidR="00E31AF8">
        <w:t xml:space="preserve"> using microsatellite</w:t>
      </w:r>
      <w:r w:rsidR="00313888">
        <w:t xml:space="preserve"> </w:t>
      </w:r>
      <w:r w:rsidR="00E31AF8">
        <w:t>and AFLP markers</w:t>
      </w:r>
      <w:r w:rsidR="00313888">
        <w:t xml:space="preserve">, </w:t>
      </w:r>
      <w:r w:rsidR="00F65EAD">
        <w:t>(ii)</w:t>
      </w:r>
      <w:r w:rsidR="00713318" w:rsidRPr="00713318">
        <w:t xml:space="preserve"> </w:t>
      </w:r>
      <w:r w:rsidR="00713318">
        <w:t xml:space="preserve">ascertain suitability of the invoked molecular markers in assessing fungicide stress  induced mutations </w:t>
      </w:r>
      <w:r w:rsidR="00F65EAD">
        <w:t xml:space="preserve">based on </w:t>
      </w:r>
      <w:r w:rsidR="004F7ADA">
        <w:t xml:space="preserve"> </w:t>
      </w:r>
      <w:r w:rsidR="00F65EAD">
        <w:t xml:space="preserve">results of </w:t>
      </w:r>
      <w:r w:rsidR="008E21EB">
        <w:t xml:space="preserve">the </w:t>
      </w:r>
      <w:r w:rsidR="00F65EAD">
        <w:t xml:space="preserve">first objective </w:t>
      </w:r>
      <w:r w:rsidR="00313888">
        <w:t>(</w:t>
      </w:r>
      <w:r w:rsidR="00E31AF8">
        <w:t>ii</w:t>
      </w:r>
      <w:r w:rsidR="00F65EAD">
        <w:t>i</w:t>
      </w:r>
      <w:r w:rsidR="00E31AF8">
        <w:t>)</w:t>
      </w:r>
      <w:r w:rsidR="00313888">
        <w:t xml:space="preserve"> </w:t>
      </w:r>
      <w:r w:rsidR="00E31AF8">
        <w:t xml:space="preserve">determine </w:t>
      </w:r>
      <w:r w:rsidR="00313888">
        <w:t>in vitro</w:t>
      </w:r>
      <w:r w:rsidR="00EA71D0">
        <w:t xml:space="preserve"> </w:t>
      </w:r>
      <w:r w:rsidR="00313888">
        <w:t>trends</w:t>
      </w:r>
      <w:r w:rsidR="00EA71D0">
        <w:t xml:space="preserve"> of effective concentration of fungicides required for 50% growth inhibition (EC50) overtime in </w:t>
      </w:r>
      <w:r w:rsidR="00EA71D0" w:rsidRPr="00EA71D0">
        <w:rPr>
          <w:i/>
          <w:iCs/>
        </w:rPr>
        <w:t>S. sclerotiorum</w:t>
      </w:r>
      <w:r w:rsidR="00EA71D0">
        <w:t xml:space="preserve"> isolates exposed to </w:t>
      </w:r>
      <w:proofErr w:type="spellStart"/>
      <w:r w:rsidR="00EA71D0">
        <w:t>sublethal</w:t>
      </w:r>
      <w:proofErr w:type="spellEnd"/>
      <w:r w:rsidR="00EA71D0">
        <w:t xml:space="preserve"> doses of fungicides</w:t>
      </w:r>
      <w:r w:rsidR="004F7ADA">
        <w:t>.</w:t>
      </w:r>
    </w:p>
    <w:p w:rsidR="00D85F25" w:rsidRDefault="00D85F25" w:rsidP="00713318">
      <w:pPr>
        <w:autoSpaceDE w:val="0"/>
        <w:autoSpaceDN w:val="0"/>
        <w:adjustRightInd w:val="0"/>
        <w:spacing w:after="0" w:line="240" w:lineRule="auto"/>
        <w:rPr>
          <w:rFonts w:cs="AdvCaeciliaRm"/>
        </w:rPr>
      </w:pPr>
    </w:p>
    <w:p w:rsidR="00E257BE" w:rsidRDefault="00E257BE" w:rsidP="00713318">
      <w:pPr>
        <w:autoSpaceDE w:val="0"/>
        <w:autoSpaceDN w:val="0"/>
        <w:adjustRightInd w:val="0"/>
        <w:spacing w:after="0" w:line="240" w:lineRule="auto"/>
        <w:rPr>
          <w:rFonts w:cs="AdvCaeciliaRm"/>
        </w:rPr>
      </w:pPr>
    </w:p>
    <w:p w:rsidR="00D85F25" w:rsidRDefault="009D2F4D" w:rsidP="00713318">
      <w:pPr>
        <w:autoSpaceDE w:val="0"/>
        <w:autoSpaceDN w:val="0"/>
        <w:adjustRightInd w:val="0"/>
        <w:spacing w:after="0" w:line="240" w:lineRule="auto"/>
        <w:rPr>
          <w:rFonts w:cs="AdvCaeciliaRm"/>
        </w:rPr>
      </w:pPr>
      <w:r>
        <w:rPr>
          <w:rFonts w:cs="AdvCaeciliaRm"/>
        </w:rPr>
        <w:t>Materials and Methods</w:t>
      </w:r>
    </w:p>
    <w:p w:rsidR="00D85F25" w:rsidRDefault="00D85F25" w:rsidP="00713318">
      <w:pPr>
        <w:autoSpaceDE w:val="0"/>
        <w:autoSpaceDN w:val="0"/>
        <w:adjustRightInd w:val="0"/>
        <w:spacing w:after="0" w:line="240" w:lineRule="auto"/>
        <w:rPr>
          <w:rFonts w:cs="AdvCaeciliaRm"/>
        </w:rPr>
      </w:pPr>
    </w:p>
    <w:p w:rsidR="00A67CBF" w:rsidRDefault="008D4CC3" w:rsidP="00E257BE">
      <w:pPr>
        <w:autoSpaceDE w:val="0"/>
        <w:autoSpaceDN w:val="0"/>
        <w:adjustRightInd w:val="0"/>
        <w:spacing w:after="0" w:line="240" w:lineRule="auto"/>
        <w:rPr>
          <w:rFonts w:cs="AdvCaeciliaRm"/>
        </w:rPr>
      </w:pPr>
      <w:r>
        <w:rPr>
          <w:rFonts w:cs="AdvCaeciliaRm"/>
        </w:rPr>
        <w:t>Spiral plater method for a</w:t>
      </w:r>
      <w:r w:rsidR="00A67CBF">
        <w:rPr>
          <w:rFonts w:cs="AdvCaeciliaRm"/>
        </w:rPr>
        <w:t>mending media plates with fungicides</w:t>
      </w:r>
    </w:p>
    <w:p w:rsidR="00A67CBF" w:rsidRDefault="00A67CBF" w:rsidP="00E257BE">
      <w:pPr>
        <w:autoSpaceDE w:val="0"/>
        <w:autoSpaceDN w:val="0"/>
        <w:adjustRightInd w:val="0"/>
        <w:spacing w:after="0" w:line="240" w:lineRule="auto"/>
        <w:rPr>
          <w:rFonts w:cs="AdvCaeciliaRm"/>
        </w:rPr>
      </w:pPr>
    </w:p>
    <w:p w:rsidR="00E257BE" w:rsidRDefault="0070178D" w:rsidP="00C26062">
      <w:pPr>
        <w:autoSpaceDE w:val="0"/>
        <w:autoSpaceDN w:val="0"/>
        <w:adjustRightInd w:val="0"/>
        <w:spacing w:after="0" w:line="240" w:lineRule="auto"/>
        <w:rPr>
          <w:rFonts w:cs="AdvCaeciliaRm"/>
        </w:rPr>
      </w:pPr>
      <w:r>
        <w:rPr>
          <w:rFonts w:cs="AdvCaeciliaRm"/>
        </w:rPr>
        <w:t xml:space="preserve">Nine </w:t>
      </w:r>
      <w:r w:rsidRPr="00330E3A">
        <w:rPr>
          <w:rFonts w:cs="AdvCaeciliaRm"/>
          <w:i/>
        </w:rPr>
        <w:t>Sclero</w:t>
      </w:r>
      <w:r w:rsidR="00E600F4" w:rsidRPr="00330E3A">
        <w:rPr>
          <w:rFonts w:cs="AdvCaeciliaRm"/>
          <w:i/>
        </w:rPr>
        <w:t>tinia sclerotiorum</w:t>
      </w:r>
      <w:r w:rsidR="00E600F4">
        <w:rPr>
          <w:rFonts w:cs="AdvCaeciliaRm"/>
        </w:rPr>
        <w:t xml:space="preserve"> isolates (Table 1) were exposed </w:t>
      </w:r>
      <w:r w:rsidR="00CF52A7">
        <w:rPr>
          <w:rFonts w:cs="AdvCaeciliaRm"/>
        </w:rPr>
        <w:t xml:space="preserve">to </w:t>
      </w:r>
      <w:proofErr w:type="spellStart"/>
      <w:r w:rsidR="00E600F4">
        <w:rPr>
          <w:rFonts w:cs="AdvCaeciliaRm"/>
        </w:rPr>
        <w:t>sublethal</w:t>
      </w:r>
      <w:proofErr w:type="spellEnd"/>
      <w:r w:rsidR="00E600F4">
        <w:rPr>
          <w:rFonts w:cs="AdvCaeciliaRm"/>
        </w:rPr>
        <w:t xml:space="preserve"> doses </w:t>
      </w:r>
      <w:r w:rsidR="007F0F7A">
        <w:rPr>
          <w:rFonts w:cs="AdvCaeciliaRm"/>
        </w:rPr>
        <w:t xml:space="preserve">of </w:t>
      </w:r>
      <w:r w:rsidR="00C36B96" w:rsidRPr="002C0912">
        <w:rPr>
          <w:rFonts w:cs="AdvCaeciliaRm"/>
          <w:strike/>
        </w:rPr>
        <w:t>commercial</w:t>
      </w:r>
      <w:r w:rsidR="00C36B96">
        <w:rPr>
          <w:rFonts w:cs="AdvCaeciliaRm"/>
        </w:rPr>
        <w:t xml:space="preserve"> </w:t>
      </w:r>
      <w:r w:rsidR="00D81422">
        <w:rPr>
          <w:rFonts w:cs="AdvCaeciliaRm"/>
        </w:rPr>
        <w:t xml:space="preserve">formulated </w:t>
      </w:r>
      <w:r w:rsidR="00E600F4">
        <w:rPr>
          <w:rFonts w:cs="AdvCaeciliaRm"/>
        </w:rPr>
        <w:t xml:space="preserve">fungicides </w:t>
      </w:r>
      <w:r w:rsidR="00754214">
        <w:rPr>
          <w:rFonts w:cs="AdvCaeciliaRm"/>
        </w:rPr>
        <w:t xml:space="preserve">having different modes of action </w:t>
      </w:r>
      <w:r w:rsidR="007F0F7A">
        <w:rPr>
          <w:rFonts w:cs="AdvCaeciliaRm"/>
        </w:rPr>
        <w:t xml:space="preserve">over </w:t>
      </w:r>
      <w:r w:rsidR="00E600F4">
        <w:rPr>
          <w:rFonts w:cs="AdvCaeciliaRm"/>
        </w:rPr>
        <w:t xml:space="preserve">12 generations using </w:t>
      </w:r>
      <w:r w:rsidR="00330E3A">
        <w:rPr>
          <w:rFonts w:cs="AdvCaeciliaRm"/>
        </w:rPr>
        <w:t>the spiral gradient dilution method (</w:t>
      </w:r>
      <w:proofErr w:type="spellStart"/>
      <w:r w:rsidR="00330E3A" w:rsidRPr="002C0912">
        <w:rPr>
          <w:rFonts w:cs="Times-Roman"/>
          <w:highlight w:val="cyan"/>
        </w:rPr>
        <w:t>Förster</w:t>
      </w:r>
      <w:proofErr w:type="spellEnd"/>
      <w:r w:rsidR="00330E3A" w:rsidRPr="002C0912">
        <w:rPr>
          <w:rFonts w:cs="Times-Roman"/>
          <w:highlight w:val="cyan"/>
        </w:rPr>
        <w:t xml:space="preserve">, H., </w:t>
      </w:r>
      <w:proofErr w:type="spellStart"/>
      <w:r w:rsidR="00330E3A" w:rsidRPr="002C0912">
        <w:rPr>
          <w:rFonts w:cs="Times-Roman"/>
          <w:highlight w:val="cyan"/>
        </w:rPr>
        <w:t>Kanetis</w:t>
      </w:r>
      <w:proofErr w:type="spellEnd"/>
      <w:r w:rsidR="00330E3A" w:rsidRPr="002C0912">
        <w:rPr>
          <w:rFonts w:cs="Times-Roman"/>
          <w:highlight w:val="cyan"/>
        </w:rPr>
        <w:t>, L., and</w:t>
      </w:r>
      <w:r w:rsidR="00330E3A" w:rsidRPr="00330E3A">
        <w:rPr>
          <w:rFonts w:cs="Times-Roman"/>
        </w:rPr>
        <w:t xml:space="preserve"> </w:t>
      </w:r>
      <w:proofErr w:type="spellStart"/>
      <w:r w:rsidR="00330E3A" w:rsidRPr="00330E3A">
        <w:rPr>
          <w:rFonts w:cs="Times-Roman"/>
        </w:rPr>
        <w:t>Adaskaveg</w:t>
      </w:r>
      <w:proofErr w:type="spellEnd"/>
      <w:r w:rsidR="00330E3A" w:rsidRPr="00330E3A">
        <w:rPr>
          <w:rFonts w:cs="Times-Roman"/>
        </w:rPr>
        <w:t>, J. E. 2004</w:t>
      </w:r>
      <w:r w:rsidR="00330E3A">
        <w:rPr>
          <w:rFonts w:cs="Times-Roman"/>
        </w:rPr>
        <w:t xml:space="preserve">). </w:t>
      </w:r>
      <w:r w:rsidR="00E600F4">
        <w:rPr>
          <w:rFonts w:cs="AdvCaeciliaRm"/>
        </w:rPr>
        <w:t xml:space="preserve"> </w:t>
      </w:r>
      <w:r w:rsidR="00754214">
        <w:rPr>
          <w:rFonts w:cs="AdvCaeciliaRm"/>
        </w:rPr>
        <w:t xml:space="preserve">The fungicides used were </w:t>
      </w:r>
      <w:r w:rsidR="00210DBE">
        <w:rPr>
          <w:rFonts w:cs="AdvCaeciliaRm"/>
        </w:rPr>
        <w:t xml:space="preserve">respiration inhibitor </w:t>
      </w:r>
      <w:r w:rsidR="00754214">
        <w:rPr>
          <w:rFonts w:cs="AdvCaeciliaRm"/>
        </w:rPr>
        <w:t>boscalid</w:t>
      </w:r>
      <w:r w:rsidR="00E30604">
        <w:rPr>
          <w:rFonts w:cs="AdvCaeciliaRm"/>
        </w:rPr>
        <w:t xml:space="preserve"> (</w:t>
      </w:r>
      <w:r w:rsidR="00CE7926">
        <w:rPr>
          <w:rFonts w:cs="AdvCaeciliaRm"/>
        </w:rPr>
        <w:t>Emerald)</w:t>
      </w:r>
      <w:r w:rsidR="00754214">
        <w:rPr>
          <w:rFonts w:cs="AdvCaeciliaRm"/>
        </w:rPr>
        <w:t>, iprodione</w:t>
      </w:r>
      <w:r w:rsidR="00CE7926">
        <w:rPr>
          <w:rFonts w:cs="AdvCaeciliaRm"/>
        </w:rPr>
        <w:t xml:space="preserve"> (26GT)</w:t>
      </w:r>
      <w:r w:rsidR="00210DBE">
        <w:rPr>
          <w:rFonts w:cs="AdvCaeciliaRm"/>
        </w:rPr>
        <w:t xml:space="preserve"> with unclear mode of action</w:t>
      </w:r>
      <w:r w:rsidR="00754214">
        <w:rPr>
          <w:rFonts w:cs="AdvCaeciliaRm"/>
        </w:rPr>
        <w:t xml:space="preserve">, </w:t>
      </w:r>
      <w:proofErr w:type="spellStart"/>
      <w:r w:rsidR="00210DBE">
        <w:rPr>
          <w:rFonts w:cs="AdvCaeciliaRm"/>
        </w:rPr>
        <w:t>microtubulin</w:t>
      </w:r>
      <w:proofErr w:type="spellEnd"/>
      <w:r w:rsidR="00210DBE">
        <w:rPr>
          <w:rFonts w:cs="AdvCaeciliaRm"/>
        </w:rPr>
        <w:t xml:space="preserve"> synthesis inhibitor </w:t>
      </w:r>
      <w:r w:rsidR="00754214">
        <w:rPr>
          <w:rFonts w:cs="AdvCaeciliaRm"/>
        </w:rPr>
        <w:t>thiophanate methyl</w:t>
      </w:r>
      <w:r w:rsidR="00CE7926">
        <w:rPr>
          <w:rFonts w:cs="AdvCaeciliaRm"/>
        </w:rPr>
        <w:t xml:space="preserve"> (</w:t>
      </w:r>
      <w:r w:rsidR="00210DBE" w:rsidRPr="00210DBE">
        <w:rPr>
          <w:rFonts w:cs="AdvCaeciliaRm"/>
        </w:rPr>
        <w:t>LESCO T-STORM</w:t>
      </w:r>
      <w:r w:rsidR="00210DBE">
        <w:rPr>
          <w:rFonts w:cs="AdvCaeciliaRm"/>
        </w:rPr>
        <w:t>)</w:t>
      </w:r>
      <w:r w:rsidR="00754214">
        <w:rPr>
          <w:rFonts w:cs="AdvCaeciliaRm"/>
        </w:rPr>
        <w:t xml:space="preserve">, </w:t>
      </w:r>
      <w:r w:rsidR="00210DBE">
        <w:rPr>
          <w:rFonts w:cs="AdvCaeciliaRm"/>
        </w:rPr>
        <w:t>and quinone outside inhibitors</w:t>
      </w:r>
      <w:r w:rsidR="00732908">
        <w:rPr>
          <w:rFonts w:cs="AdvCaeciliaRm"/>
        </w:rPr>
        <w:t xml:space="preserve"> (</w:t>
      </w:r>
      <w:proofErr w:type="spellStart"/>
      <w:r w:rsidR="00732908">
        <w:rPr>
          <w:rFonts w:cs="AdvCaeciliaRm"/>
        </w:rPr>
        <w:t>QoI</w:t>
      </w:r>
      <w:proofErr w:type="spellEnd"/>
      <w:r w:rsidR="00732908">
        <w:rPr>
          <w:rFonts w:cs="AdvCaeciliaRm"/>
        </w:rPr>
        <w:t>)</w:t>
      </w:r>
      <w:r w:rsidR="00210DBE">
        <w:rPr>
          <w:rFonts w:cs="AdvCaeciliaRm"/>
        </w:rPr>
        <w:t xml:space="preserve"> </w:t>
      </w:r>
      <w:r w:rsidR="00754214">
        <w:rPr>
          <w:rFonts w:cs="AdvCaeciliaRm"/>
        </w:rPr>
        <w:t>azoxystrobin</w:t>
      </w:r>
      <w:r w:rsidR="00CE7926">
        <w:rPr>
          <w:rFonts w:cs="AdvCaeciliaRm"/>
        </w:rPr>
        <w:t xml:space="preserve"> (Heritage)</w:t>
      </w:r>
      <w:r w:rsidR="00754214">
        <w:rPr>
          <w:rFonts w:cs="AdvCaeciliaRm"/>
        </w:rPr>
        <w:t xml:space="preserve"> and pyraclostrobin</w:t>
      </w:r>
      <w:r w:rsidR="00CE7926">
        <w:rPr>
          <w:rFonts w:cs="AdvCaeciliaRm"/>
        </w:rPr>
        <w:t xml:space="preserve"> (Insignia)</w:t>
      </w:r>
      <w:r w:rsidR="00754214">
        <w:rPr>
          <w:rFonts w:cs="AdvCaeciliaRm"/>
        </w:rPr>
        <w:t xml:space="preserve">. </w:t>
      </w:r>
      <w:r w:rsidR="00390BFF">
        <w:rPr>
          <w:rFonts w:cs="AdvCaeciliaRm"/>
        </w:rPr>
        <w:t xml:space="preserve"> </w:t>
      </w:r>
      <w:r w:rsidR="00080C7A">
        <w:rPr>
          <w:rFonts w:cs="AdvCaeciliaRm"/>
        </w:rPr>
        <w:t xml:space="preserve">In spiral gradient dilution method, </w:t>
      </w:r>
      <w:r w:rsidR="00390BFF">
        <w:rPr>
          <w:rFonts w:cs="AdvCaeciliaRm"/>
        </w:rPr>
        <w:t>the fungicide is deposited in a spiral pattern on a rotating media plate</w:t>
      </w:r>
      <w:r w:rsidR="005C6246">
        <w:rPr>
          <w:rFonts w:cs="AdvCaeciliaRm"/>
        </w:rPr>
        <w:t xml:space="preserve"> with a decreasing concentration</w:t>
      </w:r>
      <w:r w:rsidR="00D81422">
        <w:rPr>
          <w:rFonts w:cs="AdvCaeciliaRm"/>
        </w:rPr>
        <w:t xml:space="preserve"> from center to periphery across the plate. </w:t>
      </w:r>
      <w:r w:rsidR="005C6246">
        <w:rPr>
          <w:rFonts w:cs="AdvCaeciliaRm"/>
        </w:rPr>
        <w:t xml:space="preserve">We </w:t>
      </w:r>
      <w:r w:rsidR="00715421">
        <w:rPr>
          <w:rFonts w:cs="AdvCaeciliaRm"/>
        </w:rPr>
        <w:t>use</w:t>
      </w:r>
      <w:r w:rsidR="00624D01">
        <w:rPr>
          <w:rFonts w:cs="AdvCaeciliaRm"/>
        </w:rPr>
        <w:t>d</w:t>
      </w:r>
      <w:r w:rsidR="00715421">
        <w:rPr>
          <w:rFonts w:cs="AdvCaeciliaRm"/>
        </w:rPr>
        <w:t xml:space="preserve"> t</w:t>
      </w:r>
      <w:r w:rsidR="00080C7A">
        <w:rPr>
          <w:rFonts w:cs="AdvCaeciliaRm"/>
        </w:rPr>
        <w:t xml:space="preserve">he spiral plater </w:t>
      </w:r>
      <w:proofErr w:type="spellStart"/>
      <w:r w:rsidR="00080C7A">
        <w:rPr>
          <w:rFonts w:cs="AdvCaeciliaRm"/>
        </w:rPr>
        <w:t>Autoplate</w:t>
      </w:r>
      <w:proofErr w:type="spellEnd"/>
      <w:r w:rsidR="00080C7A">
        <w:rPr>
          <w:rFonts w:cs="AdvCaeciliaRm"/>
        </w:rPr>
        <w:t xml:space="preserve"> 5000 (</w:t>
      </w:r>
      <w:r w:rsidR="00080C7A" w:rsidRPr="00CF52A7">
        <w:rPr>
          <w:rFonts w:cs="AdvCaeciliaRm"/>
        </w:rPr>
        <w:t>Advanced Instruments, Inc. Norwood, MA</w:t>
      </w:r>
      <w:r w:rsidR="00080C7A">
        <w:rPr>
          <w:rFonts w:cs="AdvCaeciliaRm"/>
        </w:rPr>
        <w:t xml:space="preserve">) </w:t>
      </w:r>
      <w:r w:rsidR="00624D01">
        <w:rPr>
          <w:rFonts w:cs="AdvCaeciliaRm"/>
        </w:rPr>
        <w:t xml:space="preserve">for our experiment. All fungicides were deposited on 150-mm-diameter petri plates using </w:t>
      </w:r>
      <w:r w:rsidR="00406C0A">
        <w:rPr>
          <w:rFonts w:cs="AdvCaeciliaRm"/>
        </w:rPr>
        <w:t xml:space="preserve">the </w:t>
      </w:r>
      <w:r w:rsidR="00624D01">
        <w:rPr>
          <w:rFonts w:cs="AdvCaeciliaRm"/>
        </w:rPr>
        <w:t xml:space="preserve">exponential mode of deposition except for iprodione. Since </w:t>
      </w:r>
      <w:r w:rsidR="002F5A97">
        <w:rPr>
          <w:rFonts w:cs="AdvCaeciliaRm"/>
        </w:rPr>
        <w:t xml:space="preserve">isolates showed a short growth to no growth interphase for iprodione, proportional mode of deposition was employed. </w:t>
      </w:r>
      <w:r w:rsidR="00406C0A">
        <w:rPr>
          <w:rFonts w:cs="AdvCaeciliaRm"/>
        </w:rPr>
        <w:t xml:space="preserve">In exponential mode of deposition the fungicide gradient from center to periphery is approximately to 300:1 whereas the gradient of proportional mode is 3:1. </w:t>
      </w:r>
      <w:r w:rsidR="002A7136">
        <w:rPr>
          <w:rFonts w:cs="AdvCaeciliaRm"/>
        </w:rPr>
        <w:t xml:space="preserve">The fungicide concentrations used to feed the dispensing stylus and actual </w:t>
      </w:r>
      <w:r w:rsidR="00DE3FEE">
        <w:rPr>
          <w:rFonts w:cs="AdvCaeciliaRm"/>
        </w:rPr>
        <w:t xml:space="preserve">deposited </w:t>
      </w:r>
      <w:r w:rsidR="002A7136">
        <w:rPr>
          <w:rFonts w:cs="AdvCaeciliaRm"/>
        </w:rPr>
        <w:t>concentration at the center and periphery of plate</w:t>
      </w:r>
      <w:r w:rsidR="00DE3FEE">
        <w:rPr>
          <w:rFonts w:cs="AdvCaeciliaRm"/>
        </w:rPr>
        <w:t>s</w:t>
      </w:r>
      <w:r w:rsidR="002A7136">
        <w:rPr>
          <w:rFonts w:cs="AdvCaeciliaRm"/>
        </w:rPr>
        <w:t xml:space="preserve"> are depicted in Table 2. </w:t>
      </w:r>
      <w:r w:rsidR="00115EC4">
        <w:rPr>
          <w:rFonts w:cs="AdvCaeciliaRm"/>
        </w:rPr>
        <w:t xml:space="preserve">Each </w:t>
      </w:r>
      <w:r w:rsidR="00DE3FEE">
        <w:rPr>
          <w:rFonts w:cs="AdvCaeciliaRm"/>
        </w:rPr>
        <w:t>fungicide concentration</w:t>
      </w:r>
      <w:r w:rsidR="00115EC4">
        <w:rPr>
          <w:rFonts w:cs="AdvCaeciliaRm"/>
        </w:rPr>
        <w:t xml:space="preserve"> was </w:t>
      </w:r>
      <w:r w:rsidR="00C26062">
        <w:rPr>
          <w:rFonts w:cs="AdvCaeciliaRm"/>
        </w:rPr>
        <w:t>optimized</w:t>
      </w:r>
      <w:r w:rsidR="00DE3FEE">
        <w:rPr>
          <w:rFonts w:cs="AdvCaeciliaRm"/>
        </w:rPr>
        <w:t xml:space="preserve"> </w:t>
      </w:r>
      <w:r w:rsidR="00115EC4">
        <w:rPr>
          <w:rFonts w:cs="AdvCaeciliaRm"/>
        </w:rPr>
        <w:t xml:space="preserve">to avoid </w:t>
      </w:r>
      <w:r w:rsidR="00C26062">
        <w:rPr>
          <w:rFonts w:cs="AdvCaeciliaRm"/>
        </w:rPr>
        <w:t xml:space="preserve">either </w:t>
      </w:r>
      <w:r w:rsidR="00115EC4">
        <w:rPr>
          <w:rFonts w:cs="AdvCaeciliaRm"/>
        </w:rPr>
        <w:t xml:space="preserve">too little growth or overlapping of adjacent </w:t>
      </w:r>
      <w:r w:rsidR="00E257BE">
        <w:rPr>
          <w:rFonts w:cs="AdvCaeciliaRm"/>
        </w:rPr>
        <w:t>replicates</w:t>
      </w:r>
      <w:r w:rsidR="004D571F">
        <w:rPr>
          <w:rFonts w:cs="AdvCaeciliaRm"/>
        </w:rPr>
        <w:t xml:space="preserve"> due to high growth</w:t>
      </w:r>
      <w:r w:rsidR="00115EC4">
        <w:rPr>
          <w:rFonts w:cs="AdvCaeciliaRm"/>
        </w:rPr>
        <w:t>.</w:t>
      </w:r>
      <w:r w:rsidR="00E257BE">
        <w:rPr>
          <w:rFonts w:cs="AdvCaeciliaRm"/>
        </w:rPr>
        <w:t xml:space="preserve"> According to the manufacturer’s instructions, media plates were prepared </w:t>
      </w:r>
      <w:r w:rsidR="00A67CBF">
        <w:rPr>
          <w:rFonts w:cs="AdvCaeciliaRm"/>
        </w:rPr>
        <w:t xml:space="preserve">by </w:t>
      </w:r>
      <w:r w:rsidR="004D571F">
        <w:rPr>
          <w:rFonts w:cs="AdvCaeciliaRm"/>
        </w:rPr>
        <w:t xml:space="preserve">adding 50 ml of PDA and stored </w:t>
      </w:r>
      <w:r w:rsidR="00E257BE">
        <w:rPr>
          <w:rFonts w:cs="AdvCaeciliaRm"/>
        </w:rPr>
        <w:t xml:space="preserve">at least 48 hours </w:t>
      </w:r>
      <w:r w:rsidR="00A67CBF">
        <w:rPr>
          <w:rFonts w:cs="AdvCaeciliaRm"/>
        </w:rPr>
        <w:t xml:space="preserve">at room temperature </w:t>
      </w:r>
      <w:r w:rsidR="00C26062">
        <w:rPr>
          <w:rFonts w:cs="AdvCaeciliaRm"/>
        </w:rPr>
        <w:t xml:space="preserve">to obtain a dry surface </w:t>
      </w:r>
      <w:r w:rsidR="00E257BE">
        <w:rPr>
          <w:rFonts w:cs="AdvCaeciliaRm"/>
        </w:rPr>
        <w:t xml:space="preserve">prior to </w:t>
      </w:r>
      <w:r w:rsidR="00A67CBF">
        <w:rPr>
          <w:rFonts w:cs="AdvCaeciliaRm"/>
        </w:rPr>
        <w:t>use</w:t>
      </w:r>
      <w:r w:rsidR="004D571F">
        <w:rPr>
          <w:rFonts w:cs="AdvCaeciliaRm"/>
        </w:rPr>
        <w:t>.</w:t>
      </w:r>
      <w:r w:rsidR="00E257BE">
        <w:rPr>
          <w:rFonts w:cs="AdvCaeciliaRm"/>
        </w:rPr>
        <w:t xml:space="preserve"> </w:t>
      </w:r>
      <w:r w:rsidR="00732908">
        <w:rPr>
          <w:rFonts w:cs="AdvCaeciliaRm"/>
        </w:rPr>
        <w:t xml:space="preserve">The PDA media used for </w:t>
      </w:r>
      <w:proofErr w:type="spellStart"/>
      <w:r w:rsidR="00732908">
        <w:rPr>
          <w:rFonts w:cs="AdvCaeciliaRm"/>
        </w:rPr>
        <w:t>QoI</w:t>
      </w:r>
      <w:proofErr w:type="spellEnd"/>
      <w:r w:rsidR="00732908">
        <w:rPr>
          <w:rFonts w:cs="AdvCaeciliaRm"/>
        </w:rPr>
        <w:t xml:space="preserve"> fungicides were amended with </w:t>
      </w:r>
      <w:proofErr w:type="spellStart"/>
      <w:r w:rsidR="00732908">
        <w:rPr>
          <w:rFonts w:cs="AdvCaeciliaRm"/>
        </w:rPr>
        <w:t>salicylhydroxamic</w:t>
      </w:r>
      <w:proofErr w:type="spellEnd"/>
      <w:r w:rsidR="00732908">
        <w:rPr>
          <w:rFonts w:cs="AdvCaeciliaRm"/>
        </w:rPr>
        <w:t xml:space="preserve"> acid (SHAM) </w:t>
      </w:r>
      <w:r w:rsidR="00DE6ADE">
        <w:rPr>
          <w:rFonts w:cs="AdvCaeciliaRm"/>
        </w:rPr>
        <w:t xml:space="preserve">dissolved in acetone </w:t>
      </w:r>
      <w:r w:rsidR="00732908">
        <w:rPr>
          <w:rFonts w:cs="AdvCaeciliaRm"/>
        </w:rPr>
        <w:t xml:space="preserve">to have 70 ppm concentration. SHAM </w:t>
      </w:r>
      <w:r w:rsidR="001D2C4D">
        <w:rPr>
          <w:rFonts w:cs="AdvCaeciliaRm"/>
        </w:rPr>
        <w:t>was added</w:t>
      </w:r>
      <w:r w:rsidR="00732908">
        <w:rPr>
          <w:rFonts w:cs="AdvCaeciliaRm"/>
        </w:rPr>
        <w:t xml:space="preserve"> t</w:t>
      </w:r>
      <w:r w:rsidR="001D2C4D">
        <w:rPr>
          <w:rFonts w:cs="AdvCaeciliaRm"/>
        </w:rPr>
        <w:t>o prevent the pathogen from taking alternative respiration pathways and thereby avoiding fungicide toxicity in vitro (</w:t>
      </w:r>
      <w:r w:rsidR="001D2C4D" w:rsidRPr="001D2C4D">
        <w:rPr>
          <w:rFonts w:cs="AdvCaeciliaRm"/>
          <w:highlight w:val="cyan"/>
        </w:rPr>
        <w:t>Wise, K.A., C.A. Bradley,</w:t>
      </w:r>
      <w:r w:rsidR="001D2C4D" w:rsidRPr="001D2C4D">
        <w:rPr>
          <w:rFonts w:cs="AdvCaeciliaRm"/>
        </w:rPr>
        <w:t xml:space="preserve"> J.S. </w:t>
      </w:r>
      <w:proofErr w:type="spellStart"/>
      <w:r w:rsidR="001D2C4D" w:rsidRPr="001D2C4D">
        <w:rPr>
          <w:rFonts w:cs="AdvCaeciliaRm"/>
        </w:rPr>
        <w:t>Pasche</w:t>
      </w:r>
      <w:proofErr w:type="spellEnd"/>
      <w:r w:rsidR="001D2C4D" w:rsidRPr="001D2C4D">
        <w:rPr>
          <w:rFonts w:cs="AdvCaeciliaRm"/>
        </w:rPr>
        <w:t xml:space="preserve">, N.C. </w:t>
      </w:r>
      <w:proofErr w:type="spellStart"/>
      <w:r w:rsidR="001D2C4D" w:rsidRPr="001D2C4D">
        <w:rPr>
          <w:rFonts w:cs="AdvCaeciliaRm"/>
        </w:rPr>
        <w:t>Gudmestad</w:t>
      </w:r>
      <w:proofErr w:type="spellEnd"/>
      <w:r w:rsidR="001D2C4D" w:rsidRPr="001D2C4D">
        <w:rPr>
          <w:rFonts w:cs="AdvCaeciliaRm"/>
        </w:rPr>
        <w:t>, F.M.</w:t>
      </w:r>
      <w:r w:rsidR="001D2C4D">
        <w:rPr>
          <w:rFonts w:cs="AdvCaeciliaRm"/>
        </w:rPr>
        <w:t xml:space="preserve"> </w:t>
      </w:r>
      <w:r w:rsidR="001D2C4D" w:rsidRPr="001D2C4D">
        <w:rPr>
          <w:rFonts w:cs="AdvCaeciliaRm"/>
        </w:rPr>
        <w:t>Dugan, and W. Chen. 2008</w:t>
      </w:r>
      <w:r w:rsidR="001D2C4D">
        <w:rPr>
          <w:rFonts w:cs="AdvCaeciliaRm"/>
        </w:rPr>
        <w:t>).</w:t>
      </w:r>
      <w:r w:rsidR="00732908">
        <w:rPr>
          <w:rFonts w:cs="AdvCaeciliaRm"/>
        </w:rPr>
        <w:t xml:space="preserve"> </w:t>
      </w:r>
      <w:r w:rsidR="004D571F">
        <w:rPr>
          <w:rFonts w:cs="AdvCaeciliaRm"/>
        </w:rPr>
        <w:t xml:space="preserve">Fungicide deposited plates were kept under a sterile hood for 2-4 hours </w:t>
      </w:r>
      <w:r w:rsidR="00A67CBF">
        <w:rPr>
          <w:rFonts w:cs="AdvCaeciliaRm"/>
        </w:rPr>
        <w:t xml:space="preserve">to uniformly absorb the chemicals </w:t>
      </w:r>
      <w:r w:rsidR="004D571F">
        <w:rPr>
          <w:rFonts w:cs="AdvCaeciliaRm"/>
        </w:rPr>
        <w:t xml:space="preserve">before inoculating with </w:t>
      </w:r>
      <w:r w:rsidR="004D571F" w:rsidRPr="004D571F">
        <w:rPr>
          <w:rFonts w:cs="AdvCaeciliaRm"/>
          <w:i/>
        </w:rPr>
        <w:t>Sclerotinia</w:t>
      </w:r>
      <w:r w:rsidR="00A67CBF">
        <w:rPr>
          <w:rFonts w:cs="AdvCaeciliaRm"/>
        </w:rPr>
        <w:t xml:space="preserve"> isolates.</w:t>
      </w:r>
      <w:r w:rsidR="004D571F">
        <w:rPr>
          <w:rFonts w:cs="AdvCaeciliaRm"/>
        </w:rPr>
        <w:t xml:space="preserve"> </w:t>
      </w:r>
    </w:p>
    <w:p w:rsidR="00E257BE" w:rsidRDefault="00E257BE" w:rsidP="00E257BE">
      <w:pPr>
        <w:autoSpaceDE w:val="0"/>
        <w:autoSpaceDN w:val="0"/>
        <w:adjustRightInd w:val="0"/>
        <w:spacing w:after="0" w:line="240" w:lineRule="auto"/>
        <w:rPr>
          <w:rFonts w:cs="AdvCaeciliaRm"/>
        </w:rPr>
      </w:pPr>
    </w:p>
    <w:p w:rsidR="00A67CBF" w:rsidRDefault="00A67CBF" w:rsidP="007F0F7A">
      <w:pPr>
        <w:autoSpaceDE w:val="0"/>
        <w:autoSpaceDN w:val="0"/>
        <w:adjustRightInd w:val="0"/>
        <w:spacing w:after="0" w:line="240" w:lineRule="auto"/>
        <w:rPr>
          <w:rFonts w:cs="AdvCaeciliaRm"/>
        </w:rPr>
      </w:pPr>
    </w:p>
    <w:p w:rsidR="00115EC4" w:rsidRDefault="00115EC4" w:rsidP="007F0F7A">
      <w:pPr>
        <w:autoSpaceDE w:val="0"/>
        <w:autoSpaceDN w:val="0"/>
        <w:adjustRightInd w:val="0"/>
        <w:spacing w:after="0" w:line="240" w:lineRule="auto"/>
        <w:rPr>
          <w:rFonts w:cs="AdvCaeciliaRm"/>
        </w:rPr>
      </w:pPr>
      <w:r>
        <w:rPr>
          <w:rFonts w:cs="AdvCaeciliaRm"/>
        </w:rPr>
        <w:t>Inoculum preparation</w:t>
      </w:r>
      <w:r w:rsidR="006D7A4E">
        <w:rPr>
          <w:rFonts w:cs="AdvCaeciliaRm"/>
        </w:rPr>
        <w:t xml:space="preserve"> and inoculation</w:t>
      </w:r>
      <w:r w:rsidR="009B44EF">
        <w:rPr>
          <w:rFonts w:cs="AdvCaeciliaRm"/>
        </w:rPr>
        <w:t xml:space="preserve"> of fungicide treated plates</w:t>
      </w:r>
    </w:p>
    <w:p w:rsidR="00ED5BE7" w:rsidRDefault="00ED5BE7" w:rsidP="00ED5BE7">
      <w:pPr>
        <w:autoSpaceDE w:val="0"/>
        <w:autoSpaceDN w:val="0"/>
        <w:adjustRightInd w:val="0"/>
        <w:spacing w:after="0" w:line="240" w:lineRule="auto"/>
        <w:rPr>
          <w:rFonts w:cs="AdvCaeciliaRm"/>
        </w:rPr>
      </w:pPr>
    </w:p>
    <w:p w:rsidR="008D4CC3" w:rsidRDefault="00ED5BE7" w:rsidP="00250A13">
      <w:pPr>
        <w:autoSpaceDE w:val="0"/>
        <w:autoSpaceDN w:val="0"/>
        <w:adjustRightInd w:val="0"/>
        <w:spacing w:after="0" w:line="240" w:lineRule="auto"/>
        <w:rPr>
          <w:rFonts w:cs="AdvCaeciliaRm"/>
        </w:rPr>
      </w:pPr>
      <w:r>
        <w:rPr>
          <w:rFonts w:cs="AdvCaeciliaRm"/>
        </w:rPr>
        <w:t xml:space="preserve">Each isolate of </w:t>
      </w:r>
      <w:r w:rsidRPr="000065AE">
        <w:rPr>
          <w:rFonts w:cs="AdvCaeciliaRm"/>
          <w:i/>
        </w:rPr>
        <w:t>Sclerotinia</w:t>
      </w:r>
      <w:r>
        <w:rPr>
          <w:rFonts w:cs="AdvCaeciliaRm"/>
        </w:rPr>
        <w:t xml:space="preserve"> was grown on a 10-cm-diameter petri plate</w:t>
      </w:r>
      <w:r w:rsidR="00250A13">
        <w:rPr>
          <w:rFonts w:cs="AdvCaeciliaRm"/>
        </w:rPr>
        <w:t>. J</w:t>
      </w:r>
      <w:r w:rsidR="002C0912">
        <w:rPr>
          <w:rFonts w:cs="AdvCaeciliaRm"/>
        </w:rPr>
        <w:t xml:space="preserve">ust before the mycelial mat reached the edge of the plate, </w:t>
      </w:r>
      <w:r>
        <w:rPr>
          <w:rFonts w:cs="AdvCaeciliaRm"/>
        </w:rPr>
        <w:t xml:space="preserve">mycelial scrapings were transferred to </w:t>
      </w:r>
      <w:r w:rsidR="00250A13">
        <w:rPr>
          <w:rFonts w:cs="AdvCaeciliaRm"/>
        </w:rPr>
        <w:t>500 µl of sterile water in</w:t>
      </w:r>
      <w:r>
        <w:rPr>
          <w:rFonts w:cs="AdvCaeciliaRm"/>
        </w:rPr>
        <w:t xml:space="preserve"> </w:t>
      </w:r>
      <w:r w:rsidR="00250A13">
        <w:rPr>
          <w:rFonts w:cs="AdvCaeciliaRm"/>
        </w:rPr>
        <w:t xml:space="preserve">a </w:t>
      </w:r>
      <w:r>
        <w:rPr>
          <w:rFonts w:cs="AdvCaeciliaRm"/>
        </w:rPr>
        <w:t xml:space="preserve">2 ml </w:t>
      </w:r>
      <w:proofErr w:type="spellStart"/>
      <w:r>
        <w:rPr>
          <w:rFonts w:cs="AdvCaeciliaRm"/>
        </w:rPr>
        <w:t>microtube</w:t>
      </w:r>
      <w:proofErr w:type="spellEnd"/>
      <w:r>
        <w:rPr>
          <w:rFonts w:cs="AdvCaeciliaRm"/>
        </w:rPr>
        <w:t xml:space="preserve"> </w:t>
      </w:r>
      <w:r w:rsidR="00250A13">
        <w:rPr>
          <w:rFonts w:cs="AdvCaeciliaRm"/>
        </w:rPr>
        <w:t>with</w:t>
      </w:r>
      <w:r>
        <w:rPr>
          <w:rFonts w:cs="AdvCaeciliaRm"/>
        </w:rPr>
        <w:t xml:space="preserve"> two glass beads</w:t>
      </w:r>
      <w:r w:rsidR="00250A13">
        <w:rPr>
          <w:rFonts w:cs="AdvCaeciliaRm"/>
        </w:rPr>
        <w:t xml:space="preserve"> and </w:t>
      </w:r>
      <w:r w:rsidR="00786B2A">
        <w:rPr>
          <w:rFonts w:cs="AdvCaeciliaRm"/>
        </w:rPr>
        <w:t xml:space="preserve">homogenized using a </w:t>
      </w:r>
      <w:proofErr w:type="spellStart"/>
      <w:r w:rsidR="00786B2A">
        <w:rPr>
          <w:rFonts w:cs="AdvCaeciliaRm"/>
        </w:rPr>
        <w:t>Fastprep</w:t>
      </w:r>
      <w:proofErr w:type="spellEnd"/>
      <w:r w:rsidR="00786B2A">
        <w:rPr>
          <w:rFonts w:cs="AdvCaeciliaRm"/>
        </w:rPr>
        <w:t xml:space="preserve"> homogenizer (</w:t>
      </w:r>
      <w:r w:rsidR="00A7613F">
        <w:rPr>
          <w:rFonts w:cs="AdvCaeciliaRm"/>
        </w:rPr>
        <w:t>MP Biomedical, Solon, OH</w:t>
      </w:r>
      <w:r w:rsidR="00786B2A">
        <w:rPr>
          <w:rFonts w:cs="AdvCaeciliaRm"/>
        </w:rPr>
        <w:t xml:space="preserve">). </w:t>
      </w:r>
      <w:r w:rsidR="001F0538">
        <w:rPr>
          <w:rFonts w:cs="AdvCaeciliaRm"/>
        </w:rPr>
        <w:t>Filter strips</w:t>
      </w:r>
      <w:r w:rsidR="00E257BE">
        <w:rPr>
          <w:rFonts w:cs="AdvCaeciliaRm"/>
        </w:rPr>
        <w:t xml:space="preserve"> made of </w:t>
      </w:r>
      <w:proofErr w:type="spellStart"/>
      <w:r w:rsidR="00E257BE">
        <w:rPr>
          <w:rFonts w:cs="AdvCaeciliaRm"/>
        </w:rPr>
        <w:t>W</w:t>
      </w:r>
      <w:r w:rsidR="001F0538">
        <w:rPr>
          <w:rFonts w:cs="AdvCaeciliaRm"/>
        </w:rPr>
        <w:t>hatman</w:t>
      </w:r>
      <w:proofErr w:type="spellEnd"/>
      <w:r w:rsidR="001F0538">
        <w:rPr>
          <w:rFonts w:cs="AdvCaeciliaRm"/>
        </w:rPr>
        <w:t xml:space="preserve"> grade1 paper (</w:t>
      </w:r>
      <w:r w:rsidR="00E257BE" w:rsidRPr="007742AA">
        <w:rPr>
          <w:rFonts w:cs="AdvCaeciliaRm"/>
        </w:rPr>
        <w:t>GE Healthcare Bio-Sciences</w:t>
      </w:r>
      <w:r w:rsidR="00E257BE">
        <w:rPr>
          <w:rFonts w:cs="AdvCaeciliaRm"/>
        </w:rPr>
        <w:t>, Pittsburg, PA</w:t>
      </w:r>
      <w:r w:rsidR="001F0538">
        <w:rPr>
          <w:rFonts w:cs="AdvCaeciliaRm"/>
        </w:rPr>
        <w:t>) and having a dimension of 50 mm x 4 mm were p</w:t>
      </w:r>
      <w:r w:rsidR="00E257BE">
        <w:rPr>
          <w:rFonts w:cs="AdvCaeciliaRm"/>
        </w:rPr>
        <w:t>laced on PDA plates</w:t>
      </w:r>
      <w:r w:rsidR="001F0538">
        <w:rPr>
          <w:rFonts w:cs="AdvCaeciliaRm"/>
        </w:rPr>
        <w:t xml:space="preserve"> and 45 µl of mycelial solution per filter strip</w:t>
      </w:r>
      <w:r w:rsidR="00E257BE">
        <w:rPr>
          <w:rFonts w:cs="AdvCaeciliaRm"/>
        </w:rPr>
        <w:t xml:space="preserve"> </w:t>
      </w:r>
      <w:r w:rsidR="00E257BE">
        <w:rPr>
          <w:rFonts w:cs="AdvCaeciliaRm"/>
        </w:rPr>
        <w:lastRenderedPageBreak/>
        <w:t>was spread</w:t>
      </w:r>
      <w:r>
        <w:rPr>
          <w:rFonts w:cs="AdvCaeciliaRm"/>
        </w:rPr>
        <w:t xml:space="preserve"> on them</w:t>
      </w:r>
      <w:r w:rsidR="00E257BE">
        <w:rPr>
          <w:rFonts w:cs="AdvCaeciliaRm"/>
        </w:rPr>
        <w:t>.</w:t>
      </w:r>
      <w:r>
        <w:rPr>
          <w:rFonts w:cs="AdvCaeciliaRm"/>
        </w:rPr>
        <w:t xml:space="preserve"> The inoculated strips were incubated for 40 hours</w:t>
      </w:r>
      <w:r w:rsidR="006D7A4E">
        <w:rPr>
          <w:rFonts w:cs="AdvCaeciliaRm"/>
        </w:rPr>
        <w:t xml:space="preserve"> </w:t>
      </w:r>
      <w:r w:rsidR="00CB3F14">
        <w:rPr>
          <w:rFonts w:cs="AdvCaeciliaRm"/>
        </w:rPr>
        <w:t xml:space="preserve">at 25° C </w:t>
      </w:r>
      <w:r w:rsidR="006D7A4E">
        <w:rPr>
          <w:rFonts w:cs="AdvCaeciliaRm"/>
        </w:rPr>
        <w:t xml:space="preserve">to </w:t>
      </w:r>
      <w:r w:rsidR="00977972">
        <w:rPr>
          <w:rFonts w:cs="AdvCaeciliaRm"/>
        </w:rPr>
        <w:t xml:space="preserve">let mycelia </w:t>
      </w:r>
      <w:r w:rsidR="006D7A4E">
        <w:rPr>
          <w:rFonts w:cs="AdvCaeciliaRm"/>
        </w:rPr>
        <w:t>grow thoroughly on paper and transferred to fungicide deposited plates. Four strips were placed</w:t>
      </w:r>
      <w:r w:rsidR="009B44EF">
        <w:rPr>
          <w:rFonts w:cs="AdvCaeciliaRm"/>
        </w:rPr>
        <w:t xml:space="preserve"> per plate on two perpendicular diameters with mycelia facing downwards.</w:t>
      </w:r>
      <w:r w:rsidR="00CB3F14">
        <w:rPr>
          <w:rFonts w:cs="AdvCaeciliaRm"/>
        </w:rPr>
        <w:t xml:space="preserve"> </w:t>
      </w:r>
      <w:r w:rsidR="004310E9">
        <w:rPr>
          <w:rFonts w:cs="AdvCaeciliaRm"/>
        </w:rPr>
        <w:t xml:space="preserve">Each inoculated filter strip is considered a technical replicate. </w:t>
      </w:r>
      <w:r w:rsidR="00E1600E">
        <w:rPr>
          <w:rFonts w:cs="AdvCaeciliaRm"/>
        </w:rPr>
        <w:t>Non fungicide amended 10cm-diameter PDA plates were used as positive c</w:t>
      </w:r>
      <w:r w:rsidR="00CB3F14">
        <w:rPr>
          <w:rFonts w:cs="AdvCaeciliaRm"/>
        </w:rPr>
        <w:t>ontrol</w:t>
      </w:r>
      <w:r w:rsidR="00E1600E">
        <w:rPr>
          <w:rFonts w:cs="AdvCaeciliaRm"/>
        </w:rPr>
        <w:t>s</w:t>
      </w:r>
      <w:r w:rsidR="00DE6ADE">
        <w:rPr>
          <w:rFonts w:cs="AdvCaeciliaRm"/>
        </w:rPr>
        <w:t xml:space="preserve"> by placing a single strip closer </w:t>
      </w:r>
      <w:r w:rsidR="008D4CC3">
        <w:rPr>
          <w:rFonts w:cs="AdvCaeciliaRm"/>
        </w:rPr>
        <w:t xml:space="preserve">to </w:t>
      </w:r>
      <w:r w:rsidR="00DE6ADE">
        <w:rPr>
          <w:rFonts w:cs="AdvCaeciliaRm"/>
        </w:rPr>
        <w:t>the edge of the plate</w:t>
      </w:r>
      <w:r w:rsidR="00E1600E">
        <w:rPr>
          <w:rFonts w:cs="AdvCaeciliaRm"/>
        </w:rPr>
        <w:t>.</w:t>
      </w:r>
      <w:r w:rsidR="004310E9">
        <w:rPr>
          <w:rFonts w:cs="AdvCaeciliaRm"/>
        </w:rPr>
        <w:t xml:space="preserve"> </w:t>
      </w:r>
      <w:r w:rsidR="00DE6ADE">
        <w:rPr>
          <w:rFonts w:cs="AdvCaeciliaRm"/>
        </w:rPr>
        <w:t>Three</w:t>
      </w:r>
      <w:r w:rsidR="008D4CC3">
        <w:rPr>
          <w:rFonts w:cs="AdvCaeciliaRm"/>
        </w:rPr>
        <w:t xml:space="preserve"> control plates were used per isolate.</w:t>
      </w:r>
      <w:r w:rsidR="00DE6ADE">
        <w:rPr>
          <w:rFonts w:cs="AdvCaeciliaRm"/>
        </w:rPr>
        <w:t xml:space="preserve"> </w:t>
      </w:r>
      <w:r w:rsidR="004310E9">
        <w:rPr>
          <w:rFonts w:cs="AdvCaeciliaRm"/>
        </w:rPr>
        <w:t xml:space="preserve">Both control and fungicide treated plates were </w:t>
      </w:r>
      <w:r w:rsidR="00A114E2">
        <w:rPr>
          <w:rFonts w:cs="AdvCaeciliaRm"/>
        </w:rPr>
        <w:t xml:space="preserve">incubated for 38-42 hours at 25° C and </w:t>
      </w:r>
      <w:r w:rsidR="00AC6D53">
        <w:rPr>
          <w:rFonts w:cs="AdvCaeciliaRm"/>
        </w:rPr>
        <w:t xml:space="preserve">the point of 50% growth inhibition on the each filter strip was determined relative to the growth of control isolates (Fig. 1). The 100% growth </w:t>
      </w:r>
      <w:r w:rsidR="00C44232">
        <w:rPr>
          <w:rFonts w:cs="AdvCaeciliaRm"/>
        </w:rPr>
        <w:t>of an isolate was the height of mycelial mat on control plate measure</w:t>
      </w:r>
      <w:r w:rsidR="00250A13">
        <w:rPr>
          <w:rFonts w:cs="AdvCaeciliaRm"/>
        </w:rPr>
        <w:t>d</w:t>
      </w:r>
      <w:r w:rsidR="00C44232">
        <w:rPr>
          <w:rFonts w:cs="AdvCaeciliaRm"/>
        </w:rPr>
        <w:t xml:space="preserve"> </w:t>
      </w:r>
      <w:r w:rsidR="00250A13">
        <w:rPr>
          <w:rFonts w:cs="AdvCaeciliaRm"/>
        </w:rPr>
        <w:t>perpendi</w:t>
      </w:r>
      <w:r w:rsidR="000023BE">
        <w:rPr>
          <w:rFonts w:cs="AdvCaeciliaRm"/>
        </w:rPr>
        <w:t xml:space="preserve">cularly </w:t>
      </w:r>
      <w:r w:rsidR="00C44232">
        <w:rPr>
          <w:rFonts w:cs="AdvCaeciliaRm"/>
        </w:rPr>
        <w:t>from top of the strip to the edge of the mat.</w:t>
      </w:r>
      <w:r w:rsidR="00A9077A">
        <w:rPr>
          <w:rFonts w:cs="AdvCaeciliaRm"/>
        </w:rPr>
        <w:t xml:space="preserve"> Therefore, 50% inhibition is equated to one half growth of the control plate. The radius </w:t>
      </w:r>
      <w:r w:rsidR="002D0B6C">
        <w:rPr>
          <w:rFonts w:cs="AdvCaeciliaRm"/>
        </w:rPr>
        <w:t xml:space="preserve">to the </w:t>
      </w:r>
      <w:r w:rsidR="00A9077A">
        <w:rPr>
          <w:rFonts w:cs="AdvCaeciliaRm"/>
        </w:rPr>
        <w:t xml:space="preserve">point of 50% growth </w:t>
      </w:r>
      <w:r w:rsidR="004A7372">
        <w:rPr>
          <w:rFonts w:cs="AdvCaeciliaRm"/>
        </w:rPr>
        <w:t xml:space="preserve">on the inoculated filter strip was </w:t>
      </w:r>
      <w:r w:rsidR="00FD273B">
        <w:rPr>
          <w:rFonts w:cs="AdvCaeciliaRm"/>
        </w:rPr>
        <w:t>recorded</w:t>
      </w:r>
      <w:r w:rsidR="002D0B6C">
        <w:rPr>
          <w:rFonts w:cs="AdvCaeciliaRm"/>
        </w:rPr>
        <w:t xml:space="preserve"> </w:t>
      </w:r>
      <w:r w:rsidR="00A9077A">
        <w:rPr>
          <w:rFonts w:cs="AdvCaeciliaRm"/>
        </w:rPr>
        <w:t xml:space="preserve">to calculate </w:t>
      </w:r>
      <w:r w:rsidR="00A114E2">
        <w:rPr>
          <w:rFonts w:cs="AdvCaeciliaRm"/>
        </w:rPr>
        <w:t>EC50 using the SGE software provided with AP 5000 spiral plater.</w:t>
      </w:r>
      <w:r w:rsidR="00977972">
        <w:rPr>
          <w:rFonts w:cs="AdvCaeciliaRm"/>
        </w:rPr>
        <w:t xml:space="preserve"> </w:t>
      </w:r>
      <w:r w:rsidR="00A114E2">
        <w:rPr>
          <w:rFonts w:cs="AdvCaeciliaRm"/>
        </w:rPr>
        <w:t xml:space="preserve">  </w:t>
      </w:r>
    </w:p>
    <w:p w:rsidR="008D4CC3" w:rsidRDefault="008D4CC3" w:rsidP="00E1600E">
      <w:pPr>
        <w:autoSpaceDE w:val="0"/>
        <w:autoSpaceDN w:val="0"/>
        <w:adjustRightInd w:val="0"/>
        <w:spacing w:after="0" w:line="240" w:lineRule="auto"/>
        <w:rPr>
          <w:rFonts w:cs="AdvCaeciliaRm"/>
        </w:rPr>
      </w:pPr>
    </w:p>
    <w:p w:rsidR="008D4CC3" w:rsidRDefault="008D4CC3" w:rsidP="00E1600E">
      <w:pPr>
        <w:autoSpaceDE w:val="0"/>
        <w:autoSpaceDN w:val="0"/>
        <w:adjustRightInd w:val="0"/>
        <w:spacing w:after="0" w:line="240" w:lineRule="auto"/>
        <w:rPr>
          <w:rFonts w:cs="AdvCaeciliaRm"/>
        </w:rPr>
      </w:pPr>
      <w:r>
        <w:rPr>
          <w:rFonts w:cs="AdvCaeciliaRm"/>
        </w:rPr>
        <w:t xml:space="preserve">Long term exposure of Sclerotinia isolates to </w:t>
      </w:r>
      <w:proofErr w:type="spellStart"/>
      <w:r>
        <w:rPr>
          <w:rFonts w:cs="AdvCaeciliaRm"/>
        </w:rPr>
        <w:t>sublethal</w:t>
      </w:r>
      <w:proofErr w:type="spellEnd"/>
      <w:r>
        <w:rPr>
          <w:rFonts w:cs="AdvCaeciliaRm"/>
        </w:rPr>
        <w:t xml:space="preserve"> fungicide doses</w:t>
      </w:r>
    </w:p>
    <w:p w:rsidR="002D0B6C" w:rsidRDefault="002D0B6C" w:rsidP="00E1600E">
      <w:pPr>
        <w:autoSpaceDE w:val="0"/>
        <w:autoSpaceDN w:val="0"/>
        <w:adjustRightInd w:val="0"/>
        <w:spacing w:after="0" w:line="240" w:lineRule="auto"/>
        <w:rPr>
          <w:rFonts w:cs="AdvCaeciliaRm"/>
        </w:rPr>
      </w:pPr>
    </w:p>
    <w:p w:rsidR="007B6E1D" w:rsidRDefault="004A7372" w:rsidP="00EF0247">
      <w:pPr>
        <w:autoSpaceDE w:val="0"/>
        <w:autoSpaceDN w:val="0"/>
        <w:adjustRightInd w:val="0"/>
        <w:spacing w:after="0" w:line="240" w:lineRule="auto"/>
        <w:rPr>
          <w:rFonts w:cs="AdvCaeciliaRm"/>
        </w:rPr>
      </w:pPr>
      <w:r>
        <w:rPr>
          <w:rFonts w:cs="AdvCaeciliaRm"/>
        </w:rPr>
        <w:t xml:space="preserve">The mycelia </w:t>
      </w:r>
      <w:r w:rsidR="002D0B6C">
        <w:rPr>
          <w:rFonts w:cs="AdvCaeciliaRm"/>
        </w:rPr>
        <w:t>with</w:t>
      </w:r>
      <w:r>
        <w:rPr>
          <w:rFonts w:cs="AdvCaeciliaRm"/>
        </w:rPr>
        <w:t>in the zone of 50% inhibition point to 100% inhibition (tail</w:t>
      </w:r>
      <w:r w:rsidR="003A66A5">
        <w:rPr>
          <w:rFonts w:cs="AdvCaeciliaRm"/>
        </w:rPr>
        <w:t>-</w:t>
      </w:r>
      <w:r>
        <w:rPr>
          <w:rFonts w:cs="AdvCaeciliaRm"/>
        </w:rPr>
        <w:t xml:space="preserve">ending point) </w:t>
      </w:r>
      <w:r w:rsidR="001632D5">
        <w:rPr>
          <w:rFonts w:cs="AdvCaeciliaRm"/>
        </w:rPr>
        <w:t xml:space="preserve">(Fig. 2) </w:t>
      </w:r>
      <w:r>
        <w:rPr>
          <w:rFonts w:cs="AdvCaeciliaRm"/>
        </w:rPr>
        <w:t xml:space="preserve">was scraped and transferred to </w:t>
      </w:r>
      <w:proofErr w:type="spellStart"/>
      <w:r>
        <w:rPr>
          <w:rFonts w:cs="AdvCaeciliaRm"/>
        </w:rPr>
        <w:t>microtubes</w:t>
      </w:r>
      <w:proofErr w:type="spellEnd"/>
      <w:r>
        <w:rPr>
          <w:rFonts w:cs="AdvCaeciliaRm"/>
        </w:rPr>
        <w:t xml:space="preserve"> with sterile water as describ</w:t>
      </w:r>
      <w:r w:rsidR="003A66A5">
        <w:rPr>
          <w:rFonts w:cs="AdvCaeciliaRm"/>
        </w:rPr>
        <w:t xml:space="preserve">ed above to prepare the </w:t>
      </w:r>
      <w:proofErr w:type="spellStart"/>
      <w:r w:rsidR="003A66A5">
        <w:rPr>
          <w:rFonts w:cs="AdvCaeciliaRm"/>
        </w:rPr>
        <w:t>inocula</w:t>
      </w:r>
      <w:proofErr w:type="spellEnd"/>
      <w:r>
        <w:rPr>
          <w:rFonts w:cs="AdvCaeciliaRm"/>
        </w:rPr>
        <w:t xml:space="preserve"> of t</w:t>
      </w:r>
      <w:r w:rsidR="003A66A5">
        <w:rPr>
          <w:rFonts w:cs="AdvCaeciliaRm"/>
        </w:rPr>
        <w:t xml:space="preserve">he next generation. The </w:t>
      </w:r>
      <w:proofErr w:type="spellStart"/>
      <w:r w:rsidR="003A66A5">
        <w:rPr>
          <w:rFonts w:cs="AdvCaeciliaRm"/>
        </w:rPr>
        <w:t>inocula</w:t>
      </w:r>
      <w:proofErr w:type="spellEnd"/>
      <w:r w:rsidR="003A66A5">
        <w:rPr>
          <w:rFonts w:cs="AdvCaeciliaRm"/>
        </w:rPr>
        <w:t xml:space="preserve"> were</w:t>
      </w:r>
      <w:r>
        <w:rPr>
          <w:rFonts w:cs="AdvCaeciliaRm"/>
        </w:rPr>
        <w:t xml:space="preserve"> homogenized and transferred to new </w:t>
      </w:r>
      <w:r w:rsidR="00356598">
        <w:rPr>
          <w:rFonts w:cs="AdvCaeciliaRm"/>
        </w:rPr>
        <w:t xml:space="preserve">PDA plates with </w:t>
      </w:r>
      <w:r w:rsidR="002D0B6C">
        <w:rPr>
          <w:rFonts w:cs="AdvCaeciliaRm"/>
        </w:rPr>
        <w:t xml:space="preserve">filter </w:t>
      </w:r>
      <w:r>
        <w:rPr>
          <w:rFonts w:cs="AdvCaeciliaRm"/>
        </w:rPr>
        <w:t>strip</w:t>
      </w:r>
      <w:r w:rsidR="00356598">
        <w:rPr>
          <w:rFonts w:cs="AdvCaeciliaRm"/>
        </w:rPr>
        <w:t>s</w:t>
      </w:r>
      <w:r>
        <w:rPr>
          <w:rFonts w:cs="AdvCaeciliaRm"/>
        </w:rPr>
        <w:t xml:space="preserve"> and considered as generation 1 (G1). After approximated 40 H of incubation at 25° C</w:t>
      </w:r>
      <w:r w:rsidR="000023BE">
        <w:rPr>
          <w:rFonts w:cs="AdvCaeciliaRm"/>
        </w:rPr>
        <w:t>,</w:t>
      </w:r>
      <w:r w:rsidR="002D0B6C">
        <w:rPr>
          <w:rFonts w:cs="AdvCaeciliaRm"/>
        </w:rPr>
        <w:t xml:space="preserve"> these inoculated strips were again transferred to fungicide deposited</w:t>
      </w:r>
      <w:r w:rsidR="003A66A5">
        <w:rPr>
          <w:rFonts w:cs="AdvCaeciliaRm"/>
        </w:rPr>
        <w:t xml:space="preserve"> 15-cm-diameter plates. </w:t>
      </w:r>
      <w:proofErr w:type="spellStart"/>
      <w:r w:rsidR="003A66A5">
        <w:rPr>
          <w:rFonts w:cs="AdvCaeciliaRm"/>
        </w:rPr>
        <w:t>Inocula</w:t>
      </w:r>
      <w:proofErr w:type="spellEnd"/>
      <w:r w:rsidR="002D0B6C">
        <w:rPr>
          <w:rFonts w:cs="AdvCaeciliaRm"/>
        </w:rPr>
        <w:t xml:space="preserve"> prepared for control plates were never exposed fungicides. All isolates were </w:t>
      </w:r>
      <w:r w:rsidR="00356598">
        <w:rPr>
          <w:rFonts w:cs="AdvCaeciliaRm"/>
        </w:rPr>
        <w:t xml:space="preserve">taken through twelve generations </w:t>
      </w:r>
      <w:r w:rsidR="000023BE">
        <w:rPr>
          <w:rFonts w:cs="AdvCaeciliaRm"/>
        </w:rPr>
        <w:t xml:space="preserve">by repeating this process </w:t>
      </w:r>
      <w:r w:rsidR="00356598">
        <w:rPr>
          <w:rFonts w:cs="AdvCaeciliaRm"/>
        </w:rPr>
        <w:t xml:space="preserve">and at the end of each generation </w:t>
      </w:r>
      <w:r w:rsidR="00EF0247">
        <w:rPr>
          <w:rFonts w:cs="AdvCaeciliaRm"/>
        </w:rPr>
        <w:t xml:space="preserve">PDA plates used for inoculated filter strips were kept at room temperature for 3 weeks for </w:t>
      </w:r>
      <w:r w:rsidR="00356598">
        <w:rPr>
          <w:rFonts w:cs="AdvCaeciliaRm"/>
        </w:rPr>
        <w:t xml:space="preserve">sclerotia </w:t>
      </w:r>
      <w:r w:rsidR="00EF0247">
        <w:rPr>
          <w:rFonts w:cs="AdvCaeciliaRm"/>
        </w:rPr>
        <w:t xml:space="preserve">formation. The sclerotia were collected in </w:t>
      </w:r>
      <w:proofErr w:type="spellStart"/>
      <w:r w:rsidR="00EF0247">
        <w:rPr>
          <w:rFonts w:cs="AdvCaeciliaRm"/>
        </w:rPr>
        <w:t>microtubes</w:t>
      </w:r>
      <w:proofErr w:type="spellEnd"/>
      <w:r w:rsidR="00EF0247">
        <w:rPr>
          <w:rFonts w:cs="AdvCaeciliaRm"/>
        </w:rPr>
        <w:t xml:space="preserve"> and both plates and sclerotia </w:t>
      </w:r>
      <w:r w:rsidR="00356598">
        <w:rPr>
          <w:rFonts w:cs="AdvCaeciliaRm"/>
        </w:rPr>
        <w:t xml:space="preserve">were </w:t>
      </w:r>
      <w:r w:rsidR="003A66A5">
        <w:rPr>
          <w:rFonts w:cs="AdvCaeciliaRm"/>
        </w:rPr>
        <w:t>preserved at 4° C</w:t>
      </w:r>
      <w:r w:rsidR="00356598">
        <w:rPr>
          <w:rFonts w:cs="AdvCaeciliaRm"/>
        </w:rPr>
        <w:t xml:space="preserve">. </w:t>
      </w:r>
      <w:r w:rsidR="00AF0A16">
        <w:rPr>
          <w:rFonts w:cs="AdvCaeciliaRm"/>
        </w:rPr>
        <w:t xml:space="preserve">This experiment was repeated once. Isolate 587 was removed from the study since fungicide exposed replicates died half way during the experiment. </w:t>
      </w:r>
      <w:r w:rsidR="00C6283D">
        <w:rPr>
          <w:rFonts w:cs="AdvCaeciliaRm"/>
        </w:rPr>
        <w:t xml:space="preserve">A few other isolates showed unusually low growth and had to </w:t>
      </w:r>
      <w:r w:rsidR="001D6992">
        <w:rPr>
          <w:rFonts w:cs="AdvCaeciliaRm"/>
        </w:rPr>
        <w:t xml:space="preserve">be </w:t>
      </w:r>
      <w:r w:rsidR="00C6283D">
        <w:rPr>
          <w:rFonts w:cs="AdvCaeciliaRm"/>
        </w:rPr>
        <w:t>remove</w:t>
      </w:r>
      <w:r w:rsidR="001D6992">
        <w:rPr>
          <w:rFonts w:cs="AdvCaeciliaRm"/>
        </w:rPr>
        <w:t>d</w:t>
      </w:r>
      <w:r w:rsidR="00C6283D">
        <w:rPr>
          <w:rFonts w:cs="AdvCaeciliaRm"/>
        </w:rPr>
        <w:t xml:space="preserve"> from the experiment</w:t>
      </w:r>
      <w:r w:rsidR="00154BDB">
        <w:rPr>
          <w:rFonts w:cs="AdvCaeciliaRm"/>
        </w:rPr>
        <w:t xml:space="preserve">. They were namely, </w:t>
      </w:r>
      <w:r w:rsidR="00C6283D">
        <w:rPr>
          <w:rFonts w:cs="AdvCaeciliaRm"/>
        </w:rPr>
        <w:t>thiophanate methyl exposed isolate 467 of the first experiment (TM_467</w:t>
      </w:r>
      <w:r w:rsidR="001D6992">
        <w:rPr>
          <w:rFonts w:cs="AdvCaeciliaRm"/>
        </w:rPr>
        <w:t>_</w:t>
      </w:r>
      <w:r w:rsidR="001D6992" w:rsidRPr="001D6992">
        <w:rPr>
          <w:rFonts w:cs="AdvCaeciliaRm"/>
        </w:rPr>
        <w:t xml:space="preserve"> </w:t>
      </w:r>
      <w:r w:rsidR="001D6992">
        <w:rPr>
          <w:rFonts w:cs="AdvCaeciliaRm"/>
        </w:rPr>
        <w:t>Exp1</w:t>
      </w:r>
      <w:r w:rsidR="00C6283D">
        <w:rPr>
          <w:rFonts w:cs="AdvCaeciliaRm"/>
        </w:rPr>
        <w:t xml:space="preserve">); G12 control isolate </w:t>
      </w:r>
      <w:r w:rsidR="0044131A">
        <w:rPr>
          <w:rFonts w:cs="AdvCaeciliaRm"/>
        </w:rPr>
        <w:t>594 (Con_594</w:t>
      </w:r>
      <w:r w:rsidR="001D6992">
        <w:rPr>
          <w:rFonts w:cs="AdvCaeciliaRm"/>
        </w:rPr>
        <w:t>_Exp1_G12</w:t>
      </w:r>
      <w:r w:rsidR="0044131A">
        <w:rPr>
          <w:rFonts w:cs="AdvCaeciliaRm"/>
        </w:rPr>
        <w:t xml:space="preserve">), </w:t>
      </w:r>
      <w:r w:rsidR="001D6992">
        <w:rPr>
          <w:rFonts w:cs="AdvCaeciliaRm"/>
        </w:rPr>
        <w:t>TM_594_</w:t>
      </w:r>
      <w:r w:rsidR="0044131A">
        <w:rPr>
          <w:rFonts w:cs="AdvCaeciliaRm"/>
        </w:rPr>
        <w:t>Exp1 and TM_594</w:t>
      </w:r>
      <w:r w:rsidR="001D6992">
        <w:rPr>
          <w:rFonts w:cs="AdvCaeciliaRm"/>
        </w:rPr>
        <w:t>_Exp2</w:t>
      </w:r>
      <w:r w:rsidR="0044131A">
        <w:rPr>
          <w:rFonts w:cs="AdvCaeciliaRm"/>
        </w:rPr>
        <w:t xml:space="preserve">.  </w:t>
      </w:r>
      <w:r w:rsidR="00170110">
        <w:rPr>
          <w:rFonts w:cs="AdvCaeciliaRm"/>
        </w:rPr>
        <w:t>We use</w:t>
      </w:r>
      <w:r w:rsidR="009D2B29">
        <w:rPr>
          <w:rFonts w:cs="AdvCaeciliaRm"/>
        </w:rPr>
        <w:t>d</w:t>
      </w:r>
      <w:r w:rsidR="00170110">
        <w:rPr>
          <w:rFonts w:cs="AdvCaeciliaRm"/>
        </w:rPr>
        <w:t xml:space="preserve"> the following acronyms to describe control and fungicide challenges isolates. The first and repeated experiment</w:t>
      </w:r>
      <w:r w:rsidR="009D2B29">
        <w:rPr>
          <w:rFonts w:cs="AdvCaeciliaRm"/>
        </w:rPr>
        <w:t xml:space="preserve"> was</w:t>
      </w:r>
      <w:r w:rsidR="00170110">
        <w:rPr>
          <w:rFonts w:cs="AdvCaeciliaRm"/>
        </w:rPr>
        <w:t xml:space="preserve"> denoted by Exp1 and Exp2, respectively. </w:t>
      </w:r>
      <w:r w:rsidR="009D2B29">
        <w:rPr>
          <w:rFonts w:cs="AdvCaeciliaRm"/>
        </w:rPr>
        <w:t>G0 and G12 were</w:t>
      </w:r>
      <w:r w:rsidR="007B6E1D">
        <w:rPr>
          <w:rFonts w:cs="AdvCaeciliaRm"/>
        </w:rPr>
        <w:t xml:space="preserve"> used to describe i</w:t>
      </w:r>
      <w:r w:rsidR="00170110">
        <w:rPr>
          <w:rFonts w:cs="AdvCaeciliaRm"/>
        </w:rPr>
        <w:t>solates</w:t>
      </w:r>
      <w:r w:rsidR="007B6E1D">
        <w:rPr>
          <w:rFonts w:cs="AdvCaeciliaRm"/>
        </w:rPr>
        <w:t xml:space="preserve"> at the beginning of the experiment and at the end, respectively. All isolate</w:t>
      </w:r>
      <w:r w:rsidR="009D2B29">
        <w:rPr>
          <w:rFonts w:cs="AdvCaeciliaRm"/>
        </w:rPr>
        <w:t>s challenged with fungicides were</w:t>
      </w:r>
      <w:r w:rsidR="007B6E1D">
        <w:rPr>
          <w:rFonts w:cs="AdvCaeciliaRm"/>
        </w:rPr>
        <w:t xml:space="preserve"> from G12 and therefor</w:t>
      </w:r>
      <w:r w:rsidR="009D2B29">
        <w:rPr>
          <w:rFonts w:cs="AdvCaeciliaRm"/>
        </w:rPr>
        <w:t>e generation was not mentioned. However control isolates were</w:t>
      </w:r>
      <w:r w:rsidR="007B6E1D">
        <w:rPr>
          <w:rFonts w:cs="AdvCaeciliaRm"/>
        </w:rPr>
        <w:t xml:space="preserve"> from both G0 and G12 generations.</w:t>
      </w:r>
      <w:r w:rsidR="009D2B29">
        <w:rPr>
          <w:rFonts w:cs="AdvCaeciliaRm"/>
        </w:rPr>
        <w:t xml:space="preserve"> We abbreviated the five fungicides as follows: TM (thiophanate-methyl), </w:t>
      </w:r>
      <w:proofErr w:type="spellStart"/>
      <w:r w:rsidR="009D2B29">
        <w:rPr>
          <w:rFonts w:cs="AdvCaeciliaRm"/>
        </w:rPr>
        <w:t>Bos</w:t>
      </w:r>
      <w:proofErr w:type="spellEnd"/>
      <w:r w:rsidR="009D2B29">
        <w:rPr>
          <w:rFonts w:cs="AdvCaeciliaRm"/>
        </w:rPr>
        <w:t xml:space="preserve"> (boscalid), </w:t>
      </w:r>
      <w:proofErr w:type="spellStart"/>
      <w:r w:rsidR="009D2B29">
        <w:rPr>
          <w:rFonts w:cs="AdvCaeciliaRm"/>
        </w:rPr>
        <w:t>Ip</w:t>
      </w:r>
      <w:proofErr w:type="spellEnd"/>
      <w:r w:rsidR="009D2B29">
        <w:rPr>
          <w:rFonts w:cs="AdvCaeciliaRm"/>
        </w:rPr>
        <w:t xml:space="preserve"> (iprodione), </w:t>
      </w:r>
      <w:proofErr w:type="spellStart"/>
      <w:proofErr w:type="gramStart"/>
      <w:r w:rsidR="009D2B29">
        <w:rPr>
          <w:rFonts w:cs="AdvCaeciliaRm"/>
        </w:rPr>
        <w:t>Az</w:t>
      </w:r>
      <w:proofErr w:type="spellEnd"/>
      <w:proofErr w:type="gramEnd"/>
      <w:r w:rsidR="009D2B29">
        <w:rPr>
          <w:rFonts w:cs="AdvCaeciliaRm"/>
        </w:rPr>
        <w:t xml:space="preserve"> (azoxystrobin), and </w:t>
      </w:r>
      <w:proofErr w:type="spellStart"/>
      <w:r w:rsidR="009D2B29">
        <w:rPr>
          <w:rFonts w:cs="AdvCaeciliaRm"/>
        </w:rPr>
        <w:t>Py</w:t>
      </w:r>
      <w:proofErr w:type="spellEnd"/>
      <w:r w:rsidR="009D2B29">
        <w:rPr>
          <w:rFonts w:cs="AdvCaeciliaRm"/>
        </w:rPr>
        <w:t xml:space="preserve"> (pyraclostrobin). Control isolates were denoted as </w:t>
      </w:r>
      <w:proofErr w:type="gramStart"/>
      <w:r w:rsidR="009D2B29">
        <w:rPr>
          <w:rFonts w:cs="AdvCaeciliaRm"/>
        </w:rPr>
        <w:t>Con</w:t>
      </w:r>
      <w:proofErr w:type="gramEnd"/>
      <w:r w:rsidR="009D2B29">
        <w:rPr>
          <w:rFonts w:cs="AdvCaeciliaRm"/>
        </w:rPr>
        <w:t xml:space="preserve">. </w:t>
      </w:r>
      <w:r w:rsidR="007B6E1D">
        <w:rPr>
          <w:rFonts w:cs="AdvCaeciliaRm"/>
        </w:rPr>
        <w:t xml:space="preserve"> </w:t>
      </w:r>
    </w:p>
    <w:p w:rsidR="007B6E1D" w:rsidRDefault="007B6E1D" w:rsidP="00EF0247">
      <w:pPr>
        <w:autoSpaceDE w:val="0"/>
        <w:autoSpaceDN w:val="0"/>
        <w:adjustRightInd w:val="0"/>
        <w:spacing w:after="0" w:line="240" w:lineRule="auto"/>
        <w:rPr>
          <w:rFonts w:cs="AdvCaeciliaRm"/>
        </w:rPr>
      </w:pPr>
    </w:p>
    <w:p w:rsidR="00170110" w:rsidRDefault="00170110" w:rsidP="00EF0247">
      <w:pPr>
        <w:autoSpaceDE w:val="0"/>
        <w:autoSpaceDN w:val="0"/>
        <w:adjustRightInd w:val="0"/>
        <w:spacing w:after="0" w:line="240" w:lineRule="auto"/>
        <w:rPr>
          <w:rFonts w:cs="AdvCaeciliaRm"/>
        </w:rPr>
      </w:pPr>
    </w:p>
    <w:p w:rsidR="00534B56" w:rsidRDefault="00534B56" w:rsidP="00EF0247">
      <w:pPr>
        <w:autoSpaceDE w:val="0"/>
        <w:autoSpaceDN w:val="0"/>
        <w:adjustRightInd w:val="0"/>
        <w:spacing w:after="0" w:line="240" w:lineRule="auto"/>
        <w:rPr>
          <w:rFonts w:cs="AdvCaeciliaRm"/>
        </w:rPr>
      </w:pPr>
      <w:r>
        <w:rPr>
          <w:rFonts w:cs="AdvCaeciliaRm"/>
        </w:rPr>
        <w:t>DNA extraction and molecular analysis</w:t>
      </w:r>
    </w:p>
    <w:p w:rsidR="00AF0A16" w:rsidRDefault="00AF0A16" w:rsidP="00555508">
      <w:pPr>
        <w:autoSpaceDE w:val="0"/>
        <w:autoSpaceDN w:val="0"/>
        <w:adjustRightInd w:val="0"/>
        <w:spacing w:after="0" w:line="240" w:lineRule="auto"/>
        <w:rPr>
          <w:rFonts w:cs="AdvCaeciliaRm"/>
        </w:rPr>
      </w:pPr>
    </w:p>
    <w:p w:rsidR="00555508" w:rsidRDefault="006B4A8B" w:rsidP="00555508">
      <w:pPr>
        <w:autoSpaceDE w:val="0"/>
        <w:autoSpaceDN w:val="0"/>
        <w:adjustRightInd w:val="0"/>
        <w:spacing w:after="0" w:line="240" w:lineRule="auto"/>
        <w:rPr>
          <w:rFonts w:cs="AdvCaeciliaRm"/>
        </w:rPr>
      </w:pPr>
      <w:r>
        <w:rPr>
          <w:rFonts w:cs="AdvCaeciliaRm"/>
        </w:rPr>
        <w:t>E</w:t>
      </w:r>
      <w:r w:rsidR="003A66A5">
        <w:rPr>
          <w:rFonts w:cs="AdvCaeciliaRm"/>
        </w:rPr>
        <w:t xml:space="preserve">ach isolate before exposed to </w:t>
      </w:r>
      <w:proofErr w:type="spellStart"/>
      <w:r w:rsidR="003A66A5">
        <w:rPr>
          <w:rFonts w:cs="AdvCaeciliaRm"/>
        </w:rPr>
        <w:t>sublethal</w:t>
      </w:r>
      <w:proofErr w:type="spellEnd"/>
      <w:r w:rsidR="003A66A5">
        <w:rPr>
          <w:rFonts w:cs="AdvCaeciliaRm"/>
        </w:rPr>
        <w:t xml:space="preserve"> fungicide doses</w:t>
      </w:r>
      <w:r w:rsidR="001D6992">
        <w:rPr>
          <w:rFonts w:cs="AdvCaeciliaRm"/>
        </w:rPr>
        <w:t xml:space="preserve"> (G0)</w:t>
      </w:r>
      <w:r w:rsidR="003A66A5">
        <w:rPr>
          <w:rFonts w:cs="AdvCaeciliaRm"/>
        </w:rPr>
        <w:t xml:space="preserve"> and after challenging with fungicides for 12 generations (G12) </w:t>
      </w:r>
      <w:r>
        <w:rPr>
          <w:rFonts w:cs="AdvCaeciliaRm"/>
        </w:rPr>
        <w:t>was</w:t>
      </w:r>
      <w:r w:rsidR="003A66A5">
        <w:rPr>
          <w:rFonts w:cs="AdvCaeciliaRm"/>
        </w:rPr>
        <w:t xml:space="preserve"> used to extract DNA.</w:t>
      </w:r>
      <w:r>
        <w:rPr>
          <w:rFonts w:cs="AdvCaeciliaRm"/>
        </w:rPr>
        <w:t xml:space="preserve"> A </w:t>
      </w:r>
      <w:proofErr w:type="spellStart"/>
      <w:r>
        <w:rPr>
          <w:rFonts w:cs="AdvCaeciliaRm"/>
        </w:rPr>
        <w:t>DNeasy</w:t>
      </w:r>
      <w:proofErr w:type="spellEnd"/>
      <w:r>
        <w:rPr>
          <w:rFonts w:cs="AdvCaeciliaRm"/>
        </w:rPr>
        <w:t xml:space="preserve"> Plant Mini Kit (</w:t>
      </w:r>
      <w:proofErr w:type="spellStart"/>
      <w:r>
        <w:rPr>
          <w:rFonts w:cs="AdvCaeciliaRm"/>
        </w:rPr>
        <w:t>Qiagen</w:t>
      </w:r>
      <w:proofErr w:type="spellEnd"/>
      <w:r>
        <w:rPr>
          <w:rFonts w:cs="AdvCaeciliaRm"/>
        </w:rPr>
        <w:t xml:space="preserve"> Inc., Valencia, CA) was employed for </w:t>
      </w:r>
      <w:r w:rsidR="00555508">
        <w:rPr>
          <w:rFonts w:cs="AdvCaeciliaRm"/>
        </w:rPr>
        <w:t>the DNA extraction</w:t>
      </w:r>
      <w:r>
        <w:rPr>
          <w:rFonts w:cs="AdvCaeciliaRm"/>
        </w:rPr>
        <w:t xml:space="preserve"> according to the manufacturer’s instructions</w:t>
      </w:r>
      <w:r w:rsidR="00555508">
        <w:rPr>
          <w:rFonts w:cs="AdvCaeciliaRm"/>
        </w:rPr>
        <w:t xml:space="preserve"> </w:t>
      </w:r>
      <w:r w:rsidR="001D6992">
        <w:rPr>
          <w:rFonts w:cs="AdvCaeciliaRm"/>
        </w:rPr>
        <w:t xml:space="preserve">and </w:t>
      </w:r>
      <w:r w:rsidR="00555508">
        <w:rPr>
          <w:rFonts w:cs="AdvCaeciliaRm"/>
        </w:rPr>
        <w:t>stored at -20° C for future use</w:t>
      </w:r>
      <w:r>
        <w:rPr>
          <w:rFonts w:cs="AdvCaeciliaRm"/>
        </w:rPr>
        <w:t xml:space="preserve">.  </w:t>
      </w:r>
      <w:r w:rsidR="00555508">
        <w:rPr>
          <w:rFonts w:cs="AdvCaeciliaRm"/>
        </w:rPr>
        <w:t xml:space="preserve">The G12 DNA included isolates that were continuously challenged with </w:t>
      </w:r>
      <w:proofErr w:type="spellStart"/>
      <w:r w:rsidR="00555508">
        <w:rPr>
          <w:rFonts w:cs="AdvCaeciliaRm"/>
        </w:rPr>
        <w:t>sublethal</w:t>
      </w:r>
      <w:proofErr w:type="spellEnd"/>
      <w:r w:rsidR="00555508">
        <w:rPr>
          <w:rFonts w:cs="AdvCaeciliaRm"/>
        </w:rPr>
        <w:t xml:space="preserve"> doses of fungicides as well as their control isolates which were only transferred 12 times but never exposed to fungicides.  </w:t>
      </w:r>
    </w:p>
    <w:p w:rsidR="006B4A8B" w:rsidRDefault="006B4A8B" w:rsidP="001C3856">
      <w:pPr>
        <w:autoSpaceDE w:val="0"/>
        <w:autoSpaceDN w:val="0"/>
        <w:adjustRightInd w:val="0"/>
        <w:spacing w:after="0" w:line="240" w:lineRule="auto"/>
        <w:rPr>
          <w:rFonts w:cs="AdvCaeciliaRm"/>
        </w:rPr>
      </w:pPr>
    </w:p>
    <w:p w:rsidR="006B4A8B" w:rsidRDefault="006B4A8B" w:rsidP="001C3856">
      <w:pPr>
        <w:autoSpaceDE w:val="0"/>
        <w:autoSpaceDN w:val="0"/>
        <w:adjustRightInd w:val="0"/>
        <w:spacing w:after="0" w:line="240" w:lineRule="auto"/>
        <w:rPr>
          <w:rFonts w:cs="AdvCaeciliaRm"/>
        </w:rPr>
      </w:pPr>
    </w:p>
    <w:p w:rsidR="008D4CC3" w:rsidRDefault="00170BCE" w:rsidP="00EF0247">
      <w:pPr>
        <w:autoSpaceDE w:val="0"/>
        <w:autoSpaceDN w:val="0"/>
        <w:adjustRightInd w:val="0"/>
        <w:spacing w:after="0" w:line="240" w:lineRule="auto"/>
        <w:rPr>
          <w:rFonts w:cs="AdvCaeciliaRm"/>
        </w:rPr>
      </w:pPr>
      <w:r>
        <w:rPr>
          <w:rFonts w:cs="AdvCaeciliaRm"/>
        </w:rPr>
        <w:t xml:space="preserve">Microsatellite </w:t>
      </w:r>
      <w:r w:rsidR="00F8797B">
        <w:rPr>
          <w:rFonts w:cs="AdvCaeciliaRm"/>
        </w:rPr>
        <w:t>analysis</w:t>
      </w:r>
      <w:r w:rsidR="00356598">
        <w:rPr>
          <w:rFonts w:cs="AdvCaeciliaRm"/>
        </w:rPr>
        <w:t xml:space="preserve">    </w:t>
      </w:r>
    </w:p>
    <w:p w:rsidR="00E8252B" w:rsidRDefault="00E8252B" w:rsidP="00E1600E">
      <w:pPr>
        <w:autoSpaceDE w:val="0"/>
        <w:autoSpaceDN w:val="0"/>
        <w:adjustRightInd w:val="0"/>
        <w:spacing w:after="0" w:line="240" w:lineRule="auto"/>
        <w:rPr>
          <w:rFonts w:cs="AdvCaeciliaRm"/>
        </w:rPr>
      </w:pPr>
    </w:p>
    <w:p w:rsidR="0059237F" w:rsidRPr="007B44BE" w:rsidRDefault="00E8252B" w:rsidP="007B44BE">
      <w:pPr>
        <w:autoSpaceDE w:val="0"/>
        <w:autoSpaceDN w:val="0"/>
        <w:adjustRightInd w:val="0"/>
        <w:spacing w:after="0" w:line="240" w:lineRule="auto"/>
        <w:rPr>
          <w:rFonts w:cs="AdvCaeciliaRm"/>
        </w:rPr>
      </w:pPr>
      <w:r>
        <w:rPr>
          <w:rFonts w:cs="AdvCaeciliaRm"/>
        </w:rPr>
        <w:lastRenderedPageBreak/>
        <w:t xml:space="preserve">In a previous study </w:t>
      </w:r>
      <w:r w:rsidR="00534B56">
        <w:rPr>
          <w:rFonts w:cs="AdvCaeciliaRm"/>
        </w:rPr>
        <w:t xml:space="preserve">we characterized </w:t>
      </w:r>
      <w:r w:rsidR="00555508">
        <w:rPr>
          <w:rFonts w:cs="AdvCaeciliaRm"/>
        </w:rPr>
        <w:t>more than 35</w:t>
      </w:r>
      <w:r w:rsidR="000E1229">
        <w:rPr>
          <w:rFonts w:cs="AdvCaeciliaRm"/>
        </w:rPr>
        <w:t xml:space="preserve">0 isolates of </w:t>
      </w:r>
      <w:r w:rsidR="000E1229" w:rsidRPr="00534B56">
        <w:rPr>
          <w:rFonts w:cs="AdvCaeciliaRm"/>
          <w:i/>
          <w:iCs/>
        </w:rPr>
        <w:t>S. sclerotiorum</w:t>
      </w:r>
      <w:r w:rsidR="00534B56">
        <w:rPr>
          <w:rFonts w:cs="AdvCaeciliaRm"/>
        </w:rPr>
        <w:t xml:space="preserve"> including the isolates </w:t>
      </w:r>
      <w:r w:rsidR="001C3856">
        <w:rPr>
          <w:rFonts w:cs="AdvCaeciliaRm"/>
        </w:rPr>
        <w:t xml:space="preserve">in this </w:t>
      </w:r>
      <w:r w:rsidR="00534B56">
        <w:rPr>
          <w:rFonts w:cs="AdvCaeciliaRm"/>
        </w:rPr>
        <w:t>study</w:t>
      </w:r>
      <w:r w:rsidR="000E1229">
        <w:rPr>
          <w:rFonts w:cs="AdvCaeciliaRm"/>
        </w:rPr>
        <w:t xml:space="preserve"> using </w:t>
      </w:r>
      <w:r>
        <w:rPr>
          <w:rFonts w:cs="AdvCaeciliaRm"/>
        </w:rPr>
        <w:t>16 microsatellite markers</w:t>
      </w:r>
      <w:r w:rsidR="00AD6F53">
        <w:rPr>
          <w:rFonts w:cs="AdvCaeciliaRm"/>
        </w:rPr>
        <w:t xml:space="preserve"> identified by </w:t>
      </w:r>
      <w:proofErr w:type="spellStart"/>
      <w:r w:rsidR="00AD6F53">
        <w:rPr>
          <w:rFonts w:cs="AdvCaeciliaRm"/>
        </w:rPr>
        <w:t>S</w:t>
      </w:r>
      <w:r>
        <w:rPr>
          <w:rFonts w:cs="AdvCaeciliaRm"/>
        </w:rPr>
        <w:t>irjusingh</w:t>
      </w:r>
      <w:proofErr w:type="spellEnd"/>
      <w:r w:rsidR="00AD6F53">
        <w:rPr>
          <w:rFonts w:cs="AdvCaeciliaRm"/>
        </w:rPr>
        <w:t xml:space="preserve"> and Kohn </w:t>
      </w:r>
      <w:r>
        <w:rPr>
          <w:rFonts w:cs="AdvCaeciliaRm"/>
        </w:rPr>
        <w:t>2001)</w:t>
      </w:r>
      <w:r w:rsidR="000E1229">
        <w:rPr>
          <w:rFonts w:cs="AdvCaeciliaRm"/>
        </w:rPr>
        <w:t xml:space="preserve">. The results </w:t>
      </w:r>
      <w:r w:rsidR="001C3856">
        <w:rPr>
          <w:rFonts w:cs="AdvCaeciliaRm"/>
        </w:rPr>
        <w:t xml:space="preserve">of </w:t>
      </w:r>
      <w:r w:rsidR="000E1229">
        <w:rPr>
          <w:rFonts w:cs="AdvCaeciliaRm"/>
        </w:rPr>
        <w:t>the</w:t>
      </w:r>
      <w:r w:rsidR="001C3856">
        <w:rPr>
          <w:rFonts w:cs="AdvCaeciliaRm"/>
        </w:rPr>
        <w:t xml:space="preserve"> analysis were</w:t>
      </w:r>
      <w:r w:rsidR="000E1229">
        <w:rPr>
          <w:rFonts w:cs="AdvCaeciliaRm"/>
        </w:rPr>
        <w:t xml:space="preserve"> used to select 6 microsatellite markers </w:t>
      </w:r>
      <w:r w:rsidR="00534B56">
        <w:rPr>
          <w:rFonts w:cs="AdvCaeciliaRm"/>
        </w:rPr>
        <w:t>that showed polymorphism with unambiguous repeat lengths</w:t>
      </w:r>
      <w:r w:rsidR="000E1229">
        <w:rPr>
          <w:rFonts w:cs="AdvCaeciliaRm"/>
        </w:rPr>
        <w:t xml:space="preserve">. The </w:t>
      </w:r>
      <w:r w:rsidR="001C3856">
        <w:rPr>
          <w:rFonts w:cs="AdvCaeciliaRm"/>
        </w:rPr>
        <w:t xml:space="preserve">selected </w:t>
      </w:r>
      <w:r w:rsidR="000E1229">
        <w:rPr>
          <w:rFonts w:cs="AdvCaeciliaRm"/>
        </w:rPr>
        <w:t>markers were namely, 6-2, 17-3, 20-3, 55-4, 110-4, 114-4</w:t>
      </w:r>
      <w:r w:rsidR="00534B56">
        <w:rPr>
          <w:rFonts w:cs="AdvCaeciliaRm"/>
        </w:rPr>
        <w:t xml:space="preserve"> (</w:t>
      </w:r>
      <w:proofErr w:type="spellStart"/>
      <w:r w:rsidR="00534B56">
        <w:rPr>
          <w:rFonts w:cs="AdvCaeciliaRm"/>
        </w:rPr>
        <w:t>Sirjusingh</w:t>
      </w:r>
      <w:proofErr w:type="spellEnd"/>
      <w:r w:rsidR="00534B56">
        <w:rPr>
          <w:rFonts w:cs="AdvCaeciliaRm"/>
        </w:rPr>
        <w:t xml:space="preserve"> and Kohn 2001)</w:t>
      </w:r>
      <w:r w:rsidR="000E1229">
        <w:rPr>
          <w:rFonts w:cs="AdvCaeciliaRm"/>
        </w:rPr>
        <w:t>.</w:t>
      </w:r>
      <w:r w:rsidR="00534B56">
        <w:rPr>
          <w:rFonts w:cs="AdvCaeciliaRm"/>
        </w:rPr>
        <w:t xml:space="preserve"> </w:t>
      </w:r>
      <w:r w:rsidR="00C41800" w:rsidRPr="007B44BE">
        <w:rPr>
          <w:rFonts w:cs="AdvCaeciliaRm"/>
        </w:rPr>
        <w:t xml:space="preserve">Polymerase chain reaction (PCR) was carried out as described by </w:t>
      </w:r>
      <w:proofErr w:type="spellStart"/>
      <w:r w:rsidR="00C41800" w:rsidRPr="007B44BE">
        <w:rPr>
          <w:rFonts w:cs="AdvCaeciliaRm"/>
        </w:rPr>
        <w:t>Sirjusingh</w:t>
      </w:r>
      <w:proofErr w:type="spellEnd"/>
      <w:r w:rsidR="00C41800" w:rsidRPr="007B44BE">
        <w:rPr>
          <w:rFonts w:cs="AdvCaeciliaRm"/>
        </w:rPr>
        <w:t xml:space="preserve"> and Kohn (2001) using primers labeled with FAM </w:t>
      </w:r>
      <w:proofErr w:type="spellStart"/>
      <w:r w:rsidR="00C41800" w:rsidRPr="007B44BE">
        <w:rPr>
          <w:rFonts w:cs="AdvCaeciliaRm"/>
        </w:rPr>
        <w:t>fluoropore</w:t>
      </w:r>
      <w:proofErr w:type="spellEnd"/>
      <w:r w:rsidR="00E5337C" w:rsidRPr="007B44BE">
        <w:rPr>
          <w:rFonts w:cs="AdvCaeciliaRm"/>
        </w:rPr>
        <w:t xml:space="preserve">. </w:t>
      </w:r>
      <w:r w:rsidR="007B44BE" w:rsidRPr="007B44BE">
        <w:rPr>
          <w:rFonts w:cs="AdvCaeciliaRm"/>
        </w:rPr>
        <w:t xml:space="preserve">The </w:t>
      </w:r>
      <w:r w:rsidR="00C41800" w:rsidRPr="007B44BE">
        <w:rPr>
          <w:rFonts w:cs="AdvCaeciliaRm"/>
        </w:rPr>
        <w:t>PCR products were first resolved in a 1.5% agarose gel stained with ethidium bromide to ensure product was within the expected size range. Capillary fragment analysis of PCR products adde</w:t>
      </w:r>
      <w:r w:rsidR="007B44BE" w:rsidRPr="007B44BE">
        <w:rPr>
          <w:rFonts w:cs="AdvCaeciliaRm"/>
        </w:rPr>
        <w:t xml:space="preserve">d with size standard </w:t>
      </w:r>
      <w:proofErr w:type="spellStart"/>
      <w:r w:rsidR="007B44BE" w:rsidRPr="007B44BE">
        <w:rPr>
          <w:rFonts w:cs="AdvCaeciliaRm"/>
        </w:rPr>
        <w:t>GeneScan</w:t>
      </w:r>
      <w:proofErr w:type="spellEnd"/>
      <w:r w:rsidR="007B44BE" w:rsidRPr="007B44BE">
        <w:rPr>
          <w:rFonts w:cs="AdvCaeciliaRm"/>
        </w:rPr>
        <w:t>™ 6</w:t>
      </w:r>
      <w:r w:rsidR="00C41800" w:rsidRPr="007B44BE">
        <w:rPr>
          <w:rFonts w:cs="AdvCaeciliaRm"/>
        </w:rPr>
        <w:t>00 LIZ® was performed using a 3730 genetic analyzer (</w:t>
      </w:r>
      <w:r w:rsidR="007B683C" w:rsidRPr="00077E4D">
        <w:rPr>
          <w:rFonts w:cstheme="minorHAnsi"/>
        </w:rPr>
        <w:t>Applied Biosystems Inc.,</w:t>
      </w:r>
      <w:r w:rsidR="007B683C" w:rsidRPr="00077E4D">
        <w:t xml:space="preserve"> Foster City, CA</w:t>
      </w:r>
      <w:r w:rsidR="00C41800" w:rsidRPr="007B44BE">
        <w:rPr>
          <w:rFonts w:cs="AdvCaeciliaRm"/>
        </w:rPr>
        <w:t xml:space="preserve">) at the </w:t>
      </w:r>
      <w:r w:rsidR="007B44BE" w:rsidRPr="007B44BE">
        <w:rPr>
          <w:rFonts w:cs="AdvCaeciliaRm"/>
        </w:rPr>
        <w:t>Ohio State University Plant-Microbe Genomics Facility</w:t>
      </w:r>
      <w:r w:rsidR="00C41800" w:rsidRPr="007B44BE">
        <w:rPr>
          <w:rFonts w:cs="AdvCaeciliaRm"/>
        </w:rPr>
        <w:t>.</w:t>
      </w:r>
      <w:r w:rsidR="009E1C09">
        <w:rPr>
          <w:rFonts w:cs="AdvCaeciliaRm"/>
        </w:rPr>
        <w:t xml:space="preserve"> Microsatellite analysis was carried for all isolates of both experiments </w:t>
      </w:r>
      <w:r w:rsidR="0069459C">
        <w:rPr>
          <w:rFonts w:cs="AdvCaeciliaRm"/>
        </w:rPr>
        <w:t xml:space="preserve">except for the irregular ones described above. </w:t>
      </w:r>
    </w:p>
    <w:p w:rsidR="0059237F" w:rsidRDefault="0059237F" w:rsidP="00E1600E">
      <w:pPr>
        <w:autoSpaceDE w:val="0"/>
        <w:autoSpaceDN w:val="0"/>
        <w:adjustRightInd w:val="0"/>
        <w:spacing w:after="0" w:line="240" w:lineRule="auto"/>
        <w:rPr>
          <w:rFonts w:cs="AdvCaeciliaRm"/>
        </w:rPr>
      </w:pPr>
    </w:p>
    <w:p w:rsidR="006D7A4E" w:rsidRDefault="000023BE" w:rsidP="00E1600E">
      <w:pPr>
        <w:autoSpaceDE w:val="0"/>
        <w:autoSpaceDN w:val="0"/>
        <w:adjustRightInd w:val="0"/>
        <w:spacing w:after="0" w:line="240" w:lineRule="auto"/>
        <w:rPr>
          <w:rFonts w:cs="AdvCaeciliaRm"/>
        </w:rPr>
      </w:pPr>
      <w:r>
        <w:rPr>
          <w:rFonts w:cs="AdvCaeciliaRm"/>
        </w:rPr>
        <w:t>AFLP analysis</w:t>
      </w:r>
      <w:r w:rsidR="00E1600E">
        <w:rPr>
          <w:rFonts w:cs="AdvCaeciliaRm"/>
        </w:rPr>
        <w:t xml:space="preserve">  </w:t>
      </w:r>
      <w:r w:rsidR="00CB3F14">
        <w:rPr>
          <w:rFonts w:cs="AdvCaeciliaRm"/>
        </w:rPr>
        <w:t xml:space="preserve"> </w:t>
      </w:r>
      <w:r w:rsidR="009B44EF">
        <w:rPr>
          <w:rFonts w:cs="AdvCaeciliaRm"/>
        </w:rPr>
        <w:t xml:space="preserve"> </w:t>
      </w:r>
    </w:p>
    <w:p w:rsidR="009E1C09" w:rsidRDefault="002A3C6E" w:rsidP="007F7B33">
      <w:pPr>
        <w:autoSpaceDE w:val="0"/>
        <w:autoSpaceDN w:val="0"/>
        <w:adjustRightInd w:val="0"/>
        <w:spacing w:after="0" w:line="240" w:lineRule="auto"/>
        <w:rPr>
          <w:rFonts w:cs="AdvCaeciliaRm"/>
        </w:rPr>
      </w:pPr>
      <w:r>
        <w:rPr>
          <w:rFonts w:cs="AdvCaeciliaRm"/>
        </w:rPr>
        <w:t xml:space="preserve">Initially </w:t>
      </w:r>
      <w:r w:rsidR="009D2B29">
        <w:rPr>
          <w:rFonts w:cs="AdvCaeciliaRm"/>
        </w:rPr>
        <w:t>12 primer</w:t>
      </w:r>
      <w:r w:rsidR="00B042F6">
        <w:rPr>
          <w:rFonts w:cs="AdvCaeciliaRm"/>
        </w:rPr>
        <w:t xml:space="preserve"> pairs </w:t>
      </w:r>
      <w:r>
        <w:rPr>
          <w:rFonts w:cs="AdvCaeciliaRm"/>
        </w:rPr>
        <w:t xml:space="preserve">were tested with </w:t>
      </w:r>
      <w:r w:rsidR="00B042F6">
        <w:rPr>
          <w:rFonts w:cs="AdvCaeciliaRm"/>
        </w:rPr>
        <w:t xml:space="preserve">four </w:t>
      </w:r>
      <w:r w:rsidR="00FB10C5">
        <w:rPr>
          <w:rFonts w:cs="AdvCaeciliaRm"/>
        </w:rPr>
        <w:t xml:space="preserve">representative </w:t>
      </w:r>
      <w:r w:rsidR="00B042F6" w:rsidRPr="00FB10C5">
        <w:rPr>
          <w:rFonts w:cs="AdvCaeciliaRm"/>
          <w:i/>
        </w:rPr>
        <w:t>Sclerotinia</w:t>
      </w:r>
      <w:r w:rsidR="00B042F6">
        <w:rPr>
          <w:rFonts w:cs="AdvCaeciliaRm"/>
        </w:rPr>
        <w:t xml:space="preserve"> isolates and </w:t>
      </w:r>
      <w:r>
        <w:rPr>
          <w:rFonts w:cs="AdvCaeciliaRm"/>
        </w:rPr>
        <w:t>t</w:t>
      </w:r>
      <w:r w:rsidR="00B042F6">
        <w:rPr>
          <w:rFonts w:cs="AdvCaeciliaRm"/>
        </w:rPr>
        <w:t xml:space="preserve">hree </w:t>
      </w:r>
      <w:r w:rsidR="00FB10C5">
        <w:rPr>
          <w:rFonts w:cs="AdvCaeciliaRm"/>
        </w:rPr>
        <w:t xml:space="preserve">promising </w:t>
      </w:r>
      <w:r w:rsidR="00B042F6">
        <w:rPr>
          <w:rFonts w:cs="AdvCaeciliaRm"/>
        </w:rPr>
        <w:t>primers</w:t>
      </w:r>
      <w:r>
        <w:rPr>
          <w:rFonts w:cs="AdvCaeciliaRm"/>
        </w:rPr>
        <w:t xml:space="preserve"> </w:t>
      </w:r>
      <w:r w:rsidR="00FB10C5">
        <w:rPr>
          <w:rFonts w:cs="AdvCaeciliaRm"/>
        </w:rPr>
        <w:t>which produced clear and relatively higher number of fragments</w:t>
      </w:r>
      <w:r>
        <w:rPr>
          <w:rFonts w:cs="AdvCaeciliaRm"/>
        </w:rPr>
        <w:t xml:space="preserve"> were selected</w:t>
      </w:r>
      <w:r w:rsidR="005634CB">
        <w:rPr>
          <w:rFonts w:cs="AdvCaeciliaRm"/>
        </w:rPr>
        <w:t xml:space="preserve"> for the analysis</w:t>
      </w:r>
      <w:r w:rsidR="00FB10C5">
        <w:rPr>
          <w:rFonts w:cs="AdvCaeciliaRm"/>
        </w:rPr>
        <w:t xml:space="preserve">. </w:t>
      </w:r>
      <w:r w:rsidR="009E1C09">
        <w:rPr>
          <w:rFonts w:cs="AdvCaeciliaRm"/>
        </w:rPr>
        <w:t>We characterized 32 isolates</w:t>
      </w:r>
      <w:r w:rsidR="00744398">
        <w:rPr>
          <w:rFonts w:cs="AdvCaeciliaRm"/>
        </w:rPr>
        <w:t xml:space="preserve"> of </w:t>
      </w:r>
      <w:r w:rsidR="00744398" w:rsidRPr="00744398">
        <w:rPr>
          <w:rFonts w:cs="AdvCaeciliaRm"/>
          <w:i/>
        </w:rPr>
        <w:t>Sclerotinia</w:t>
      </w:r>
      <w:r w:rsidR="009E1C09">
        <w:rPr>
          <w:rFonts w:cs="AdvCaeciliaRm"/>
        </w:rPr>
        <w:t xml:space="preserve"> to investigate molecular differences between fungicide challenged </w:t>
      </w:r>
      <w:r w:rsidR="00744398">
        <w:rPr>
          <w:rFonts w:cs="AdvCaeciliaRm"/>
        </w:rPr>
        <w:t>and unchallenged control isolates</w:t>
      </w:r>
      <w:r w:rsidR="009E1C09">
        <w:rPr>
          <w:rFonts w:cs="AdvCaeciliaRm"/>
        </w:rPr>
        <w:t xml:space="preserve">. </w:t>
      </w:r>
      <w:r>
        <w:rPr>
          <w:rFonts w:cs="AdvCaeciliaRm"/>
        </w:rPr>
        <w:t xml:space="preserve">These isolates included all </w:t>
      </w:r>
      <w:r w:rsidR="00FB4D39">
        <w:rPr>
          <w:rFonts w:cs="AdvCaeciliaRm"/>
        </w:rPr>
        <w:t xml:space="preserve">survived </w:t>
      </w:r>
      <w:r>
        <w:rPr>
          <w:rFonts w:cs="AdvCaeciliaRm"/>
        </w:rPr>
        <w:t>controls (G0 and G12) from Exp1 an</w:t>
      </w:r>
      <w:r w:rsidR="009106A0">
        <w:rPr>
          <w:rFonts w:cs="AdvCaeciliaRm"/>
        </w:rPr>
        <w:t xml:space="preserve">d </w:t>
      </w:r>
      <w:r w:rsidR="00361C8D">
        <w:rPr>
          <w:rFonts w:cs="AdvCaeciliaRm"/>
        </w:rPr>
        <w:t>ten</w:t>
      </w:r>
      <w:r w:rsidR="009106A0">
        <w:rPr>
          <w:rFonts w:cs="AdvCaeciliaRm"/>
        </w:rPr>
        <w:t xml:space="preserve"> TM exposed isolates</w:t>
      </w:r>
      <w:r w:rsidR="00F8797B">
        <w:rPr>
          <w:rFonts w:cs="AdvCaeciliaRm"/>
        </w:rPr>
        <w:t xml:space="preserve"> from both Exp1 and Exp2</w:t>
      </w:r>
      <w:r w:rsidR="009106A0">
        <w:rPr>
          <w:rFonts w:cs="AdvCaeciliaRm"/>
        </w:rPr>
        <w:t xml:space="preserve">: </w:t>
      </w:r>
      <w:r>
        <w:rPr>
          <w:rFonts w:cs="AdvCaeciliaRm"/>
        </w:rPr>
        <w:t xml:space="preserve"> </w:t>
      </w:r>
      <w:r w:rsidR="00F8797B" w:rsidRPr="00F8797B">
        <w:rPr>
          <w:rFonts w:cs="AdvCaeciliaRm"/>
        </w:rPr>
        <w:t>TM_152</w:t>
      </w:r>
      <w:r w:rsidR="00EE559F">
        <w:rPr>
          <w:rFonts w:cs="AdvCaeciliaRm"/>
        </w:rPr>
        <w:t>_</w:t>
      </w:r>
      <w:r w:rsidR="00EE559F" w:rsidRPr="00EE559F">
        <w:rPr>
          <w:rFonts w:cs="AdvCaeciliaRm"/>
        </w:rPr>
        <w:t xml:space="preserve"> </w:t>
      </w:r>
      <w:r w:rsidR="007B683C">
        <w:rPr>
          <w:rFonts w:cs="AdvCaeciliaRm"/>
        </w:rPr>
        <w:t>Exp1</w:t>
      </w:r>
      <w:r w:rsidR="00F8797B" w:rsidRPr="00F8797B">
        <w:rPr>
          <w:rFonts w:cs="AdvCaeciliaRm"/>
        </w:rPr>
        <w:t>, TM_462</w:t>
      </w:r>
      <w:r w:rsidR="007B683C">
        <w:rPr>
          <w:rFonts w:cs="AdvCaeciliaRm"/>
        </w:rPr>
        <w:t>_</w:t>
      </w:r>
      <w:r w:rsidR="007B683C" w:rsidRPr="00EE559F">
        <w:rPr>
          <w:rFonts w:cs="AdvCaeciliaRm"/>
        </w:rPr>
        <w:t xml:space="preserve"> </w:t>
      </w:r>
      <w:r w:rsidR="007B683C">
        <w:rPr>
          <w:rFonts w:cs="AdvCaeciliaRm"/>
        </w:rPr>
        <w:t>Exp1</w:t>
      </w:r>
      <w:r w:rsidR="00F8797B" w:rsidRPr="00F8797B">
        <w:rPr>
          <w:rFonts w:cs="AdvCaeciliaRm"/>
        </w:rPr>
        <w:t>, TM_555</w:t>
      </w:r>
      <w:r w:rsidR="007B683C">
        <w:rPr>
          <w:rFonts w:cs="AdvCaeciliaRm"/>
        </w:rPr>
        <w:t>_</w:t>
      </w:r>
      <w:r w:rsidR="007B683C" w:rsidRPr="00EE559F">
        <w:rPr>
          <w:rFonts w:cs="AdvCaeciliaRm"/>
        </w:rPr>
        <w:t xml:space="preserve"> </w:t>
      </w:r>
      <w:r w:rsidR="007B683C">
        <w:rPr>
          <w:rFonts w:cs="AdvCaeciliaRm"/>
        </w:rPr>
        <w:t>Exp1</w:t>
      </w:r>
      <w:r w:rsidR="00F8797B" w:rsidRPr="00F8797B">
        <w:rPr>
          <w:rFonts w:cs="AdvCaeciliaRm"/>
        </w:rPr>
        <w:t>, TM_588</w:t>
      </w:r>
      <w:r w:rsidR="007B683C">
        <w:rPr>
          <w:rFonts w:cs="AdvCaeciliaRm"/>
        </w:rPr>
        <w:t>_</w:t>
      </w:r>
      <w:r w:rsidR="007B683C" w:rsidRPr="00EE559F">
        <w:rPr>
          <w:rFonts w:cs="AdvCaeciliaRm"/>
        </w:rPr>
        <w:t xml:space="preserve"> </w:t>
      </w:r>
      <w:r w:rsidR="007B683C">
        <w:rPr>
          <w:rFonts w:cs="AdvCaeciliaRm"/>
        </w:rPr>
        <w:t>Exp1</w:t>
      </w:r>
      <w:r w:rsidR="00F8797B" w:rsidRPr="00F8797B">
        <w:rPr>
          <w:rFonts w:cs="AdvCaeciliaRm"/>
        </w:rPr>
        <w:t>, TM_646</w:t>
      </w:r>
      <w:r w:rsidR="007B683C">
        <w:rPr>
          <w:rFonts w:cs="AdvCaeciliaRm"/>
        </w:rPr>
        <w:t>_</w:t>
      </w:r>
      <w:r w:rsidR="007B683C" w:rsidRPr="00EE559F">
        <w:rPr>
          <w:rFonts w:cs="AdvCaeciliaRm"/>
        </w:rPr>
        <w:t xml:space="preserve"> </w:t>
      </w:r>
      <w:r w:rsidR="007B683C">
        <w:rPr>
          <w:rFonts w:cs="AdvCaeciliaRm"/>
        </w:rPr>
        <w:t>Exp1</w:t>
      </w:r>
      <w:r w:rsidR="00F8797B" w:rsidRPr="00F8797B">
        <w:rPr>
          <w:rFonts w:cs="AdvCaeciliaRm"/>
        </w:rPr>
        <w:t>, TM_152</w:t>
      </w:r>
      <w:r w:rsidR="007B683C">
        <w:rPr>
          <w:rFonts w:cs="AdvCaeciliaRm"/>
        </w:rPr>
        <w:t>_</w:t>
      </w:r>
      <w:r w:rsidR="007B683C" w:rsidRPr="007B683C">
        <w:rPr>
          <w:rFonts w:cs="AdvCaeciliaRm"/>
        </w:rPr>
        <w:t xml:space="preserve"> </w:t>
      </w:r>
      <w:r w:rsidR="007B683C">
        <w:rPr>
          <w:rFonts w:cs="AdvCaeciliaRm"/>
        </w:rPr>
        <w:t>Exp2</w:t>
      </w:r>
      <w:r w:rsidR="00F8797B" w:rsidRPr="00F8797B">
        <w:rPr>
          <w:rFonts w:cs="AdvCaeciliaRm"/>
        </w:rPr>
        <w:t>, TM_467</w:t>
      </w:r>
      <w:r w:rsidR="007B683C">
        <w:rPr>
          <w:rFonts w:cs="AdvCaeciliaRm"/>
        </w:rPr>
        <w:t>_</w:t>
      </w:r>
      <w:r w:rsidR="007B683C" w:rsidRPr="007B683C">
        <w:rPr>
          <w:rFonts w:cs="AdvCaeciliaRm"/>
        </w:rPr>
        <w:t xml:space="preserve"> </w:t>
      </w:r>
      <w:r w:rsidR="007B683C">
        <w:rPr>
          <w:rFonts w:cs="AdvCaeciliaRm"/>
        </w:rPr>
        <w:t>Exp2</w:t>
      </w:r>
      <w:r w:rsidR="00F8797B" w:rsidRPr="00F8797B">
        <w:rPr>
          <w:rFonts w:cs="AdvCaeciliaRm"/>
        </w:rPr>
        <w:t xml:space="preserve">, </w:t>
      </w:r>
      <w:r w:rsidR="00F8797B">
        <w:rPr>
          <w:rFonts w:cs="AdvCaeciliaRm"/>
        </w:rPr>
        <w:t xml:space="preserve">and </w:t>
      </w:r>
      <w:r w:rsidR="00F8797B" w:rsidRPr="00F8797B">
        <w:rPr>
          <w:rFonts w:cs="AdvCaeciliaRm"/>
        </w:rPr>
        <w:t>TM_555</w:t>
      </w:r>
      <w:r w:rsidR="007B683C">
        <w:rPr>
          <w:rFonts w:cs="AdvCaeciliaRm"/>
        </w:rPr>
        <w:t>_</w:t>
      </w:r>
      <w:r w:rsidR="007B683C" w:rsidRPr="007B683C">
        <w:rPr>
          <w:rFonts w:cs="AdvCaeciliaRm"/>
        </w:rPr>
        <w:t xml:space="preserve"> </w:t>
      </w:r>
      <w:r w:rsidR="007B683C">
        <w:rPr>
          <w:rFonts w:cs="AdvCaeciliaRm"/>
        </w:rPr>
        <w:t>Exp2</w:t>
      </w:r>
      <w:r w:rsidR="00F8797B" w:rsidRPr="00F8797B">
        <w:rPr>
          <w:rFonts w:cs="AdvCaeciliaRm"/>
        </w:rPr>
        <w:t>, TM_646</w:t>
      </w:r>
      <w:r w:rsidR="007B683C">
        <w:rPr>
          <w:rFonts w:cs="AdvCaeciliaRm"/>
        </w:rPr>
        <w:t>_</w:t>
      </w:r>
      <w:r w:rsidR="007B683C" w:rsidRPr="007B683C">
        <w:rPr>
          <w:rFonts w:cs="AdvCaeciliaRm"/>
        </w:rPr>
        <w:t xml:space="preserve"> </w:t>
      </w:r>
      <w:r w:rsidR="007B683C">
        <w:rPr>
          <w:rFonts w:cs="AdvCaeciliaRm"/>
        </w:rPr>
        <w:t>Exp2</w:t>
      </w:r>
      <w:r w:rsidR="00F8797B">
        <w:rPr>
          <w:rFonts w:cs="AdvCaeciliaRm"/>
        </w:rPr>
        <w:t>, and TM_655</w:t>
      </w:r>
      <w:r w:rsidR="007B683C">
        <w:rPr>
          <w:rFonts w:cs="AdvCaeciliaRm"/>
        </w:rPr>
        <w:t>_</w:t>
      </w:r>
      <w:r w:rsidR="007B683C" w:rsidRPr="007B683C">
        <w:rPr>
          <w:rFonts w:cs="AdvCaeciliaRm"/>
        </w:rPr>
        <w:t xml:space="preserve"> </w:t>
      </w:r>
      <w:r w:rsidR="007B683C">
        <w:rPr>
          <w:rFonts w:cs="AdvCaeciliaRm"/>
        </w:rPr>
        <w:t>Exp2</w:t>
      </w:r>
      <w:r w:rsidR="00F8797B">
        <w:rPr>
          <w:rFonts w:cs="AdvCaeciliaRm"/>
        </w:rPr>
        <w:t xml:space="preserve">. Another seven isolates exposed </w:t>
      </w:r>
      <w:r w:rsidR="00361C8D">
        <w:rPr>
          <w:rFonts w:cs="AdvCaeciliaRm"/>
        </w:rPr>
        <w:t xml:space="preserve">to </w:t>
      </w:r>
      <w:r w:rsidR="007B683C">
        <w:rPr>
          <w:rFonts w:cs="AdvCaeciliaRm"/>
        </w:rPr>
        <w:t>rest of the</w:t>
      </w:r>
      <w:r w:rsidR="00361C8D">
        <w:rPr>
          <w:rFonts w:cs="AdvCaeciliaRm"/>
        </w:rPr>
        <w:t xml:space="preserve"> </w:t>
      </w:r>
      <w:r w:rsidR="00F8797B">
        <w:rPr>
          <w:rFonts w:cs="AdvCaeciliaRm"/>
        </w:rPr>
        <w:t xml:space="preserve">four fungicides were also included in the analysis. They were </w:t>
      </w:r>
      <w:r w:rsidR="00F8797B" w:rsidRPr="00F8797B">
        <w:rPr>
          <w:rFonts w:cs="AdvCaeciliaRm"/>
        </w:rPr>
        <w:t>Az_646</w:t>
      </w:r>
      <w:r w:rsidR="007B683C">
        <w:rPr>
          <w:rFonts w:cs="AdvCaeciliaRm"/>
        </w:rPr>
        <w:t>_Exp1</w:t>
      </w:r>
      <w:r w:rsidR="00F8797B" w:rsidRPr="00F8797B">
        <w:rPr>
          <w:rFonts w:cs="AdvCaeciliaRm"/>
        </w:rPr>
        <w:t>, Bos_555</w:t>
      </w:r>
      <w:r w:rsidR="007B683C">
        <w:rPr>
          <w:rFonts w:cs="AdvCaeciliaRm"/>
        </w:rPr>
        <w:t>_Exp1</w:t>
      </w:r>
      <w:r w:rsidR="00F8797B" w:rsidRPr="00F8797B">
        <w:rPr>
          <w:rFonts w:cs="AdvCaeciliaRm"/>
        </w:rPr>
        <w:t>, Bos_646</w:t>
      </w:r>
      <w:r w:rsidR="007B683C">
        <w:rPr>
          <w:rFonts w:cs="AdvCaeciliaRm"/>
        </w:rPr>
        <w:t>_Exp1</w:t>
      </w:r>
      <w:r w:rsidR="00F8797B" w:rsidRPr="00F8797B">
        <w:rPr>
          <w:rFonts w:cs="AdvCaeciliaRm"/>
        </w:rPr>
        <w:t xml:space="preserve">, </w:t>
      </w:r>
      <w:r w:rsidR="007B683C">
        <w:rPr>
          <w:rFonts w:cs="AdvCaeciliaRm"/>
        </w:rPr>
        <w:t>I</w:t>
      </w:r>
      <w:r w:rsidR="00F8797B" w:rsidRPr="00F8797B">
        <w:rPr>
          <w:rFonts w:cs="AdvCaeciliaRm"/>
        </w:rPr>
        <w:t>p_467</w:t>
      </w:r>
      <w:r w:rsidR="007B683C">
        <w:rPr>
          <w:rFonts w:cs="AdvCaeciliaRm"/>
        </w:rPr>
        <w:t>_Exp1</w:t>
      </w:r>
      <w:r w:rsidR="00F8797B" w:rsidRPr="00F8797B">
        <w:rPr>
          <w:rFonts w:cs="AdvCaeciliaRm"/>
        </w:rPr>
        <w:t>, Ip_594</w:t>
      </w:r>
      <w:r w:rsidR="007B683C">
        <w:rPr>
          <w:rFonts w:cs="AdvCaeciliaRm"/>
        </w:rPr>
        <w:t>_Exp1</w:t>
      </w:r>
      <w:r w:rsidR="00F8797B" w:rsidRPr="00F8797B">
        <w:rPr>
          <w:rFonts w:cs="AdvCaeciliaRm"/>
        </w:rPr>
        <w:t>, Py_588</w:t>
      </w:r>
      <w:r w:rsidR="007B683C">
        <w:rPr>
          <w:rFonts w:cs="AdvCaeciliaRm"/>
        </w:rPr>
        <w:t>_Exp1</w:t>
      </w:r>
      <w:r w:rsidR="00F8797B" w:rsidRPr="00F8797B">
        <w:rPr>
          <w:rFonts w:cs="AdvCaeciliaRm"/>
        </w:rPr>
        <w:t xml:space="preserve">, </w:t>
      </w:r>
      <w:r w:rsidR="00F8797B">
        <w:rPr>
          <w:rFonts w:cs="AdvCaeciliaRm"/>
        </w:rPr>
        <w:t xml:space="preserve">and </w:t>
      </w:r>
      <w:r w:rsidR="00F8797B" w:rsidRPr="00F8797B">
        <w:rPr>
          <w:rFonts w:cs="AdvCaeciliaRm"/>
        </w:rPr>
        <w:t>Py_594</w:t>
      </w:r>
      <w:r w:rsidR="007B683C">
        <w:rPr>
          <w:rFonts w:cs="AdvCaeciliaRm"/>
        </w:rPr>
        <w:t>_Exp1</w:t>
      </w:r>
      <w:r w:rsidR="00F8797B">
        <w:rPr>
          <w:rFonts w:cs="AdvCaeciliaRm"/>
        </w:rPr>
        <w:t xml:space="preserve">. </w:t>
      </w:r>
      <w:r w:rsidR="007F7B33">
        <w:rPr>
          <w:rFonts w:cs="AdvCaeciliaRm"/>
        </w:rPr>
        <w:t xml:space="preserve">Most of these seven isolates showed at least one mutation for the microsatellite loci characterized. </w:t>
      </w:r>
    </w:p>
    <w:p w:rsidR="00C4465B" w:rsidRDefault="00C4465B" w:rsidP="00786B2A">
      <w:pPr>
        <w:autoSpaceDE w:val="0"/>
        <w:autoSpaceDN w:val="0"/>
        <w:adjustRightInd w:val="0"/>
        <w:spacing w:after="0" w:line="240" w:lineRule="auto"/>
        <w:rPr>
          <w:rFonts w:cs="AdvCaeciliaRm"/>
        </w:rPr>
      </w:pPr>
    </w:p>
    <w:p w:rsidR="00C4465B" w:rsidRPr="00077E4D" w:rsidRDefault="00C4465B" w:rsidP="00715C4B">
      <w:pPr>
        <w:autoSpaceDE w:val="0"/>
        <w:autoSpaceDN w:val="0"/>
        <w:adjustRightInd w:val="0"/>
        <w:spacing w:after="0" w:line="240" w:lineRule="auto"/>
        <w:rPr>
          <w:rFonts w:cstheme="minorHAnsi"/>
        </w:rPr>
      </w:pPr>
      <w:r w:rsidRPr="00077E4D">
        <w:rPr>
          <w:rFonts w:cs="AdvCaeciliaRm"/>
        </w:rPr>
        <w:t xml:space="preserve">AFLP was carried out based on the method described by </w:t>
      </w:r>
      <w:proofErr w:type="spellStart"/>
      <w:r w:rsidRPr="00077E4D">
        <w:rPr>
          <w:rFonts w:cs="AdvCaeciliaRm"/>
        </w:rPr>
        <w:t>Vos</w:t>
      </w:r>
      <w:proofErr w:type="spellEnd"/>
      <w:r w:rsidRPr="00077E4D">
        <w:rPr>
          <w:rFonts w:cs="AdvCaeciliaRm"/>
        </w:rPr>
        <w:t xml:space="preserve"> et al (</w:t>
      </w:r>
      <w:proofErr w:type="spellStart"/>
      <w:r w:rsidRPr="00077E4D">
        <w:rPr>
          <w:rFonts w:cs="AdvCaeciliaRm"/>
        </w:rPr>
        <w:t>Vos</w:t>
      </w:r>
      <w:proofErr w:type="spellEnd"/>
      <w:r w:rsidRPr="00077E4D">
        <w:rPr>
          <w:rFonts w:cs="AdvCaeciliaRm"/>
        </w:rPr>
        <w:t xml:space="preserve"> and others 1995) with the following minor modifications. </w:t>
      </w:r>
      <w:r w:rsidRPr="00077E4D">
        <w:rPr>
          <w:rFonts w:cstheme="minorHAnsi"/>
        </w:rPr>
        <w:t xml:space="preserve">AFLP® Core Reagent Kit </w:t>
      </w:r>
      <w:r w:rsidR="00087498" w:rsidRPr="00077E4D">
        <w:rPr>
          <w:rFonts w:cstheme="minorHAnsi"/>
        </w:rPr>
        <w:t>(</w:t>
      </w:r>
      <w:r w:rsidR="00361C8D" w:rsidRPr="00077E4D">
        <w:rPr>
          <w:rFonts w:cstheme="minorHAnsi"/>
        </w:rPr>
        <w:t xml:space="preserve">Invitrogen™, </w:t>
      </w:r>
      <w:r w:rsidR="00087498" w:rsidRPr="00077E4D">
        <w:rPr>
          <w:rFonts w:cstheme="minorHAnsi"/>
        </w:rPr>
        <w:t>Carlsbad, California</w:t>
      </w:r>
      <w:r w:rsidR="00034032" w:rsidRPr="00077E4D">
        <w:rPr>
          <w:rFonts w:cstheme="minorHAnsi"/>
        </w:rPr>
        <w:t>)</w:t>
      </w:r>
      <w:r w:rsidR="00087498" w:rsidRPr="00077E4D">
        <w:rPr>
          <w:rFonts w:cstheme="minorHAnsi"/>
        </w:rPr>
        <w:t xml:space="preserve"> </w:t>
      </w:r>
      <w:r w:rsidRPr="00077E4D">
        <w:rPr>
          <w:rFonts w:cstheme="minorHAnsi"/>
        </w:rPr>
        <w:t xml:space="preserve">was used for restriction digestion and ligation steps according to the given instructions. </w:t>
      </w:r>
      <w:proofErr w:type="spellStart"/>
      <w:r w:rsidRPr="00077E4D">
        <w:rPr>
          <w:rFonts w:cstheme="minorHAnsi"/>
        </w:rPr>
        <w:t>Preamplification</w:t>
      </w:r>
      <w:proofErr w:type="spellEnd"/>
      <w:r w:rsidRPr="00077E4D">
        <w:rPr>
          <w:rFonts w:cstheme="minorHAnsi"/>
        </w:rPr>
        <w:t xml:space="preserve"> and selective amplification primers were ordered from </w:t>
      </w:r>
      <w:r w:rsidR="009D3A21" w:rsidRPr="00077E4D">
        <w:rPr>
          <w:rFonts w:cstheme="minorHAnsi"/>
          <w:bCs/>
        </w:rPr>
        <w:t>Life Technologies Corporation (Grand Island, NY)</w:t>
      </w:r>
      <w:r w:rsidRPr="00077E4D">
        <w:rPr>
          <w:rFonts w:cstheme="minorHAnsi"/>
        </w:rPr>
        <w:t>.</w:t>
      </w:r>
      <w:r w:rsidR="009D3A21" w:rsidRPr="00077E4D">
        <w:rPr>
          <w:rFonts w:cstheme="minorHAnsi"/>
        </w:rPr>
        <w:t xml:space="preserve"> Approximately 250</w:t>
      </w:r>
      <w:r w:rsidR="0072544C" w:rsidRPr="00077E4D">
        <w:rPr>
          <w:rFonts w:cstheme="minorHAnsi"/>
        </w:rPr>
        <w:t>-400</w:t>
      </w:r>
      <w:r w:rsidR="009D3A21" w:rsidRPr="00077E4D">
        <w:rPr>
          <w:rFonts w:cstheme="minorHAnsi"/>
        </w:rPr>
        <w:t xml:space="preserve"> ng of genomic DNA was digested with </w:t>
      </w:r>
      <w:proofErr w:type="spellStart"/>
      <w:r w:rsidR="009D3A21" w:rsidRPr="00077E4D">
        <w:rPr>
          <w:rFonts w:cstheme="minorHAnsi"/>
          <w:i/>
        </w:rPr>
        <w:t>Eco</w:t>
      </w:r>
      <w:r w:rsidR="009D3A21" w:rsidRPr="00077E4D">
        <w:rPr>
          <w:rFonts w:cstheme="minorHAnsi"/>
        </w:rPr>
        <w:t>RI</w:t>
      </w:r>
      <w:proofErr w:type="spellEnd"/>
      <w:r w:rsidR="009D3A21" w:rsidRPr="00077E4D">
        <w:rPr>
          <w:rFonts w:cstheme="minorHAnsi"/>
          <w:bCs/>
        </w:rPr>
        <w:t xml:space="preserve"> and </w:t>
      </w:r>
      <w:proofErr w:type="spellStart"/>
      <w:r w:rsidR="009D3A21" w:rsidRPr="00077E4D">
        <w:rPr>
          <w:rFonts w:cstheme="minorHAnsi"/>
          <w:bCs/>
          <w:i/>
        </w:rPr>
        <w:t>Mse</w:t>
      </w:r>
      <w:r w:rsidR="009D3A21" w:rsidRPr="00077E4D">
        <w:rPr>
          <w:rFonts w:cstheme="minorHAnsi"/>
          <w:bCs/>
        </w:rPr>
        <w:t>I</w:t>
      </w:r>
      <w:proofErr w:type="spellEnd"/>
      <w:r w:rsidR="009D3A21" w:rsidRPr="00077E4D">
        <w:rPr>
          <w:rFonts w:cstheme="minorHAnsi"/>
        </w:rPr>
        <w:t>. Thereafter</w:t>
      </w:r>
      <w:r w:rsidR="005634CB" w:rsidRPr="00077E4D">
        <w:rPr>
          <w:rFonts w:cstheme="minorHAnsi"/>
        </w:rPr>
        <w:t>,</w:t>
      </w:r>
      <w:r w:rsidR="009D3A21" w:rsidRPr="00077E4D">
        <w:rPr>
          <w:rFonts w:cstheme="minorHAnsi"/>
        </w:rPr>
        <w:t xml:space="preserve"> digested products were ligated with </w:t>
      </w:r>
      <w:proofErr w:type="spellStart"/>
      <w:r w:rsidR="009D3A21" w:rsidRPr="00077E4D">
        <w:rPr>
          <w:rFonts w:cstheme="minorHAnsi"/>
          <w:i/>
        </w:rPr>
        <w:t>Eco</w:t>
      </w:r>
      <w:r w:rsidR="009D3A21" w:rsidRPr="00077E4D">
        <w:rPr>
          <w:rFonts w:cstheme="minorHAnsi"/>
        </w:rPr>
        <w:t>RI</w:t>
      </w:r>
      <w:proofErr w:type="spellEnd"/>
      <w:r w:rsidR="009D3A21" w:rsidRPr="00077E4D">
        <w:rPr>
          <w:rFonts w:cstheme="minorHAnsi"/>
        </w:rPr>
        <w:t xml:space="preserve"> and </w:t>
      </w:r>
      <w:proofErr w:type="spellStart"/>
      <w:r w:rsidR="009D3A21" w:rsidRPr="00077E4D">
        <w:rPr>
          <w:rFonts w:cstheme="minorHAnsi"/>
          <w:i/>
        </w:rPr>
        <w:t>Mse</w:t>
      </w:r>
      <w:r w:rsidR="009D3A21" w:rsidRPr="00077E4D">
        <w:rPr>
          <w:rFonts w:cstheme="minorHAnsi"/>
        </w:rPr>
        <w:t>I</w:t>
      </w:r>
      <w:proofErr w:type="spellEnd"/>
      <w:r w:rsidR="009D3A21" w:rsidRPr="00077E4D">
        <w:rPr>
          <w:rFonts w:cstheme="minorHAnsi"/>
        </w:rPr>
        <w:t xml:space="preserve"> double stranded (ds) adapters </w:t>
      </w:r>
      <w:r w:rsidR="0072544C" w:rsidRPr="00077E4D">
        <w:rPr>
          <w:rFonts w:cstheme="minorHAnsi"/>
        </w:rPr>
        <w:t xml:space="preserve">provided with </w:t>
      </w:r>
      <w:r w:rsidR="009D3A21" w:rsidRPr="00077E4D">
        <w:rPr>
          <w:rFonts w:cstheme="minorHAnsi"/>
        </w:rPr>
        <w:t xml:space="preserve">the AFLP Core Reagent Kit. After the ligation step was completed, the reaction mixture was diluted ten‐fold by adding sterile </w:t>
      </w:r>
      <w:proofErr w:type="spellStart"/>
      <w:r w:rsidR="009D3A21" w:rsidRPr="00077E4D">
        <w:rPr>
          <w:rFonts w:cstheme="minorHAnsi"/>
        </w:rPr>
        <w:t>Tris</w:t>
      </w:r>
      <w:proofErr w:type="spellEnd"/>
      <w:r w:rsidR="009D3A21" w:rsidRPr="00077E4D">
        <w:rPr>
          <w:rFonts w:cstheme="minorHAnsi"/>
        </w:rPr>
        <w:t xml:space="preserve">‐EDTA (TE) buffer and used for </w:t>
      </w:r>
      <w:proofErr w:type="spellStart"/>
      <w:r w:rsidR="005634CB" w:rsidRPr="00077E4D">
        <w:rPr>
          <w:rFonts w:cstheme="minorHAnsi"/>
        </w:rPr>
        <w:t>preamplification</w:t>
      </w:r>
      <w:proofErr w:type="spellEnd"/>
      <w:r w:rsidR="009D3A21" w:rsidRPr="00077E4D">
        <w:rPr>
          <w:rFonts w:cstheme="minorHAnsi"/>
        </w:rPr>
        <w:t xml:space="preserve"> step. The </w:t>
      </w:r>
      <w:proofErr w:type="spellStart"/>
      <w:r w:rsidR="009D3A21" w:rsidRPr="00077E4D">
        <w:rPr>
          <w:rFonts w:cstheme="minorHAnsi"/>
        </w:rPr>
        <w:t>preamplification</w:t>
      </w:r>
      <w:proofErr w:type="spellEnd"/>
      <w:r w:rsidR="009D3A21" w:rsidRPr="00077E4D">
        <w:rPr>
          <w:rFonts w:cstheme="minorHAnsi"/>
        </w:rPr>
        <w:t xml:space="preserve"> step was carried out with </w:t>
      </w:r>
      <w:proofErr w:type="spellStart"/>
      <w:r w:rsidR="009D3A21" w:rsidRPr="00077E4D">
        <w:rPr>
          <w:rFonts w:cstheme="minorHAnsi"/>
          <w:i/>
        </w:rPr>
        <w:t>Eco</w:t>
      </w:r>
      <w:r w:rsidR="009D3A21" w:rsidRPr="00077E4D">
        <w:rPr>
          <w:rFonts w:cstheme="minorHAnsi"/>
        </w:rPr>
        <w:t>RI</w:t>
      </w:r>
      <w:proofErr w:type="spellEnd"/>
      <w:r w:rsidR="009D3A21" w:rsidRPr="00077E4D">
        <w:rPr>
          <w:rFonts w:cstheme="minorHAnsi"/>
        </w:rPr>
        <w:t xml:space="preserve"> </w:t>
      </w:r>
      <w:r w:rsidR="0072544C" w:rsidRPr="00077E4D">
        <w:rPr>
          <w:rFonts w:cstheme="minorHAnsi"/>
        </w:rPr>
        <w:t>(</w:t>
      </w:r>
      <w:r w:rsidR="0072544C" w:rsidRPr="00077E4D">
        <w:rPr>
          <w:lang w:val="fr-FR"/>
        </w:rPr>
        <w:t xml:space="preserve">5′-GTAGACTGCGTACCAATTC-3′) </w:t>
      </w:r>
      <w:r w:rsidR="009D3A21" w:rsidRPr="00077E4D">
        <w:rPr>
          <w:rFonts w:cstheme="minorHAnsi"/>
        </w:rPr>
        <w:t xml:space="preserve">and </w:t>
      </w:r>
      <w:proofErr w:type="spellStart"/>
      <w:r w:rsidR="009D3A21" w:rsidRPr="00077E4D">
        <w:rPr>
          <w:rFonts w:cstheme="minorHAnsi"/>
          <w:i/>
        </w:rPr>
        <w:t>Mse</w:t>
      </w:r>
      <w:r w:rsidR="009D3A21" w:rsidRPr="00077E4D">
        <w:rPr>
          <w:rFonts w:cstheme="minorHAnsi"/>
        </w:rPr>
        <w:t>I</w:t>
      </w:r>
      <w:proofErr w:type="spellEnd"/>
      <w:r w:rsidR="009D3A21" w:rsidRPr="00077E4D">
        <w:rPr>
          <w:rFonts w:cstheme="minorHAnsi"/>
        </w:rPr>
        <w:t xml:space="preserve"> </w:t>
      </w:r>
      <w:r w:rsidR="0072544C" w:rsidRPr="00077E4D">
        <w:rPr>
          <w:rFonts w:cstheme="minorHAnsi"/>
        </w:rPr>
        <w:t>(</w:t>
      </w:r>
      <w:r w:rsidR="0072544C" w:rsidRPr="00077E4D">
        <w:rPr>
          <w:lang w:val="fr-FR"/>
        </w:rPr>
        <w:t>5′-GACGATGAGTCCTGAGTAA-3′</w:t>
      </w:r>
      <w:r w:rsidR="0072544C" w:rsidRPr="00077E4D">
        <w:rPr>
          <w:rFonts w:cstheme="minorHAnsi"/>
        </w:rPr>
        <w:t xml:space="preserve">) </w:t>
      </w:r>
      <w:r w:rsidR="009D3A21" w:rsidRPr="00077E4D">
        <w:rPr>
          <w:rFonts w:cstheme="minorHAnsi"/>
        </w:rPr>
        <w:t>primers compatible with respective oligonucleotide ada</w:t>
      </w:r>
      <w:r w:rsidR="0072544C" w:rsidRPr="00077E4D">
        <w:rPr>
          <w:rFonts w:cstheme="minorHAnsi"/>
        </w:rPr>
        <w:t>pters used in the ligation step</w:t>
      </w:r>
      <w:r w:rsidR="009D3A21" w:rsidRPr="00077E4D">
        <w:rPr>
          <w:rFonts w:cstheme="minorHAnsi"/>
        </w:rPr>
        <w:t xml:space="preserve">. The </w:t>
      </w:r>
      <w:proofErr w:type="spellStart"/>
      <w:r w:rsidR="009D3A21" w:rsidRPr="00077E4D">
        <w:rPr>
          <w:rFonts w:cstheme="minorHAnsi"/>
        </w:rPr>
        <w:t>preamplification</w:t>
      </w:r>
      <w:proofErr w:type="spellEnd"/>
      <w:r w:rsidR="009D3A21" w:rsidRPr="00077E4D">
        <w:rPr>
          <w:rFonts w:cstheme="minorHAnsi"/>
        </w:rPr>
        <w:t xml:space="preserve"> mixture of 50 µl included 5µl of the diluted restriction-ligation reaction, 0.1125 µM each of </w:t>
      </w:r>
      <w:proofErr w:type="spellStart"/>
      <w:r w:rsidR="009D3A21" w:rsidRPr="00077E4D">
        <w:rPr>
          <w:rFonts w:cstheme="minorHAnsi"/>
          <w:i/>
        </w:rPr>
        <w:t>Eco</w:t>
      </w:r>
      <w:r w:rsidR="009D3A21" w:rsidRPr="00077E4D">
        <w:rPr>
          <w:rFonts w:cstheme="minorHAnsi"/>
        </w:rPr>
        <w:t>RI</w:t>
      </w:r>
      <w:proofErr w:type="spellEnd"/>
      <w:r w:rsidR="009D3A21" w:rsidRPr="00077E4D">
        <w:rPr>
          <w:rFonts w:cstheme="minorHAnsi"/>
        </w:rPr>
        <w:t xml:space="preserve"> and </w:t>
      </w:r>
      <w:proofErr w:type="spellStart"/>
      <w:r w:rsidR="009D3A21" w:rsidRPr="00077E4D">
        <w:rPr>
          <w:rFonts w:cstheme="minorHAnsi"/>
          <w:i/>
        </w:rPr>
        <w:t>Mse</w:t>
      </w:r>
      <w:r w:rsidR="009D3A21" w:rsidRPr="00077E4D">
        <w:rPr>
          <w:rFonts w:cstheme="minorHAnsi"/>
        </w:rPr>
        <w:t>I</w:t>
      </w:r>
      <w:proofErr w:type="spellEnd"/>
      <w:r w:rsidR="009D3A21" w:rsidRPr="00077E4D">
        <w:rPr>
          <w:rFonts w:cstheme="minorHAnsi"/>
        </w:rPr>
        <w:t xml:space="preserve"> primers, 1× </w:t>
      </w:r>
      <w:proofErr w:type="spellStart"/>
      <w:r w:rsidR="009D3A21" w:rsidRPr="00077E4D">
        <w:rPr>
          <w:rFonts w:cstheme="minorHAnsi"/>
        </w:rPr>
        <w:t>Taq</w:t>
      </w:r>
      <w:proofErr w:type="spellEnd"/>
      <w:r w:rsidR="009D3A21" w:rsidRPr="00077E4D">
        <w:rPr>
          <w:rFonts w:cstheme="minorHAnsi"/>
        </w:rPr>
        <w:t xml:space="preserve"> polymerase reaction buffer, 0.2 </w:t>
      </w:r>
      <w:proofErr w:type="spellStart"/>
      <w:r w:rsidR="009D3A21" w:rsidRPr="00077E4D">
        <w:rPr>
          <w:rFonts w:cstheme="minorHAnsi"/>
        </w:rPr>
        <w:t>mM</w:t>
      </w:r>
      <w:proofErr w:type="spellEnd"/>
      <w:r w:rsidR="009D3A21" w:rsidRPr="00077E4D">
        <w:rPr>
          <w:rFonts w:cstheme="minorHAnsi"/>
        </w:rPr>
        <w:t xml:space="preserve"> of each dNTP and 1 U of </w:t>
      </w:r>
      <w:proofErr w:type="spellStart"/>
      <w:r w:rsidR="009D3A21" w:rsidRPr="00077E4D">
        <w:rPr>
          <w:rFonts w:cstheme="minorHAnsi"/>
        </w:rPr>
        <w:t>Taq</w:t>
      </w:r>
      <w:proofErr w:type="spellEnd"/>
      <w:r w:rsidR="009D3A21" w:rsidRPr="00077E4D">
        <w:rPr>
          <w:rFonts w:cstheme="minorHAnsi"/>
        </w:rPr>
        <w:t xml:space="preserve"> polymerase (Invitrogen™). The PCR was performed in a </w:t>
      </w:r>
      <w:proofErr w:type="spellStart"/>
      <w:r w:rsidR="009D3A21" w:rsidRPr="00077E4D">
        <w:rPr>
          <w:rFonts w:cstheme="minorHAnsi"/>
        </w:rPr>
        <w:t>Mastercycler®Pro</w:t>
      </w:r>
      <w:proofErr w:type="spellEnd"/>
      <w:r w:rsidR="009D3A21" w:rsidRPr="00077E4D">
        <w:rPr>
          <w:rFonts w:cstheme="minorHAnsi"/>
        </w:rPr>
        <w:t xml:space="preserve"> thermocycler</w:t>
      </w:r>
      <w:r w:rsidR="00034032" w:rsidRPr="00077E4D">
        <w:rPr>
          <w:rFonts w:cstheme="minorHAnsi"/>
        </w:rPr>
        <w:t xml:space="preserve"> (Eppendorf, Hamburg, Germany) </w:t>
      </w:r>
      <w:r w:rsidR="009D3A21" w:rsidRPr="00077E4D">
        <w:rPr>
          <w:rFonts w:cstheme="minorHAnsi"/>
        </w:rPr>
        <w:t>with first cycle at 72</w:t>
      </w:r>
      <w:r w:rsidR="00380391" w:rsidRPr="00077E4D">
        <w:rPr>
          <w:rFonts w:cstheme="minorHAnsi"/>
        </w:rPr>
        <w:t>°</w:t>
      </w:r>
      <w:r w:rsidR="009D3A21" w:rsidRPr="00077E4D">
        <w:rPr>
          <w:rFonts w:cstheme="minorHAnsi"/>
        </w:rPr>
        <w:t xml:space="preserve"> C for 2 min, then initial denaturation at 94</w:t>
      </w:r>
      <w:r w:rsidR="00380391" w:rsidRPr="00077E4D">
        <w:rPr>
          <w:rFonts w:cstheme="minorHAnsi"/>
        </w:rPr>
        <w:t>°</w:t>
      </w:r>
      <w:r w:rsidR="009D3A21" w:rsidRPr="00077E4D">
        <w:rPr>
          <w:rFonts w:cstheme="minorHAnsi"/>
        </w:rPr>
        <w:t xml:space="preserve"> C for 2 min followed by 30 cycles of 30 s at 94</w:t>
      </w:r>
      <w:r w:rsidR="00380391" w:rsidRPr="00077E4D">
        <w:rPr>
          <w:rFonts w:cstheme="minorHAnsi"/>
        </w:rPr>
        <w:t>°</w:t>
      </w:r>
      <w:r w:rsidR="009D3A21" w:rsidRPr="00077E4D">
        <w:rPr>
          <w:rFonts w:cstheme="minorHAnsi"/>
        </w:rPr>
        <w:t xml:space="preserve"> C, 1 min at 60</w:t>
      </w:r>
      <w:r w:rsidR="00380391" w:rsidRPr="00077E4D">
        <w:rPr>
          <w:rFonts w:cstheme="minorHAnsi"/>
        </w:rPr>
        <w:t>°</w:t>
      </w:r>
      <w:r w:rsidR="009D3A21" w:rsidRPr="00077E4D">
        <w:rPr>
          <w:rFonts w:cstheme="minorHAnsi"/>
        </w:rPr>
        <w:t xml:space="preserve"> C and 2 min at 72</w:t>
      </w:r>
      <w:r w:rsidR="00380391" w:rsidRPr="00077E4D">
        <w:rPr>
          <w:rFonts w:cstheme="minorHAnsi"/>
        </w:rPr>
        <w:t>°</w:t>
      </w:r>
      <w:r w:rsidR="009D3A21" w:rsidRPr="00077E4D">
        <w:rPr>
          <w:rFonts w:cstheme="minorHAnsi"/>
        </w:rPr>
        <w:t xml:space="preserve"> C. The PCR products were diluted fifteen‐fold with TE buffer and used as template DNA for the selective amplification step. For selective amplification, primer pairs consisting of </w:t>
      </w:r>
      <w:proofErr w:type="spellStart"/>
      <w:r w:rsidR="009D3A21" w:rsidRPr="00077E4D">
        <w:rPr>
          <w:rFonts w:cstheme="minorHAnsi"/>
          <w:i/>
        </w:rPr>
        <w:t>Eco</w:t>
      </w:r>
      <w:r w:rsidR="009D3A21" w:rsidRPr="00077E4D">
        <w:rPr>
          <w:rFonts w:cstheme="minorHAnsi"/>
        </w:rPr>
        <w:t>RI</w:t>
      </w:r>
      <w:proofErr w:type="spellEnd"/>
      <w:r w:rsidR="009D3A21" w:rsidRPr="00077E4D">
        <w:rPr>
          <w:rFonts w:cstheme="minorHAnsi"/>
        </w:rPr>
        <w:t xml:space="preserve"> and </w:t>
      </w:r>
      <w:proofErr w:type="spellStart"/>
      <w:r w:rsidR="009D3A21" w:rsidRPr="00077E4D">
        <w:rPr>
          <w:rFonts w:cstheme="minorHAnsi"/>
          <w:i/>
        </w:rPr>
        <w:t>Mse</w:t>
      </w:r>
      <w:r w:rsidR="009D3A21" w:rsidRPr="00077E4D">
        <w:rPr>
          <w:rFonts w:cstheme="minorHAnsi"/>
        </w:rPr>
        <w:t>I</w:t>
      </w:r>
      <w:proofErr w:type="spellEnd"/>
      <w:r w:rsidR="009D3A21" w:rsidRPr="00077E4D">
        <w:rPr>
          <w:rFonts w:cstheme="minorHAnsi"/>
        </w:rPr>
        <w:t xml:space="preserve"> adapter sequences with </w:t>
      </w:r>
      <w:r w:rsidR="00FD0ECA" w:rsidRPr="00077E4D">
        <w:rPr>
          <w:rFonts w:cstheme="minorHAnsi"/>
        </w:rPr>
        <w:t xml:space="preserve">2 - </w:t>
      </w:r>
      <w:r w:rsidR="009D3A21" w:rsidRPr="00077E4D">
        <w:rPr>
          <w:rFonts w:cstheme="minorHAnsi"/>
        </w:rPr>
        <w:t>3 selective nucleotides each were used (</w:t>
      </w:r>
      <w:proofErr w:type="spellStart"/>
      <w:r w:rsidR="00715C4B" w:rsidRPr="00077E4D">
        <w:rPr>
          <w:rFonts w:cs="MinionPro-It"/>
          <w:i/>
          <w:iCs/>
        </w:rPr>
        <w:t>Eco</w:t>
      </w:r>
      <w:r w:rsidR="00715C4B" w:rsidRPr="00077E4D">
        <w:rPr>
          <w:rFonts w:cs="MinionPro-Regular"/>
        </w:rPr>
        <w:t>RI</w:t>
      </w:r>
      <w:proofErr w:type="spellEnd"/>
      <w:r w:rsidR="00715C4B" w:rsidRPr="00077E4D">
        <w:rPr>
          <w:rFonts w:cs="MinionPro-Regular"/>
        </w:rPr>
        <w:t xml:space="preserve"> + </w:t>
      </w:r>
      <w:r w:rsidR="00715C4B" w:rsidRPr="00077E4D">
        <w:rPr>
          <w:rFonts w:cs="MinionPro-It"/>
          <w:i/>
          <w:iCs/>
        </w:rPr>
        <w:t xml:space="preserve">AAC </w:t>
      </w:r>
      <w:r w:rsidR="00715C4B" w:rsidRPr="00077E4D">
        <w:rPr>
          <w:rFonts w:cs="MinionPro-Regular"/>
        </w:rPr>
        <w:t xml:space="preserve">and </w:t>
      </w:r>
      <w:proofErr w:type="spellStart"/>
      <w:r w:rsidR="00715C4B" w:rsidRPr="00077E4D">
        <w:rPr>
          <w:rFonts w:cs="MinionPro-It"/>
          <w:i/>
          <w:iCs/>
        </w:rPr>
        <w:t>Mse</w:t>
      </w:r>
      <w:r w:rsidR="00715C4B" w:rsidRPr="00077E4D">
        <w:rPr>
          <w:rFonts w:cs="MinionPro-Regular"/>
        </w:rPr>
        <w:t>I</w:t>
      </w:r>
      <w:proofErr w:type="spellEnd"/>
      <w:r w:rsidR="00715C4B" w:rsidRPr="00077E4D">
        <w:rPr>
          <w:rFonts w:cs="MinionPro-Regular"/>
        </w:rPr>
        <w:t xml:space="preserve"> + </w:t>
      </w:r>
      <w:r w:rsidR="00715C4B" w:rsidRPr="00077E4D">
        <w:rPr>
          <w:rFonts w:cs="MinionPro-It"/>
          <w:i/>
          <w:iCs/>
        </w:rPr>
        <w:t>CA</w:t>
      </w:r>
      <w:r w:rsidR="00715C4B" w:rsidRPr="00077E4D">
        <w:rPr>
          <w:rFonts w:cs="MinionPro-Regular"/>
        </w:rPr>
        <w:t xml:space="preserve">, </w:t>
      </w:r>
      <w:proofErr w:type="spellStart"/>
      <w:r w:rsidR="00715C4B" w:rsidRPr="00077E4D">
        <w:rPr>
          <w:rFonts w:cs="MinionPro-It"/>
          <w:i/>
          <w:iCs/>
        </w:rPr>
        <w:t>Eco</w:t>
      </w:r>
      <w:r w:rsidR="00715C4B" w:rsidRPr="00077E4D">
        <w:rPr>
          <w:rFonts w:cs="MinionPro-Regular"/>
        </w:rPr>
        <w:t>RI</w:t>
      </w:r>
      <w:proofErr w:type="spellEnd"/>
      <w:r w:rsidR="00715C4B" w:rsidRPr="00077E4D">
        <w:rPr>
          <w:rFonts w:cs="MinionPro-Regular"/>
        </w:rPr>
        <w:t xml:space="preserve"> + </w:t>
      </w:r>
      <w:r w:rsidR="00715C4B" w:rsidRPr="00077E4D">
        <w:rPr>
          <w:rFonts w:cs="MinionPro-It"/>
          <w:i/>
          <w:iCs/>
        </w:rPr>
        <w:t>AA</w:t>
      </w:r>
      <w:r w:rsidR="00520727" w:rsidRPr="00077E4D">
        <w:rPr>
          <w:rFonts w:cs="MinionPro-It"/>
          <w:i/>
          <w:iCs/>
        </w:rPr>
        <w:t>C</w:t>
      </w:r>
      <w:r w:rsidR="00715C4B" w:rsidRPr="00077E4D">
        <w:rPr>
          <w:rFonts w:cs="MinionPro-It"/>
          <w:i/>
          <w:iCs/>
        </w:rPr>
        <w:t xml:space="preserve"> </w:t>
      </w:r>
      <w:r w:rsidR="00715C4B" w:rsidRPr="00077E4D">
        <w:rPr>
          <w:rFonts w:cs="MinionPro-Regular"/>
        </w:rPr>
        <w:t xml:space="preserve">and </w:t>
      </w:r>
      <w:proofErr w:type="spellStart"/>
      <w:r w:rsidR="00715C4B" w:rsidRPr="00077E4D">
        <w:rPr>
          <w:rFonts w:cs="MinionPro-It"/>
          <w:i/>
          <w:iCs/>
        </w:rPr>
        <w:t>Mse</w:t>
      </w:r>
      <w:r w:rsidR="00715C4B" w:rsidRPr="00077E4D">
        <w:rPr>
          <w:rFonts w:cs="MinionPro-Regular"/>
        </w:rPr>
        <w:t>I</w:t>
      </w:r>
      <w:proofErr w:type="spellEnd"/>
      <w:r w:rsidR="00715C4B" w:rsidRPr="00077E4D">
        <w:rPr>
          <w:rFonts w:cs="MinionPro-Regular"/>
        </w:rPr>
        <w:t xml:space="preserve"> + </w:t>
      </w:r>
      <w:r w:rsidR="00715C4B" w:rsidRPr="00077E4D">
        <w:rPr>
          <w:rFonts w:cs="MinionPro-It"/>
          <w:i/>
          <w:iCs/>
        </w:rPr>
        <w:t>C</w:t>
      </w:r>
      <w:r w:rsidR="00520727" w:rsidRPr="00077E4D">
        <w:rPr>
          <w:rFonts w:cs="MinionPro-It"/>
          <w:i/>
          <w:iCs/>
        </w:rPr>
        <w:t>C</w:t>
      </w:r>
      <w:r w:rsidR="00715C4B" w:rsidRPr="00077E4D">
        <w:rPr>
          <w:rFonts w:cs="MinionPro-Regular"/>
        </w:rPr>
        <w:t xml:space="preserve">, </w:t>
      </w:r>
      <w:proofErr w:type="spellStart"/>
      <w:r w:rsidR="00715C4B" w:rsidRPr="00077E4D">
        <w:rPr>
          <w:rFonts w:cs="MinionPro-It"/>
          <w:i/>
          <w:iCs/>
        </w:rPr>
        <w:t>Eco</w:t>
      </w:r>
      <w:r w:rsidR="00715C4B" w:rsidRPr="00077E4D">
        <w:rPr>
          <w:rFonts w:cs="MinionPro-Regular"/>
        </w:rPr>
        <w:t>RI</w:t>
      </w:r>
      <w:proofErr w:type="spellEnd"/>
      <w:r w:rsidR="00715C4B" w:rsidRPr="00077E4D">
        <w:rPr>
          <w:rFonts w:cs="MinionPro-Regular"/>
        </w:rPr>
        <w:t xml:space="preserve"> + </w:t>
      </w:r>
      <w:r w:rsidR="00520727" w:rsidRPr="00077E4D">
        <w:rPr>
          <w:rFonts w:cs="MinionPro-Regular"/>
        </w:rPr>
        <w:t>TG</w:t>
      </w:r>
      <w:r w:rsidR="00715C4B" w:rsidRPr="00077E4D">
        <w:rPr>
          <w:rFonts w:cs="MinionPro-It"/>
          <w:i/>
          <w:iCs/>
        </w:rPr>
        <w:t xml:space="preserve"> </w:t>
      </w:r>
      <w:r w:rsidR="00715C4B" w:rsidRPr="00077E4D">
        <w:rPr>
          <w:rFonts w:cs="MinionPro-Regular"/>
        </w:rPr>
        <w:t xml:space="preserve">and </w:t>
      </w:r>
      <w:proofErr w:type="spellStart"/>
      <w:r w:rsidR="00715C4B" w:rsidRPr="00077E4D">
        <w:rPr>
          <w:rFonts w:cs="MinionPro-It"/>
          <w:i/>
          <w:iCs/>
        </w:rPr>
        <w:t>Mse</w:t>
      </w:r>
      <w:r w:rsidR="00715C4B" w:rsidRPr="00077E4D">
        <w:rPr>
          <w:rFonts w:cs="MinionPro-Regular"/>
        </w:rPr>
        <w:t>I</w:t>
      </w:r>
      <w:proofErr w:type="spellEnd"/>
      <w:r w:rsidR="00715C4B" w:rsidRPr="00077E4D">
        <w:rPr>
          <w:rFonts w:cs="MinionPro-Regular"/>
        </w:rPr>
        <w:t xml:space="preserve"> + </w:t>
      </w:r>
      <w:r w:rsidR="00715C4B" w:rsidRPr="00077E4D">
        <w:rPr>
          <w:rFonts w:cs="MinionPro-It"/>
          <w:i/>
          <w:iCs/>
        </w:rPr>
        <w:t>CA</w:t>
      </w:r>
      <w:r w:rsidR="009D3A21" w:rsidRPr="00077E4D">
        <w:rPr>
          <w:rFonts w:cstheme="minorHAnsi"/>
        </w:rPr>
        <w:t>).</w:t>
      </w:r>
      <w:r w:rsidR="00380391" w:rsidRPr="00077E4D">
        <w:rPr>
          <w:rFonts w:cstheme="minorHAnsi"/>
        </w:rPr>
        <w:t xml:space="preserve"> All </w:t>
      </w:r>
      <w:proofErr w:type="spellStart"/>
      <w:r w:rsidR="00380391" w:rsidRPr="00077E4D">
        <w:rPr>
          <w:rFonts w:cstheme="minorHAnsi"/>
          <w:i/>
        </w:rPr>
        <w:t>Eco</w:t>
      </w:r>
      <w:r w:rsidR="00380391" w:rsidRPr="00077E4D">
        <w:rPr>
          <w:rFonts w:cstheme="minorHAnsi"/>
        </w:rPr>
        <w:t>RI</w:t>
      </w:r>
      <w:proofErr w:type="spellEnd"/>
      <w:r w:rsidR="00380391" w:rsidRPr="00077E4D">
        <w:rPr>
          <w:rFonts w:cstheme="minorHAnsi"/>
        </w:rPr>
        <w:t xml:space="preserve"> selective primers were labeled with fluorescent dye 6‐FAM at the 5′ end for automated sequencing on a 3730 Genetic Analyzer</w:t>
      </w:r>
      <w:r w:rsidR="00077E4D" w:rsidRPr="00077E4D">
        <w:rPr>
          <w:rFonts w:cstheme="minorHAnsi"/>
        </w:rPr>
        <w:t xml:space="preserve"> (Applied Biosystems Inc.,</w:t>
      </w:r>
      <w:r w:rsidR="00077E4D" w:rsidRPr="00077E4D">
        <w:t xml:space="preserve"> Foster City, CA)</w:t>
      </w:r>
      <w:r w:rsidR="00380391" w:rsidRPr="00077E4D">
        <w:rPr>
          <w:rFonts w:cstheme="minorHAnsi"/>
        </w:rPr>
        <w:t xml:space="preserve">. Each selective PCR mixture of 20 µl included 5 µl of </w:t>
      </w:r>
      <w:r w:rsidR="00FD0ECA" w:rsidRPr="00077E4D">
        <w:rPr>
          <w:rFonts w:cstheme="minorHAnsi"/>
        </w:rPr>
        <w:t xml:space="preserve">diluted </w:t>
      </w:r>
      <w:proofErr w:type="spellStart"/>
      <w:r w:rsidR="00FD0ECA" w:rsidRPr="00077E4D">
        <w:rPr>
          <w:rFonts w:cstheme="minorHAnsi"/>
        </w:rPr>
        <w:t>preamplification</w:t>
      </w:r>
      <w:proofErr w:type="spellEnd"/>
      <w:r w:rsidR="00FD0ECA" w:rsidRPr="00077E4D">
        <w:rPr>
          <w:rFonts w:cstheme="minorHAnsi"/>
        </w:rPr>
        <w:t xml:space="preserve"> product</w:t>
      </w:r>
      <w:r w:rsidR="00380391" w:rsidRPr="00077E4D">
        <w:rPr>
          <w:rFonts w:cstheme="minorHAnsi"/>
        </w:rPr>
        <w:t xml:space="preserve">, 0.25 µM each of </w:t>
      </w:r>
      <w:proofErr w:type="spellStart"/>
      <w:r w:rsidR="00380391" w:rsidRPr="00077E4D">
        <w:rPr>
          <w:rFonts w:cstheme="minorHAnsi"/>
          <w:i/>
        </w:rPr>
        <w:t>Eco</w:t>
      </w:r>
      <w:r w:rsidR="00380391" w:rsidRPr="00077E4D">
        <w:rPr>
          <w:rFonts w:cstheme="minorHAnsi"/>
        </w:rPr>
        <w:t>RI</w:t>
      </w:r>
      <w:proofErr w:type="spellEnd"/>
      <w:r w:rsidR="00380391" w:rsidRPr="00077E4D">
        <w:rPr>
          <w:rFonts w:cstheme="minorHAnsi"/>
        </w:rPr>
        <w:t xml:space="preserve"> and </w:t>
      </w:r>
      <w:proofErr w:type="spellStart"/>
      <w:r w:rsidR="00380391" w:rsidRPr="00077E4D">
        <w:rPr>
          <w:rFonts w:cstheme="minorHAnsi"/>
          <w:i/>
        </w:rPr>
        <w:t>Mse</w:t>
      </w:r>
      <w:r w:rsidR="00380391" w:rsidRPr="00077E4D">
        <w:rPr>
          <w:rFonts w:cstheme="minorHAnsi"/>
        </w:rPr>
        <w:t>I</w:t>
      </w:r>
      <w:proofErr w:type="spellEnd"/>
      <w:r w:rsidR="00380391" w:rsidRPr="00077E4D">
        <w:rPr>
          <w:rFonts w:cstheme="minorHAnsi"/>
        </w:rPr>
        <w:t xml:space="preserve"> primers, 1× standard </w:t>
      </w:r>
      <w:proofErr w:type="spellStart"/>
      <w:r w:rsidR="00380391" w:rsidRPr="00077E4D">
        <w:rPr>
          <w:rFonts w:cstheme="minorHAnsi"/>
        </w:rPr>
        <w:t>Taq</w:t>
      </w:r>
      <w:proofErr w:type="spellEnd"/>
      <w:r w:rsidR="00380391" w:rsidRPr="00077E4D">
        <w:rPr>
          <w:rFonts w:cstheme="minorHAnsi"/>
        </w:rPr>
        <w:t xml:space="preserve"> polymerase reaction buffer, 0.2 </w:t>
      </w:r>
      <w:proofErr w:type="spellStart"/>
      <w:r w:rsidR="00380391" w:rsidRPr="00077E4D">
        <w:rPr>
          <w:rFonts w:cstheme="minorHAnsi"/>
        </w:rPr>
        <w:t>mM</w:t>
      </w:r>
      <w:proofErr w:type="spellEnd"/>
      <w:r w:rsidR="00380391" w:rsidRPr="00077E4D">
        <w:rPr>
          <w:rFonts w:cstheme="minorHAnsi"/>
        </w:rPr>
        <w:t xml:space="preserve"> each dNTP and 1 U of </w:t>
      </w:r>
      <w:proofErr w:type="spellStart"/>
      <w:r w:rsidR="00380391" w:rsidRPr="00077E4D">
        <w:rPr>
          <w:rFonts w:cstheme="minorHAnsi"/>
        </w:rPr>
        <w:t>Taq</w:t>
      </w:r>
      <w:proofErr w:type="spellEnd"/>
      <w:r w:rsidR="00380391" w:rsidRPr="00077E4D">
        <w:rPr>
          <w:rFonts w:cstheme="minorHAnsi"/>
        </w:rPr>
        <w:t xml:space="preserve"> polymerase (Invitrogen™). The PCR reaction was performed for 36 cycles with the following cycle profile. The first twelve cycles consisted of 30 s DNA denaturation at 94° C, 30 s annealing at 65° C (-0.7 C/cycle), and 1 min extension step at 72 C. </w:t>
      </w:r>
      <w:r w:rsidR="00380391" w:rsidRPr="00077E4D">
        <w:rPr>
          <w:rFonts w:cstheme="minorHAnsi"/>
        </w:rPr>
        <w:lastRenderedPageBreak/>
        <w:t>The remaining cycles consisted of 30 s at 94° C, 30 s at 56° C, and 1 min at 72° C. A final extension step of 5 min at 72° C completed the reaction.</w:t>
      </w:r>
    </w:p>
    <w:p w:rsidR="00380391" w:rsidRDefault="00380391" w:rsidP="00786B2A">
      <w:pPr>
        <w:autoSpaceDE w:val="0"/>
        <w:autoSpaceDN w:val="0"/>
        <w:adjustRightInd w:val="0"/>
        <w:spacing w:after="0" w:line="240" w:lineRule="auto"/>
        <w:rPr>
          <w:rFonts w:cstheme="minorHAnsi"/>
          <w:sz w:val="24"/>
          <w:szCs w:val="24"/>
        </w:rPr>
      </w:pPr>
    </w:p>
    <w:p w:rsidR="00380391" w:rsidRDefault="00380391" w:rsidP="00380391">
      <w:pPr>
        <w:pStyle w:val="NoSpacing"/>
      </w:pPr>
      <w:r>
        <w:t>Following AFLP reaction, 1.5</w:t>
      </w:r>
      <w:r w:rsidRPr="0028559C">
        <w:t xml:space="preserve"> µl of each o</w:t>
      </w:r>
      <w:r>
        <w:t>f PCR sample was mixed with 11</w:t>
      </w:r>
      <w:r w:rsidRPr="0028559C">
        <w:t xml:space="preserve"> µl Hi‐Di </w:t>
      </w:r>
      <w:proofErr w:type="spellStart"/>
      <w:r w:rsidRPr="0028559C">
        <w:t>formamide</w:t>
      </w:r>
      <w:proofErr w:type="spellEnd"/>
      <w:r w:rsidRPr="0028559C">
        <w:t xml:space="preserve"> (Applied Bios</w:t>
      </w:r>
      <w:r>
        <w:t>ystems, Warrington, UK) and 0.2</w:t>
      </w:r>
      <w:r w:rsidRPr="0028559C">
        <w:t xml:space="preserve"> µl of </w:t>
      </w:r>
      <w:proofErr w:type="spellStart"/>
      <w:r>
        <w:t>GeneScan</w:t>
      </w:r>
      <w:proofErr w:type="spellEnd"/>
      <w:r>
        <w:t>™ 6</w:t>
      </w:r>
      <w:r w:rsidRPr="0028559C">
        <w:t>00LIZ</w:t>
      </w:r>
      <w:r w:rsidRPr="0028559C">
        <w:rPr>
          <w:vertAlign w:val="superscript"/>
        </w:rPr>
        <w:t>®</w:t>
      </w:r>
      <w:r w:rsidRPr="0028559C">
        <w:t xml:space="preserve"> internal marker. The mixtures were denatured at 95</w:t>
      </w:r>
      <w:r w:rsidR="00520727">
        <w:rPr>
          <w:rFonts w:cstheme="minorHAnsi"/>
          <w:sz w:val="24"/>
          <w:szCs w:val="24"/>
        </w:rPr>
        <w:t>°</w:t>
      </w:r>
      <w:r w:rsidRPr="0028559C">
        <w:t xml:space="preserve"> C for 5 min and placed on ice. Thereafter</w:t>
      </w:r>
      <w:r w:rsidR="00CF7C62">
        <w:t>,</w:t>
      </w:r>
      <w:r w:rsidRPr="0028559C">
        <w:t xml:space="preserve"> samples were sent to </w:t>
      </w:r>
      <w:r>
        <w:t xml:space="preserve">the </w:t>
      </w:r>
      <w:r w:rsidR="00CF7C62" w:rsidRPr="007B44BE">
        <w:rPr>
          <w:rFonts w:cs="AdvCaeciliaRm"/>
        </w:rPr>
        <w:t>Ohio State University Plant-Microbe Genomics Facility</w:t>
      </w:r>
      <w:r>
        <w:t xml:space="preserve"> </w:t>
      </w:r>
      <w:r w:rsidRPr="0028559C">
        <w:t xml:space="preserve">for fragment analysis by 3730 </w:t>
      </w:r>
      <w:r>
        <w:t xml:space="preserve">Genetic Analyzer </w:t>
      </w:r>
      <w:r w:rsidRPr="0028559C">
        <w:t>(Applied Biosystems).</w:t>
      </w:r>
    </w:p>
    <w:p w:rsidR="00CF7C62" w:rsidRDefault="00CF7C62" w:rsidP="00380391">
      <w:pPr>
        <w:pStyle w:val="NoSpacing"/>
      </w:pPr>
    </w:p>
    <w:p w:rsidR="00520727" w:rsidRDefault="00520727" w:rsidP="00380391">
      <w:pPr>
        <w:pStyle w:val="NoSpacing"/>
      </w:pPr>
    </w:p>
    <w:p w:rsidR="00CF7C62" w:rsidRPr="006973A6" w:rsidRDefault="00CF7C62" w:rsidP="00380391">
      <w:pPr>
        <w:pStyle w:val="NoSpacing"/>
      </w:pPr>
      <w:r w:rsidRPr="006973A6">
        <w:t>Data analysis</w:t>
      </w:r>
    </w:p>
    <w:p w:rsidR="00CF7C62" w:rsidRPr="006973A6" w:rsidRDefault="00CF7C62" w:rsidP="00380391">
      <w:pPr>
        <w:pStyle w:val="NoSpacing"/>
      </w:pPr>
    </w:p>
    <w:p w:rsidR="004B3DAC" w:rsidRDefault="00E636C3" w:rsidP="00E93FF4">
      <w:pPr>
        <w:pStyle w:val="NoSpacing"/>
      </w:pPr>
      <w:r w:rsidRPr="006973A6">
        <w:rPr>
          <w:rFonts w:cstheme="minorHAnsi"/>
        </w:rPr>
        <w:t xml:space="preserve">The </w:t>
      </w:r>
      <w:proofErr w:type="spellStart"/>
      <w:r w:rsidRPr="006973A6">
        <w:rPr>
          <w:rFonts w:cstheme="minorHAnsi"/>
        </w:rPr>
        <w:t>GeneMapper</w:t>
      </w:r>
      <w:proofErr w:type="spellEnd"/>
      <w:r w:rsidRPr="006973A6">
        <w:rPr>
          <w:rFonts w:cstheme="minorHAnsi"/>
        </w:rPr>
        <w:t xml:space="preserve"> software version 4.1 (Applied Biosystems) was used to extract and analyze data files obtained from the 3730 fragment analyzer. Individual AFLP bands were scored as either absent (zero) or present (one) by this software.</w:t>
      </w:r>
      <w:r w:rsidR="00077E4D" w:rsidRPr="006973A6">
        <w:rPr>
          <w:rFonts w:cstheme="minorHAnsi"/>
        </w:rPr>
        <w:t xml:space="preserve"> </w:t>
      </w:r>
      <w:r w:rsidRPr="006973A6">
        <w:t>The binary table</w:t>
      </w:r>
      <w:r w:rsidR="0088371F" w:rsidRPr="006973A6">
        <w:t xml:space="preserve"> </w:t>
      </w:r>
      <w:r w:rsidR="007528FD" w:rsidRPr="006973A6">
        <w:t xml:space="preserve">produced by </w:t>
      </w:r>
      <w:r w:rsidR="002B1178">
        <w:t xml:space="preserve">the </w:t>
      </w:r>
      <w:proofErr w:type="spellStart"/>
      <w:r w:rsidR="007528FD" w:rsidRPr="006973A6">
        <w:t>GeneMapper</w:t>
      </w:r>
      <w:proofErr w:type="spellEnd"/>
      <w:r w:rsidR="007528FD" w:rsidRPr="006973A6">
        <w:t xml:space="preserve"> </w:t>
      </w:r>
      <w:r w:rsidRPr="006973A6">
        <w:t xml:space="preserve">was </w:t>
      </w:r>
      <w:r w:rsidR="0088371F" w:rsidRPr="006973A6">
        <w:t xml:space="preserve">used </w:t>
      </w:r>
      <w:r w:rsidR="00977488" w:rsidRPr="006973A6">
        <w:t xml:space="preserve">to </w:t>
      </w:r>
      <w:r w:rsidR="0088371F" w:rsidRPr="006973A6">
        <w:t xml:space="preserve">generate </w:t>
      </w:r>
      <w:r w:rsidR="00977488" w:rsidRPr="006973A6">
        <w:t xml:space="preserve">a neighbor joining (NJ) tree </w:t>
      </w:r>
      <w:r w:rsidR="002B1178">
        <w:t xml:space="preserve">with </w:t>
      </w:r>
      <w:proofErr w:type="gramStart"/>
      <w:r w:rsidR="00E93FF4">
        <w:t>Rogers</w:t>
      </w:r>
      <w:proofErr w:type="gramEnd"/>
      <w:r w:rsidR="00E93FF4">
        <w:t xml:space="preserve"> index (</w:t>
      </w:r>
      <w:r w:rsidR="00E93FF4">
        <w:rPr>
          <w:rFonts w:cs="AdvCaeciliaRm"/>
        </w:rPr>
        <w:t xml:space="preserve">Rogers, J.S. </w:t>
      </w:r>
      <w:r w:rsidR="00E93FF4" w:rsidRPr="000152D2">
        <w:rPr>
          <w:rFonts w:cs="AdvCaeciliaRm"/>
        </w:rPr>
        <w:t>1972)</w:t>
      </w:r>
      <w:r w:rsidR="00E93FF4">
        <w:rPr>
          <w:rFonts w:cs="AdvCaeciliaRm"/>
        </w:rPr>
        <w:t xml:space="preserve"> since it gave best separation between</w:t>
      </w:r>
      <w:r w:rsidR="008032C5" w:rsidRPr="006973A6">
        <w:t xml:space="preserve"> control and fungicide challenged isolates. </w:t>
      </w:r>
      <w:r w:rsidR="00977488" w:rsidRPr="006973A6">
        <w:t xml:space="preserve">The </w:t>
      </w:r>
      <w:proofErr w:type="spellStart"/>
      <w:r w:rsidR="00977488" w:rsidRPr="00F51FC8">
        <w:rPr>
          <w:i/>
          <w:iCs/>
        </w:rPr>
        <w:t>aboot</w:t>
      </w:r>
      <w:proofErr w:type="spellEnd"/>
      <w:r w:rsidR="00977488" w:rsidRPr="006973A6">
        <w:t xml:space="preserve"> function </w:t>
      </w:r>
      <w:r w:rsidR="007F7B33">
        <w:t>of</w:t>
      </w:r>
      <w:r w:rsidR="008032C5" w:rsidRPr="006973A6">
        <w:t xml:space="preserve"> </w:t>
      </w:r>
      <w:proofErr w:type="spellStart"/>
      <w:r w:rsidR="008032C5" w:rsidRPr="006973A6">
        <w:t>Poppr</w:t>
      </w:r>
      <w:proofErr w:type="spellEnd"/>
      <w:r w:rsidR="008032C5" w:rsidRPr="006973A6">
        <w:t xml:space="preserve"> package version 2.0.2 (</w:t>
      </w:r>
      <w:proofErr w:type="spellStart"/>
      <w:r w:rsidR="00392732" w:rsidRPr="006973A6">
        <w:rPr>
          <w:rFonts w:cs="AdvCaeciliaRm"/>
          <w:highlight w:val="cyan"/>
        </w:rPr>
        <w:t>Kamvar</w:t>
      </w:r>
      <w:proofErr w:type="spellEnd"/>
      <w:r w:rsidR="00392732" w:rsidRPr="006973A6">
        <w:rPr>
          <w:rFonts w:cs="AdvCaeciliaRm"/>
          <w:highlight w:val="cyan"/>
        </w:rPr>
        <w:t xml:space="preserve"> ZN, </w:t>
      </w:r>
      <w:proofErr w:type="spellStart"/>
      <w:r w:rsidR="00392732" w:rsidRPr="006973A6">
        <w:rPr>
          <w:rFonts w:cs="AdvCaeciliaRm"/>
          <w:highlight w:val="cyan"/>
        </w:rPr>
        <w:t>Tabima</w:t>
      </w:r>
      <w:proofErr w:type="spellEnd"/>
      <w:r w:rsidR="00392732" w:rsidRPr="006973A6">
        <w:rPr>
          <w:rFonts w:cs="AdvCaeciliaRm"/>
        </w:rPr>
        <w:t xml:space="preserve"> JF, </w:t>
      </w:r>
      <w:proofErr w:type="spellStart"/>
      <w:r w:rsidR="00392732" w:rsidRPr="006973A6">
        <w:rPr>
          <w:rFonts w:cs="AdvCaeciliaRm"/>
        </w:rPr>
        <w:t>Grünwald</w:t>
      </w:r>
      <w:proofErr w:type="spellEnd"/>
      <w:r w:rsidR="00392732" w:rsidRPr="006973A6">
        <w:rPr>
          <w:rFonts w:cs="AdvCaeciliaRm"/>
        </w:rPr>
        <w:t xml:space="preserve"> NJ</w:t>
      </w:r>
      <w:r w:rsidR="007F7B33">
        <w:t>) in</w:t>
      </w:r>
      <w:r w:rsidR="008032C5" w:rsidRPr="006973A6">
        <w:t xml:space="preserve"> </w:t>
      </w:r>
      <w:r w:rsidR="00977488" w:rsidRPr="006973A6">
        <w:t xml:space="preserve">R program </w:t>
      </w:r>
      <w:r w:rsidR="008032C5" w:rsidRPr="006973A6">
        <w:t xml:space="preserve">was used for tree construction. The bootstrap values of </w:t>
      </w:r>
      <w:r w:rsidR="00E93FF4">
        <w:t>groups</w:t>
      </w:r>
      <w:r w:rsidR="008032C5" w:rsidRPr="006973A6">
        <w:t xml:space="preserve"> were determined by resampling data 1000 times. </w:t>
      </w:r>
    </w:p>
    <w:p w:rsidR="004B3DAC" w:rsidRDefault="004B3DAC" w:rsidP="004B3DAC">
      <w:pPr>
        <w:pStyle w:val="NoSpacing"/>
      </w:pPr>
    </w:p>
    <w:p w:rsidR="00906803" w:rsidRDefault="00392732" w:rsidP="00C16BF9">
      <w:pPr>
        <w:pStyle w:val="NoSpacing"/>
      </w:pPr>
      <w:r w:rsidRPr="006973A6">
        <w:t xml:space="preserve">We </w:t>
      </w:r>
      <w:r w:rsidR="004B3DAC">
        <w:t xml:space="preserve">also </w:t>
      </w:r>
      <w:r w:rsidR="003F18E6" w:rsidRPr="006973A6">
        <w:t xml:space="preserve">explored similarities and dissimilarities of AFLP data for control and treated isolates </w:t>
      </w:r>
      <w:r w:rsidR="00CE7CCC">
        <w:t xml:space="preserve">by </w:t>
      </w:r>
      <w:r w:rsidR="003F18E6" w:rsidRPr="006973A6">
        <w:t>principal coordinate analysis (</w:t>
      </w:r>
      <w:proofErr w:type="spellStart"/>
      <w:r w:rsidR="003F18E6" w:rsidRPr="006973A6">
        <w:t>PCoA</w:t>
      </w:r>
      <w:proofErr w:type="spellEnd"/>
      <w:r w:rsidR="003F18E6" w:rsidRPr="006973A6">
        <w:t>) (</w:t>
      </w:r>
      <w:proofErr w:type="spellStart"/>
      <w:r w:rsidR="003F18E6" w:rsidRPr="006973A6">
        <w:rPr>
          <w:rFonts w:cs="AdvCaeciliaRm"/>
        </w:rPr>
        <w:t>Zuur</w:t>
      </w:r>
      <w:proofErr w:type="spellEnd"/>
      <w:r w:rsidR="003F18E6" w:rsidRPr="006973A6">
        <w:rPr>
          <w:rFonts w:cs="AdvCaeciliaRm"/>
        </w:rPr>
        <w:t xml:space="preserve"> AF, Leno EN, Smith GM)</w:t>
      </w:r>
      <w:r w:rsidR="003F18E6" w:rsidRPr="006973A6">
        <w:t xml:space="preserve">. This was performed using </w:t>
      </w:r>
      <w:proofErr w:type="spellStart"/>
      <w:r w:rsidRPr="006973A6">
        <w:t>Adegenet</w:t>
      </w:r>
      <w:proofErr w:type="spellEnd"/>
      <w:r w:rsidRPr="006973A6">
        <w:t xml:space="preserve"> </w:t>
      </w:r>
      <w:r w:rsidR="003F18E6" w:rsidRPr="006973A6">
        <w:t xml:space="preserve">package </w:t>
      </w:r>
      <w:r w:rsidR="00CE7CCC">
        <w:t xml:space="preserve">version </w:t>
      </w:r>
      <w:r w:rsidR="00CE7CCC" w:rsidRPr="006973A6">
        <w:t xml:space="preserve">2.0.0 </w:t>
      </w:r>
      <w:r w:rsidR="003F18E6" w:rsidRPr="006973A6">
        <w:t>in R (</w:t>
      </w:r>
      <w:proofErr w:type="spellStart"/>
      <w:r w:rsidR="003F18E6" w:rsidRPr="006973A6">
        <w:rPr>
          <w:rFonts w:cs="AdvCaeciliaRm"/>
          <w:highlight w:val="cyan"/>
        </w:rPr>
        <w:t>Jomba</w:t>
      </w:r>
      <w:r w:rsidR="003F18E6" w:rsidRPr="006973A6">
        <w:rPr>
          <w:rFonts w:cs="AdvCaeciliaRm"/>
        </w:rPr>
        <w:t>rt</w:t>
      </w:r>
      <w:proofErr w:type="spellEnd"/>
      <w:r w:rsidR="003F18E6" w:rsidRPr="006973A6">
        <w:rPr>
          <w:rFonts w:cs="AdvCaeciliaRm"/>
        </w:rPr>
        <w:t>, T. 2008)</w:t>
      </w:r>
      <w:r w:rsidR="003F18E6" w:rsidRPr="006973A6">
        <w:t>.</w:t>
      </w:r>
      <w:r w:rsidRPr="006973A6">
        <w:t xml:space="preserve"> </w:t>
      </w:r>
      <w:proofErr w:type="spellStart"/>
      <w:r w:rsidR="00FF67B8" w:rsidRPr="006973A6">
        <w:t>PCoA</w:t>
      </w:r>
      <w:proofErr w:type="spellEnd"/>
      <w:r w:rsidR="00FF67B8" w:rsidRPr="006973A6">
        <w:t xml:space="preserve"> uses </w:t>
      </w:r>
      <w:proofErr w:type="spellStart"/>
      <w:r w:rsidR="00FF67B8" w:rsidRPr="006973A6">
        <w:t>eiganvalues</w:t>
      </w:r>
      <w:proofErr w:type="spellEnd"/>
      <w:r w:rsidR="00FF67B8" w:rsidRPr="006973A6">
        <w:t xml:space="preserve"> </w:t>
      </w:r>
      <w:r w:rsidR="005C1552" w:rsidRPr="006973A6">
        <w:t>derived from a distance matrix (or any measure of association) and produce</w:t>
      </w:r>
      <w:r w:rsidR="006973A6">
        <w:t>s</w:t>
      </w:r>
      <w:r w:rsidR="005C1552" w:rsidRPr="006973A6">
        <w:t xml:space="preserve"> a graphical figure in a low-dimensional Euclidian space.</w:t>
      </w:r>
      <w:r w:rsidRPr="006973A6">
        <w:t xml:space="preserve"> </w:t>
      </w:r>
      <w:r w:rsidR="004B3DAC">
        <w:t xml:space="preserve">Analysis was conducted with several similarity coefficients available with the </w:t>
      </w:r>
      <w:proofErr w:type="spellStart"/>
      <w:r w:rsidR="004B3DAC">
        <w:t>Adegenet</w:t>
      </w:r>
      <w:proofErr w:type="spellEnd"/>
      <w:r w:rsidR="004B3DAC">
        <w:t xml:space="preserve"> package and Simple matching index</w:t>
      </w:r>
      <w:r w:rsidR="00E93FF4">
        <w:t xml:space="preserve"> (</w:t>
      </w:r>
      <w:r w:rsidR="00E93FF4" w:rsidRPr="00E93FF4">
        <w:rPr>
          <w:rFonts w:cs="AdvCaeciliaRm"/>
        </w:rPr>
        <w:t xml:space="preserve">R. R. </w:t>
      </w:r>
      <w:proofErr w:type="spellStart"/>
      <w:r w:rsidR="00E93FF4" w:rsidRPr="00E93FF4">
        <w:rPr>
          <w:rFonts w:cs="AdvCaeciliaRm"/>
        </w:rPr>
        <w:t>Sokal</w:t>
      </w:r>
      <w:proofErr w:type="spellEnd"/>
      <w:r w:rsidR="00E93FF4" w:rsidRPr="00E93FF4">
        <w:rPr>
          <w:rFonts w:cs="AdvCaeciliaRm"/>
        </w:rPr>
        <w:t>, C. D. Michener</w:t>
      </w:r>
      <w:r w:rsidR="00E93FF4">
        <w:rPr>
          <w:rFonts w:cs="AdvCaeciliaRm"/>
        </w:rPr>
        <w:t>)</w:t>
      </w:r>
      <w:r w:rsidR="004B3DAC">
        <w:t xml:space="preserve"> was selected since it gave the </w:t>
      </w:r>
      <w:r w:rsidR="00E93FF4" w:rsidRPr="00E93FF4">
        <w:t xml:space="preserve">best resolution between </w:t>
      </w:r>
      <w:r w:rsidR="00E93FF4">
        <w:t>control and fungicide exposed isolates.</w:t>
      </w:r>
      <w:r w:rsidR="00DC045E">
        <w:t xml:space="preserve"> </w:t>
      </w:r>
      <w:r w:rsidR="007F7B33" w:rsidRPr="006973A6">
        <w:t>The significance of the clusters formed were tested with analysis of molecular variance (AMOVA) using GENALEX version 6.41 (</w:t>
      </w:r>
      <w:proofErr w:type="spellStart"/>
      <w:r w:rsidR="007F7B33" w:rsidRPr="006973A6">
        <w:t>Peakall</w:t>
      </w:r>
      <w:proofErr w:type="spellEnd"/>
      <w:r w:rsidR="007F7B33" w:rsidRPr="006973A6">
        <w:t xml:space="preserve"> and </w:t>
      </w:r>
      <w:proofErr w:type="spellStart"/>
      <w:r w:rsidR="007F7B33" w:rsidRPr="006973A6">
        <w:t>Smouse</w:t>
      </w:r>
      <w:proofErr w:type="spellEnd"/>
      <w:r w:rsidR="007F7B33" w:rsidRPr="006973A6">
        <w:t xml:space="preserve"> 2006).</w:t>
      </w:r>
      <w:r w:rsidR="0082625E">
        <w:t xml:space="preserve"> </w:t>
      </w:r>
      <w:proofErr w:type="spellStart"/>
      <w:r w:rsidR="00C16BF9">
        <w:rPr>
          <w:rFonts w:cs="AdvCaeciliaRm"/>
        </w:rPr>
        <w:t>PhiPT</w:t>
      </w:r>
      <w:proofErr w:type="spellEnd"/>
      <w:r w:rsidR="00C16BF9">
        <w:rPr>
          <w:rFonts w:cs="AdvCaeciliaRm"/>
        </w:rPr>
        <w:t xml:space="preserve"> which is an</w:t>
      </w:r>
      <w:r w:rsidR="00C16BF9" w:rsidRPr="00BF4845">
        <w:t xml:space="preserve"> analogue of Wright’s </w:t>
      </w:r>
      <w:r w:rsidR="00C16BF9" w:rsidRPr="00BF4845">
        <w:rPr>
          <w:i/>
          <w:iCs/>
        </w:rPr>
        <w:t>F</w:t>
      </w:r>
      <w:r w:rsidR="00C16BF9" w:rsidRPr="00BF4845">
        <w:rPr>
          <w:vertAlign w:val="subscript"/>
        </w:rPr>
        <w:t>ST</w:t>
      </w:r>
      <w:r w:rsidR="00C16BF9">
        <w:rPr>
          <w:vertAlign w:val="subscript"/>
        </w:rPr>
        <w:t xml:space="preserve"> </w:t>
      </w:r>
      <w:r w:rsidR="00C16BF9" w:rsidRPr="00C16BF9">
        <w:t xml:space="preserve">was used </w:t>
      </w:r>
      <w:r w:rsidR="00C16BF9">
        <w:t xml:space="preserve">to ascertain significance of populations. </w:t>
      </w:r>
      <w:r w:rsidR="0082625E" w:rsidRPr="00BF4845">
        <w:t>An F</w:t>
      </w:r>
      <w:r w:rsidR="0082625E" w:rsidRPr="00BF4845">
        <w:rPr>
          <w:vertAlign w:val="subscript"/>
        </w:rPr>
        <w:t>ST</w:t>
      </w:r>
      <w:r w:rsidR="0082625E" w:rsidRPr="00BF4845">
        <w:t xml:space="preserve"> value of 0.05 or less is generally  considered as reasonably low and may be interpreted to m</w:t>
      </w:r>
      <w:r w:rsidR="00C16BF9">
        <w:t xml:space="preserve">ean that structuring between </w:t>
      </w:r>
      <w:r w:rsidR="0082625E" w:rsidRPr="00BF4845">
        <w:t xml:space="preserve">populations is weak </w:t>
      </w:r>
      <w:r w:rsidR="0082625E" w:rsidRPr="00BF4845">
        <w:rPr>
          <w:noProof/>
        </w:rPr>
        <w:t>[33,34]</w:t>
      </w:r>
      <w:r w:rsidR="0082625E" w:rsidRPr="00BF4845">
        <w:t>.</w:t>
      </w:r>
    </w:p>
    <w:p w:rsidR="00906803" w:rsidRDefault="00906803" w:rsidP="008032C5">
      <w:pPr>
        <w:pStyle w:val="NoSpacing"/>
      </w:pPr>
    </w:p>
    <w:p w:rsidR="00183CC5" w:rsidRDefault="00BD1C35" w:rsidP="00A5300D">
      <w:pPr>
        <w:pStyle w:val="NoSpacing"/>
      </w:pPr>
      <w:r w:rsidRPr="006973A6">
        <w:t xml:space="preserve">To see congruence of results, discriminant analysis of principal components (DAPC) was also performed on AFLP data. </w:t>
      </w:r>
      <w:r w:rsidR="00FD5938" w:rsidRPr="006973A6">
        <w:t xml:space="preserve">DAPC is </w:t>
      </w:r>
      <w:r w:rsidR="00012F9E">
        <w:t>powerful multivariate method designed to identify and describe clusters of genetically related individuals.</w:t>
      </w:r>
      <w:r w:rsidR="00B66F97">
        <w:t xml:space="preserve"> Discriminant analysis maximizes the separation between groups while minimizing variation within group</w:t>
      </w:r>
      <w:r w:rsidR="00C540C0">
        <w:t xml:space="preserve"> (</w:t>
      </w:r>
      <w:proofErr w:type="spellStart"/>
      <w:r w:rsidR="00C540C0" w:rsidRPr="00C540C0">
        <w:rPr>
          <w:rFonts w:cs="AdvCaeciliaRm"/>
          <w:highlight w:val="cyan"/>
        </w:rPr>
        <w:t>Jombart</w:t>
      </w:r>
      <w:proofErr w:type="spellEnd"/>
      <w:r w:rsidR="00C540C0" w:rsidRPr="00C540C0">
        <w:rPr>
          <w:rFonts w:cs="AdvCaeciliaRm"/>
          <w:highlight w:val="cyan"/>
        </w:rPr>
        <w:t xml:space="preserve">, T, </w:t>
      </w:r>
      <w:proofErr w:type="spellStart"/>
      <w:r w:rsidR="00C540C0" w:rsidRPr="00C540C0">
        <w:rPr>
          <w:rFonts w:cs="AdvCaeciliaRm"/>
          <w:highlight w:val="cyan"/>
        </w:rPr>
        <w:t>Devillard</w:t>
      </w:r>
      <w:proofErr w:type="spellEnd"/>
      <w:r w:rsidR="00C540C0" w:rsidRPr="00C540C0">
        <w:rPr>
          <w:rFonts w:cs="AdvCaeciliaRm"/>
          <w:highlight w:val="cyan"/>
        </w:rPr>
        <w:t xml:space="preserve"> S, and </w:t>
      </w:r>
      <w:proofErr w:type="spellStart"/>
      <w:r w:rsidR="00C540C0" w:rsidRPr="00C540C0">
        <w:rPr>
          <w:rFonts w:cs="AdvCaeciliaRm"/>
          <w:highlight w:val="cyan"/>
        </w:rPr>
        <w:t>Balloux</w:t>
      </w:r>
      <w:proofErr w:type="spellEnd"/>
      <w:r w:rsidR="00C540C0" w:rsidRPr="00C540C0">
        <w:rPr>
          <w:rFonts w:cs="AdvCaeciliaRm"/>
          <w:highlight w:val="cyan"/>
        </w:rPr>
        <w:t xml:space="preserve"> F. 20</w:t>
      </w:r>
      <w:r w:rsidR="00C540C0">
        <w:rPr>
          <w:rFonts w:cs="AdvCaeciliaRm"/>
        </w:rPr>
        <w:t>10)</w:t>
      </w:r>
      <w:r w:rsidR="00B66F97">
        <w:t>.</w:t>
      </w:r>
      <w:r w:rsidR="00012F9E">
        <w:t xml:space="preserve"> </w:t>
      </w:r>
      <w:r w:rsidR="00B66F97">
        <w:t>This</w:t>
      </w:r>
      <w:r w:rsidR="00B706AA">
        <w:t xml:space="preserve"> method</w:t>
      </w:r>
      <w:r w:rsidR="00B66F97">
        <w:t xml:space="preserve"> is a</w:t>
      </w:r>
      <w:r w:rsidR="00B706AA">
        <w:t xml:space="preserve">lso capable of deciphering how clear-cut or admixed individuals </w:t>
      </w:r>
      <w:r w:rsidR="00183CC5">
        <w:t>are since it can calculate</w:t>
      </w:r>
      <w:r w:rsidR="00DC045E">
        <w:t xml:space="preserve"> </w:t>
      </w:r>
      <w:r w:rsidR="00183CC5">
        <w:t xml:space="preserve">the </w:t>
      </w:r>
      <w:r w:rsidR="00DC045E">
        <w:t xml:space="preserve">membership probabilities of </w:t>
      </w:r>
      <w:r w:rsidR="00183CC5">
        <w:t>isolates included in a predefined group (ex. control and</w:t>
      </w:r>
      <w:r w:rsidR="00AA60B5">
        <w:t xml:space="preserve"> fungicide challenged isolates)</w:t>
      </w:r>
      <w:r w:rsidR="00B706AA">
        <w:t xml:space="preserve">. </w:t>
      </w:r>
      <w:r w:rsidR="00C540C0" w:rsidRPr="00DC045E">
        <w:rPr>
          <w:strike/>
        </w:rPr>
        <w:t xml:space="preserve">DAPC can calculate the </w:t>
      </w:r>
      <w:r w:rsidR="005C1DAF" w:rsidRPr="00DC045E">
        <w:rPr>
          <w:strike/>
        </w:rPr>
        <w:t>membership probability of clusters other than the assigned one</w:t>
      </w:r>
      <w:r w:rsidR="00C540C0" w:rsidRPr="00DC045E">
        <w:rPr>
          <w:strike/>
        </w:rPr>
        <w:t xml:space="preserve"> for these admixed isolates.</w:t>
      </w:r>
      <w:r w:rsidR="00C540C0">
        <w:t xml:space="preserve"> </w:t>
      </w:r>
      <w:r w:rsidR="005C1DAF">
        <w:t xml:space="preserve"> </w:t>
      </w:r>
      <w:r w:rsidR="00DC045E">
        <w:t xml:space="preserve">First we used </w:t>
      </w:r>
      <w:r w:rsidR="00A5300D">
        <w:t xml:space="preserve">the </w:t>
      </w:r>
      <w:proofErr w:type="spellStart"/>
      <w:r w:rsidR="00DC045E" w:rsidRPr="00A5300D">
        <w:rPr>
          <w:i/>
        </w:rPr>
        <w:t>find.clusters</w:t>
      </w:r>
      <w:proofErr w:type="spellEnd"/>
      <w:r w:rsidR="00DC045E">
        <w:t xml:space="preserve"> function </w:t>
      </w:r>
      <w:r w:rsidR="001A7C81">
        <w:t xml:space="preserve">in </w:t>
      </w:r>
      <w:proofErr w:type="spellStart"/>
      <w:r w:rsidR="001A7C81">
        <w:t>A</w:t>
      </w:r>
      <w:r w:rsidR="00183CC5">
        <w:t>degenet</w:t>
      </w:r>
      <w:proofErr w:type="spellEnd"/>
      <w:r w:rsidR="00183CC5">
        <w:t xml:space="preserve"> to identify </w:t>
      </w:r>
      <w:r w:rsidR="00B12242">
        <w:t xml:space="preserve">the </w:t>
      </w:r>
      <w:r w:rsidR="00183CC5">
        <w:t>optimal number of clust</w:t>
      </w:r>
      <w:r w:rsidR="00B12242">
        <w:t xml:space="preserve">ers of the analyzed samples. This is achieved by running </w:t>
      </w:r>
      <w:r w:rsidR="001A7C81" w:rsidRPr="001A7C81">
        <w:rPr>
          <w:i/>
        </w:rPr>
        <w:t>k</w:t>
      </w:r>
      <w:r w:rsidR="001A7C81">
        <w:t xml:space="preserve">-means </w:t>
      </w:r>
      <w:r w:rsidR="00B12242">
        <w:t>clustering algorithm</w:t>
      </w:r>
      <w:r w:rsidR="001A7C81">
        <w:t xml:space="preserve"> </w:t>
      </w:r>
      <w:r w:rsidR="00B12242">
        <w:t xml:space="preserve">for </w:t>
      </w:r>
      <w:r w:rsidR="001A7C81">
        <w:t>increasing</w:t>
      </w:r>
      <w:r w:rsidR="00B12242">
        <w:t xml:space="preserve"> number of groups and identifying the </w:t>
      </w:r>
      <w:r w:rsidR="001A7C81">
        <w:t xml:space="preserve">group </w:t>
      </w:r>
      <w:r w:rsidR="00B12242">
        <w:t xml:space="preserve">number which maximizes the variation between groups.  </w:t>
      </w:r>
      <w:r w:rsidR="00183CC5">
        <w:t xml:space="preserve"> </w:t>
      </w:r>
      <w:r w:rsidR="00A5300D">
        <w:t xml:space="preserve">The </w:t>
      </w:r>
      <w:proofErr w:type="spellStart"/>
      <w:r w:rsidR="00A5300D" w:rsidRPr="00A5300D">
        <w:rPr>
          <w:i/>
        </w:rPr>
        <w:t>assignplot</w:t>
      </w:r>
      <w:proofErr w:type="spellEnd"/>
      <w:r w:rsidR="00183CC5">
        <w:t xml:space="preserve"> </w:t>
      </w:r>
      <w:r w:rsidR="00A5300D">
        <w:t xml:space="preserve">was used to visualize the membership probabilities after successful reassignment of individuals based on discriminant functions. Large </w:t>
      </w:r>
      <w:r w:rsidR="00A01BE6">
        <w:t xml:space="preserve">probability </w:t>
      </w:r>
      <w:r w:rsidR="00A5300D">
        <w:t>values indicate clear-cut clusters, while low values suggest admixed groups.</w:t>
      </w:r>
    </w:p>
    <w:p w:rsidR="005C1DAF" w:rsidRDefault="005C1DAF" w:rsidP="00B66F97">
      <w:pPr>
        <w:pStyle w:val="NoSpacing"/>
      </w:pPr>
    </w:p>
    <w:p w:rsidR="00FB4D39" w:rsidRPr="006973A6" w:rsidRDefault="00BF3779" w:rsidP="008032C5">
      <w:pPr>
        <w:pStyle w:val="NoSpacing"/>
      </w:pPr>
      <w:r>
        <w:t>Censored data</w:t>
      </w:r>
    </w:p>
    <w:p w:rsidR="007528FD" w:rsidRDefault="00E22EA7" w:rsidP="00FE055A">
      <w:pPr>
        <w:pStyle w:val="NoSpacing"/>
      </w:pPr>
      <w:r>
        <w:lastRenderedPageBreak/>
        <w:t xml:space="preserve">AFLP data of </w:t>
      </w:r>
      <w:r w:rsidR="00BF3779">
        <w:t xml:space="preserve">control isolates </w:t>
      </w:r>
      <w:r>
        <w:t xml:space="preserve">of G0 and G12 showed polymorphic alleles for some loci probably due to random mutations and background noise. We removed these polymorphic alleles in </w:t>
      </w:r>
      <w:r w:rsidR="004C0774">
        <w:t xml:space="preserve">order to arrive with same </w:t>
      </w:r>
      <w:proofErr w:type="spellStart"/>
      <w:r w:rsidR="004C0774">
        <w:t>multi</w:t>
      </w:r>
      <w:r>
        <w:t>locus</w:t>
      </w:r>
      <w:proofErr w:type="spellEnd"/>
      <w:r>
        <w:t xml:space="preserve"> genotype for each control isolate of GO and G12</w:t>
      </w:r>
      <w:r w:rsidR="000152D2">
        <w:t xml:space="preserve"> (i.e. </w:t>
      </w:r>
      <w:r w:rsidR="002B1178">
        <w:t xml:space="preserve">converted them to </w:t>
      </w:r>
      <w:r w:rsidR="000152D2">
        <w:t>clones)</w:t>
      </w:r>
      <w:r>
        <w:t xml:space="preserve">.  </w:t>
      </w:r>
      <w:r w:rsidRPr="0018604A">
        <w:t xml:space="preserve">The corresponding alleles of fungicide challenged isolates were </w:t>
      </w:r>
      <w:r w:rsidR="000152D2" w:rsidRPr="0018604A">
        <w:t xml:space="preserve">also </w:t>
      </w:r>
      <w:r w:rsidR="00537E37" w:rsidRPr="0018604A">
        <w:t>removed.</w:t>
      </w:r>
      <w:r w:rsidR="00537E37">
        <w:t xml:space="preserve"> This</w:t>
      </w:r>
      <w:r>
        <w:t xml:space="preserve"> censored AFLP binary table was analyzed </w:t>
      </w:r>
      <w:r w:rsidR="00430967" w:rsidRPr="0054426A">
        <w:rPr>
          <w:strike/>
        </w:rPr>
        <w:t>after removing clones</w:t>
      </w:r>
      <w:r w:rsidR="00430967">
        <w:t xml:space="preserve"> </w:t>
      </w:r>
      <w:r>
        <w:t>to construct a neighbor joining tree using Roger</w:t>
      </w:r>
      <w:r w:rsidR="000152D2">
        <w:t xml:space="preserve">s </w:t>
      </w:r>
      <w:r w:rsidR="000152D2" w:rsidRPr="004C0774">
        <w:rPr>
          <w:strike/>
        </w:rPr>
        <w:t xml:space="preserve">index </w:t>
      </w:r>
      <w:r w:rsidR="00C12FA6" w:rsidRPr="004C0774">
        <w:rPr>
          <w:rFonts w:cs="AdvCaeciliaRm"/>
          <w:strike/>
        </w:rPr>
        <w:t>based</w:t>
      </w:r>
      <w:r w:rsidR="00C12FA6" w:rsidRPr="000152D2">
        <w:rPr>
          <w:rFonts w:cs="AdvCaeciliaRm"/>
        </w:rPr>
        <w:t xml:space="preserve"> </w:t>
      </w:r>
      <w:r w:rsidR="000152D2">
        <w:t>distance matrix</w:t>
      </w:r>
      <w:r w:rsidR="0054426A">
        <w:t xml:space="preserve"> using </w:t>
      </w:r>
      <w:proofErr w:type="spellStart"/>
      <w:r w:rsidR="0054426A">
        <w:t>Poppr</w:t>
      </w:r>
      <w:proofErr w:type="spellEnd"/>
      <w:r w:rsidR="00FE055A">
        <w:t xml:space="preserve">. </w:t>
      </w:r>
      <w:r w:rsidR="000152D2">
        <w:t xml:space="preserve">DAPC was performed on censored </w:t>
      </w:r>
      <w:r w:rsidR="0054426A">
        <w:t xml:space="preserve">AFLP alleles after clone correction in order identify </w:t>
      </w:r>
      <w:r w:rsidR="00FE055A">
        <w:t xml:space="preserve">optimal </w:t>
      </w:r>
      <w:r w:rsidR="0054426A">
        <w:t xml:space="preserve">number of clusters </w:t>
      </w:r>
      <w:r w:rsidR="00C12FA6">
        <w:t>and probability of membership</w:t>
      </w:r>
      <w:r w:rsidR="00FE055A">
        <w:t xml:space="preserve"> of individuals falling into each cluster</w:t>
      </w:r>
      <w:r w:rsidR="000152D2">
        <w:t>.</w:t>
      </w:r>
      <w:r w:rsidR="009E4641">
        <w:t xml:space="preserve"> </w:t>
      </w:r>
    </w:p>
    <w:p w:rsidR="00996F0E" w:rsidRDefault="00996F0E" w:rsidP="00786B2A">
      <w:pPr>
        <w:autoSpaceDE w:val="0"/>
        <w:autoSpaceDN w:val="0"/>
        <w:adjustRightInd w:val="0"/>
        <w:spacing w:after="0" w:line="240" w:lineRule="auto"/>
        <w:rPr>
          <w:rFonts w:cs="AdvCaeciliaRm"/>
        </w:rPr>
      </w:pPr>
    </w:p>
    <w:p w:rsidR="001836CA" w:rsidRDefault="001836CA" w:rsidP="001836CA">
      <w:pPr>
        <w:autoSpaceDE w:val="0"/>
        <w:autoSpaceDN w:val="0"/>
        <w:adjustRightInd w:val="0"/>
        <w:spacing w:after="0" w:line="240" w:lineRule="auto"/>
        <w:rPr>
          <w:rFonts w:cs="AdvCaeciliaRm"/>
        </w:rPr>
      </w:pPr>
      <w:r>
        <w:rPr>
          <w:rFonts w:cs="AdvCaeciliaRm"/>
        </w:rPr>
        <w:t>Results</w:t>
      </w:r>
    </w:p>
    <w:p w:rsidR="00996F0E" w:rsidRDefault="00996F0E" w:rsidP="00786B2A">
      <w:pPr>
        <w:autoSpaceDE w:val="0"/>
        <w:autoSpaceDN w:val="0"/>
        <w:adjustRightInd w:val="0"/>
        <w:spacing w:after="0" w:line="240" w:lineRule="auto"/>
        <w:rPr>
          <w:rFonts w:cs="AdvCaeciliaRm"/>
        </w:rPr>
      </w:pPr>
    </w:p>
    <w:p w:rsidR="00B94786" w:rsidRDefault="00B94786" w:rsidP="00786B2A">
      <w:pPr>
        <w:autoSpaceDE w:val="0"/>
        <w:autoSpaceDN w:val="0"/>
        <w:adjustRightInd w:val="0"/>
        <w:spacing w:after="0" w:line="240" w:lineRule="auto"/>
        <w:rPr>
          <w:rFonts w:cs="AdvCaeciliaRm"/>
        </w:rPr>
      </w:pPr>
      <w:r>
        <w:rPr>
          <w:rFonts w:cs="AdvCaeciliaRm"/>
        </w:rPr>
        <w:t>Microsatellite satellite</w:t>
      </w:r>
    </w:p>
    <w:p w:rsidR="00B94786" w:rsidRDefault="00B94786" w:rsidP="00786B2A">
      <w:pPr>
        <w:autoSpaceDE w:val="0"/>
        <w:autoSpaceDN w:val="0"/>
        <w:adjustRightInd w:val="0"/>
        <w:spacing w:after="0" w:line="240" w:lineRule="auto"/>
        <w:rPr>
          <w:rFonts w:cs="AdvCaeciliaRm"/>
        </w:rPr>
      </w:pPr>
    </w:p>
    <w:p w:rsidR="004D6D46" w:rsidRDefault="00D34DC6" w:rsidP="00FF3865">
      <w:pPr>
        <w:autoSpaceDE w:val="0"/>
        <w:autoSpaceDN w:val="0"/>
        <w:adjustRightInd w:val="0"/>
        <w:spacing w:after="0" w:line="240" w:lineRule="auto"/>
        <w:rPr>
          <w:rFonts w:cs="AdvCaeciliaRm"/>
        </w:rPr>
      </w:pPr>
      <w:r>
        <w:rPr>
          <w:rFonts w:cs="AdvCaeciliaRm"/>
        </w:rPr>
        <w:t xml:space="preserve">The microsatellite alleles of control isolates </w:t>
      </w:r>
      <w:r w:rsidR="00142CB9">
        <w:rPr>
          <w:rFonts w:cs="AdvCaeciliaRm"/>
        </w:rPr>
        <w:t>did not show any differ</w:t>
      </w:r>
      <w:r w:rsidR="00537E37">
        <w:rPr>
          <w:rFonts w:cs="AdvCaeciliaRm"/>
        </w:rPr>
        <w:t>en</w:t>
      </w:r>
      <w:r w:rsidR="00142CB9">
        <w:rPr>
          <w:rFonts w:cs="AdvCaeciliaRm"/>
        </w:rPr>
        <w:t xml:space="preserve">ce </w:t>
      </w:r>
      <w:r w:rsidR="00A77C34">
        <w:rPr>
          <w:rFonts w:cs="AdvCaeciliaRm"/>
        </w:rPr>
        <w:t>between</w:t>
      </w:r>
      <w:r w:rsidR="00142CB9">
        <w:rPr>
          <w:rFonts w:cs="AdvCaeciliaRm"/>
        </w:rPr>
        <w:t xml:space="preserve"> </w:t>
      </w:r>
      <w:r>
        <w:rPr>
          <w:rFonts w:cs="AdvCaeciliaRm"/>
        </w:rPr>
        <w:t xml:space="preserve">G0 and </w:t>
      </w:r>
      <w:r w:rsidR="00142CB9">
        <w:rPr>
          <w:rFonts w:cs="AdvCaeciliaRm"/>
        </w:rPr>
        <w:t xml:space="preserve">G12. </w:t>
      </w:r>
      <w:r w:rsidR="009829FE">
        <w:rPr>
          <w:rFonts w:cs="AdvCaeciliaRm"/>
        </w:rPr>
        <w:t>A</w:t>
      </w:r>
      <w:r w:rsidR="00537E37">
        <w:rPr>
          <w:rFonts w:cs="AdvCaeciliaRm"/>
        </w:rPr>
        <w:t xml:space="preserve"> </w:t>
      </w:r>
      <w:r w:rsidR="00142CB9">
        <w:rPr>
          <w:rFonts w:cs="AdvCaeciliaRm"/>
        </w:rPr>
        <w:t>few allel</w:t>
      </w:r>
      <w:r w:rsidR="00537E37">
        <w:rPr>
          <w:rFonts w:cs="AdvCaeciliaRm"/>
        </w:rPr>
        <w:t>e</w:t>
      </w:r>
      <w:r w:rsidR="00142CB9">
        <w:rPr>
          <w:rFonts w:cs="AdvCaeciliaRm"/>
        </w:rPr>
        <w:t xml:space="preserve">s of the fungicide challenged isolates </w:t>
      </w:r>
      <w:r w:rsidR="00E657D0">
        <w:rPr>
          <w:rFonts w:cs="AdvCaeciliaRm"/>
        </w:rPr>
        <w:t>expressed mutations</w:t>
      </w:r>
      <w:r w:rsidR="00537E37">
        <w:rPr>
          <w:rFonts w:cs="AdvCaeciliaRm"/>
        </w:rPr>
        <w:t xml:space="preserve"> </w:t>
      </w:r>
      <w:r w:rsidR="00E657D0">
        <w:rPr>
          <w:rFonts w:cs="AdvCaeciliaRm"/>
        </w:rPr>
        <w:t>(Table 3).</w:t>
      </w:r>
      <w:r w:rsidR="00537E37">
        <w:rPr>
          <w:rFonts w:cs="AdvCaeciliaRm"/>
        </w:rPr>
        <w:t xml:space="preserve"> </w:t>
      </w:r>
      <w:r w:rsidR="00A77C34">
        <w:rPr>
          <w:rFonts w:cs="AdvCaeciliaRm"/>
        </w:rPr>
        <w:t xml:space="preserve"> Most mutations were insertions except for iprodione, which mainly consisted of deletions. All </w:t>
      </w:r>
      <w:r w:rsidR="00DE772F">
        <w:rPr>
          <w:rFonts w:cs="AdvCaeciliaRm"/>
        </w:rPr>
        <w:t xml:space="preserve">deletions and insertions were represented by addition or removal </w:t>
      </w:r>
      <w:r w:rsidR="009829FE">
        <w:rPr>
          <w:rFonts w:cs="AdvCaeciliaRm"/>
        </w:rPr>
        <w:t xml:space="preserve">of </w:t>
      </w:r>
      <w:r w:rsidR="00DE772F">
        <w:rPr>
          <w:rFonts w:cs="AdvCaeciliaRm"/>
        </w:rPr>
        <w:t xml:space="preserve">repeat units corresponding to the microsatellite marker except for the loci 6-2, which according to </w:t>
      </w:r>
      <w:proofErr w:type="spellStart"/>
      <w:r w:rsidR="00DE772F">
        <w:rPr>
          <w:rFonts w:cs="AdvCaeciliaRm"/>
        </w:rPr>
        <w:t>Sirjusingh</w:t>
      </w:r>
      <w:proofErr w:type="spellEnd"/>
      <w:r w:rsidR="00DE772F">
        <w:rPr>
          <w:rFonts w:cs="AdvCaeciliaRm"/>
        </w:rPr>
        <w:t xml:space="preserve"> and Kohn </w:t>
      </w:r>
      <w:r w:rsidR="004D6D46">
        <w:rPr>
          <w:rFonts w:cs="AdvCaeciliaRm"/>
        </w:rPr>
        <w:t>(</w:t>
      </w:r>
      <w:r w:rsidR="00DE772F" w:rsidRPr="004D6D46">
        <w:rPr>
          <w:rFonts w:cs="AdvCaeciliaRm"/>
          <w:highlight w:val="cyan"/>
        </w:rPr>
        <w:t>2001</w:t>
      </w:r>
      <w:r w:rsidR="004D6D46" w:rsidRPr="004D6D46">
        <w:rPr>
          <w:rFonts w:cs="AdvCaeciliaRm"/>
          <w:highlight w:val="cyan"/>
        </w:rPr>
        <w:t>)</w:t>
      </w:r>
      <w:r w:rsidR="009829FE">
        <w:rPr>
          <w:rFonts w:cs="AdvCaeciliaRm"/>
        </w:rPr>
        <w:t xml:space="preserve"> is</w:t>
      </w:r>
      <w:r w:rsidR="00DE772F">
        <w:rPr>
          <w:rFonts w:cs="AdvCaeciliaRm"/>
        </w:rPr>
        <w:t xml:space="preserve"> polymorphic locus rather than a microsatellite.  Insertions and deletions ranged from a few base pairs to</w:t>
      </w:r>
      <w:r w:rsidR="004D6D46">
        <w:rPr>
          <w:rFonts w:cs="AdvCaeciliaRm"/>
        </w:rPr>
        <w:t xml:space="preserve"> 80 </w:t>
      </w:r>
      <w:proofErr w:type="spellStart"/>
      <w:r w:rsidR="004D6D46">
        <w:rPr>
          <w:rFonts w:cs="AdvCaeciliaRm"/>
        </w:rPr>
        <w:t>bp</w:t>
      </w:r>
      <w:proofErr w:type="spellEnd"/>
      <w:r w:rsidR="004D6D46">
        <w:rPr>
          <w:rFonts w:cs="AdvCaeciliaRm"/>
        </w:rPr>
        <w:t xml:space="preserve"> while most mutations were less than 20 </w:t>
      </w:r>
      <w:proofErr w:type="spellStart"/>
      <w:r w:rsidR="004D6D46">
        <w:rPr>
          <w:rFonts w:cs="AdvCaeciliaRm"/>
        </w:rPr>
        <w:t>bp</w:t>
      </w:r>
      <w:proofErr w:type="spellEnd"/>
      <w:r w:rsidR="004D6D46">
        <w:rPr>
          <w:rFonts w:cs="AdvCaeciliaRm"/>
        </w:rPr>
        <w:t xml:space="preserve"> in length. </w:t>
      </w:r>
      <w:r w:rsidR="00DE772F">
        <w:rPr>
          <w:rFonts w:cs="AdvCaeciliaRm"/>
        </w:rPr>
        <w:t xml:space="preserve"> </w:t>
      </w:r>
      <w:r w:rsidR="00FF3865">
        <w:rPr>
          <w:rFonts w:cs="AdvCaeciliaRm"/>
        </w:rPr>
        <w:t>Large</w:t>
      </w:r>
      <w:r w:rsidR="004D6D46">
        <w:rPr>
          <w:rFonts w:cs="AdvCaeciliaRm"/>
        </w:rPr>
        <w:t xml:space="preserve"> mutations were observed only on 114-4 locus (data not shown).</w:t>
      </w:r>
    </w:p>
    <w:p w:rsidR="004D6D46" w:rsidRDefault="004D6D46" w:rsidP="00786B2A">
      <w:pPr>
        <w:autoSpaceDE w:val="0"/>
        <w:autoSpaceDN w:val="0"/>
        <w:adjustRightInd w:val="0"/>
        <w:spacing w:after="0" w:line="240" w:lineRule="auto"/>
        <w:rPr>
          <w:rFonts w:cs="AdvCaeciliaRm"/>
        </w:rPr>
      </w:pPr>
    </w:p>
    <w:p w:rsidR="00762E22" w:rsidRDefault="00B94786" w:rsidP="00786B2A">
      <w:pPr>
        <w:autoSpaceDE w:val="0"/>
        <w:autoSpaceDN w:val="0"/>
        <w:adjustRightInd w:val="0"/>
        <w:spacing w:after="0" w:line="240" w:lineRule="auto"/>
        <w:rPr>
          <w:rFonts w:cs="AdvCaeciliaRm"/>
        </w:rPr>
      </w:pPr>
      <w:r>
        <w:rPr>
          <w:rFonts w:cs="AdvCaeciliaRm"/>
        </w:rPr>
        <w:t>AFLP analysis</w:t>
      </w:r>
      <w:r w:rsidR="004D6D46">
        <w:rPr>
          <w:rFonts w:cs="AdvCaeciliaRm"/>
        </w:rPr>
        <w:t xml:space="preserve"> </w:t>
      </w:r>
      <w:r w:rsidR="00DE772F">
        <w:rPr>
          <w:rFonts w:cs="AdvCaeciliaRm"/>
        </w:rPr>
        <w:t xml:space="preserve"> </w:t>
      </w:r>
      <w:r w:rsidR="00A77C34">
        <w:rPr>
          <w:rFonts w:cs="AdvCaeciliaRm"/>
        </w:rPr>
        <w:t xml:space="preserve">  </w:t>
      </w:r>
      <w:r w:rsidR="00D34DC6">
        <w:rPr>
          <w:rFonts w:cs="AdvCaeciliaRm"/>
        </w:rPr>
        <w:t xml:space="preserve"> </w:t>
      </w:r>
    </w:p>
    <w:p w:rsidR="00D34DC6" w:rsidRDefault="00D34DC6" w:rsidP="00786B2A">
      <w:pPr>
        <w:autoSpaceDE w:val="0"/>
        <w:autoSpaceDN w:val="0"/>
        <w:adjustRightInd w:val="0"/>
        <w:spacing w:after="0" w:line="240" w:lineRule="auto"/>
        <w:rPr>
          <w:rFonts w:cs="AdvCaeciliaRm"/>
        </w:rPr>
      </w:pPr>
    </w:p>
    <w:p w:rsidR="00C16BF9" w:rsidRDefault="001434D3" w:rsidP="00155FB5">
      <w:pPr>
        <w:autoSpaceDE w:val="0"/>
        <w:autoSpaceDN w:val="0"/>
        <w:adjustRightInd w:val="0"/>
        <w:spacing w:after="0" w:line="240" w:lineRule="auto"/>
        <w:rPr>
          <w:rFonts w:cs="AdvCaeciliaRm"/>
        </w:rPr>
      </w:pPr>
      <w:r>
        <w:rPr>
          <w:rFonts w:cs="AdvCaeciliaRm"/>
        </w:rPr>
        <w:t>The three AFLP primers resulted in 602 polymorphic alleles</w:t>
      </w:r>
      <w:r w:rsidR="00F87F7C">
        <w:rPr>
          <w:rFonts w:cs="AdvCaeciliaRm"/>
        </w:rPr>
        <w:t xml:space="preserve"> for the 32 isolates analyzed</w:t>
      </w:r>
      <w:r>
        <w:rPr>
          <w:rFonts w:cs="AdvCaeciliaRm"/>
        </w:rPr>
        <w:t>.</w:t>
      </w:r>
      <w:r w:rsidR="00F87F7C">
        <w:rPr>
          <w:rFonts w:cs="AdvCaeciliaRm"/>
        </w:rPr>
        <w:t xml:space="preserve"> There were no clonal genotypes. However, </w:t>
      </w:r>
      <w:r w:rsidR="00E3657B">
        <w:rPr>
          <w:rFonts w:cs="AdvCaeciliaRm"/>
        </w:rPr>
        <w:t>large number</w:t>
      </w:r>
      <w:r w:rsidR="00F87F7C">
        <w:rPr>
          <w:rFonts w:cs="AdvCaeciliaRm"/>
        </w:rPr>
        <w:t xml:space="preserve"> of alleles of control GO and G12 isolates were common. </w:t>
      </w:r>
      <w:r w:rsidR="00EE1AA1">
        <w:rPr>
          <w:rFonts w:cs="AdvCaeciliaRm"/>
        </w:rPr>
        <w:t>The NJ tree largely separated fungicide challenged isolates from control isolates (Fig 2</w:t>
      </w:r>
      <w:r w:rsidR="00902372">
        <w:rPr>
          <w:rFonts w:cs="AdvCaeciliaRm"/>
        </w:rPr>
        <w:t>A</w:t>
      </w:r>
      <w:r w:rsidR="00EE1AA1">
        <w:rPr>
          <w:rFonts w:cs="AdvCaeciliaRm"/>
        </w:rPr>
        <w:t xml:space="preserve">). </w:t>
      </w:r>
      <w:r w:rsidR="009829FE">
        <w:rPr>
          <w:rFonts w:cs="AdvCaeciliaRm"/>
        </w:rPr>
        <w:t>A</w:t>
      </w:r>
      <w:r w:rsidR="00EE1AA1">
        <w:rPr>
          <w:rFonts w:cs="AdvCaeciliaRm"/>
        </w:rPr>
        <w:t xml:space="preserve"> cluster with high boot strap value of 60.7</w:t>
      </w:r>
      <w:r w:rsidR="00A42F6E">
        <w:rPr>
          <w:rFonts w:cs="AdvCaeciliaRm"/>
        </w:rPr>
        <w:t xml:space="preserve">% </w:t>
      </w:r>
      <w:r w:rsidR="00EE1AA1">
        <w:rPr>
          <w:rFonts w:cs="AdvCaeciliaRm"/>
        </w:rPr>
        <w:t xml:space="preserve">included 12 </w:t>
      </w:r>
      <w:r w:rsidR="004B3DAC">
        <w:rPr>
          <w:rFonts w:cs="AdvCaeciliaRm"/>
        </w:rPr>
        <w:t>of 17 fungicide exposed isolates</w:t>
      </w:r>
      <w:r w:rsidR="00A42F6E">
        <w:rPr>
          <w:rFonts w:cs="AdvCaeciliaRm"/>
        </w:rPr>
        <w:t xml:space="preserve">. </w:t>
      </w:r>
      <w:r w:rsidR="004B3DAC">
        <w:rPr>
          <w:rFonts w:cs="AdvCaeciliaRm"/>
        </w:rPr>
        <w:t xml:space="preserve"> </w:t>
      </w:r>
      <w:r w:rsidR="00A42F6E">
        <w:rPr>
          <w:rFonts w:cs="AdvCaeciliaRm"/>
        </w:rPr>
        <w:t>However, this cluster also included two control isolates Con_462_G12 and Con_467</w:t>
      </w:r>
      <w:r w:rsidR="00A42F6E" w:rsidRPr="00027365">
        <w:rPr>
          <w:rFonts w:cs="AdvCaeciliaRm"/>
        </w:rPr>
        <w:t>_G0</w:t>
      </w:r>
      <w:r w:rsidR="00A42F6E">
        <w:rPr>
          <w:rFonts w:cs="AdvCaeciliaRm"/>
        </w:rPr>
        <w:t xml:space="preserve"> (Fig 2</w:t>
      </w:r>
      <w:r w:rsidR="00AB5D07">
        <w:rPr>
          <w:rFonts w:cs="AdvCaeciliaRm"/>
        </w:rPr>
        <w:t>A</w:t>
      </w:r>
      <w:r w:rsidR="00A42F6E">
        <w:rPr>
          <w:rFonts w:cs="AdvCaeciliaRm"/>
        </w:rPr>
        <w:t>). Nine</w:t>
      </w:r>
      <w:r w:rsidR="00016546">
        <w:rPr>
          <w:rFonts w:cs="AdvCaeciliaRm"/>
        </w:rPr>
        <w:t xml:space="preserve"> of 15 control isolates grouped in a single cluster with bootstrap</w:t>
      </w:r>
      <w:r w:rsidR="00A42F6E">
        <w:rPr>
          <w:rFonts w:cs="AdvCaeciliaRm"/>
        </w:rPr>
        <w:t xml:space="preserve"> value of 50.7%.</w:t>
      </w:r>
      <w:r w:rsidR="00016546">
        <w:rPr>
          <w:rFonts w:cs="AdvCaeciliaRm"/>
        </w:rPr>
        <w:t xml:space="preserve"> </w:t>
      </w:r>
      <w:r w:rsidR="00902372">
        <w:rPr>
          <w:rFonts w:cs="AdvCaeciliaRm"/>
        </w:rPr>
        <w:t xml:space="preserve">The NJ tree for censored data is depicted in Fig 2B. Majority of isolates exposed to thiophanate methyl clustered together away from control isolates. Most clonal control isolates grouped </w:t>
      </w:r>
      <w:r w:rsidR="00A823EF">
        <w:rPr>
          <w:rFonts w:cs="AdvCaeciliaRm"/>
        </w:rPr>
        <w:t xml:space="preserve">in </w:t>
      </w:r>
      <w:r w:rsidR="00A34F8A">
        <w:rPr>
          <w:rFonts w:cs="AdvCaeciliaRm"/>
        </w:rPr>
        <w:t>s</w:t>
      </w:r>
      <w:r w:rsidR="00902372">
        <w:rPr>
          <w:rFonts w:cs="AdvCaeciliaRm"/>
        </w:rPr>
        <w:t>eparate</w:t>
      </w:r>
      <w:r w:rsidR="00A34F8A">
        <w:rPr>
          <w:rFonts w:cs="AdvCaeciliaRm"/>
        </w:rPr>
        <w:t xml:space="preserve"> </w:t>
      </w:r>
      <w:r w:rsidR="00902372">
        <w:rPr>
          <w:rFonts w:cs="AdvCaeciliaRm"/>
        </w:rPr>
        <w:t xml:space="preserve">clusters from </w:t>
      </w:r>
      <w:r w:rsidR="00A34F8A">
        <w:rPr>
          <w:rFonts w:cs="AdvCaeciliaRm"/>
        </w:rPr>
        <w:t xml:space="preserve">rest of the </w:t>
      </w:r>
      <w:r w:rsidR="00902372">
        <w:rPr>
          <w:rFonts w:cs="AdvCaeciliaRm"/>
        </w:rPr>
        <w:t>fungicide exposed isolates</w:t>
      </w:r>
      <w:r w:rsidR="00A34F8A">
        <w:rPr>
          <w:rFonts w:cs="AdvCaeciliaRm"/>
        </w:rPr>
        <w:t xml:space="preserve"> showing high diversity</w:t>
      </w:r>
      <w:r w:rsidR="00902372">
        <w:rPr>
          <w:rFonts w:cs="AdvCaeciliaRm"/>
        </w:rPr>
        <w:t>.</w:t>
      </w:r>
      <w:r w:rsidR="00666F97">
        <w:rPr>
          <w:rFonts w:cs="AdvCaeciliaRm"/>
        </w:rPr>
        <w:t xml:space="preserve"> </w:t>
      </w:r>
      <w:r w:rsidR="00201C0C">
        <w:rPr>
          <w:rFonts w:cs="AdvCaeciliaRm"/>
        </w:rPr>
        <w:t xml:space="preserve">The </w:t>
      </w:r>
      <w:proofErr w:type="spellStart"/>
      <w:r w:rsidR="00201C0C">
        <w:rPr>
          <w:rFonts w:cs="AdvCaeciliaRm"/>
        </w:rPr>
        <w:t>PCoA</w:t>
      </w:r>
      <w:proofErr w:type="spellEnd"/>
      <w:r w:rsidR="00201C0C">
        <w:rPr>
          <w:rFonts w:cs="AdvCaeciliaRm"/>
        </w:rPr>
        <w:t xml:space="preserve"> corroborated the results of </w:t>
      </w:r>
      <w:r w:rsidR="004173A4">
        <w:rPr>
          <w:rFonts w:cs="AdvCaeciliaRm"/>
        </w:rPr>
        <w:t>NJ tree</w:t>
      </w:r>
      <w:r w:rsidR="00A34F8A">
        <w:rPr>
          <w:rFonts w:cs="AdvCaeciliaRm"/>
        </w:rPr>
        <w:t xml:space="preserve"> of Fig 2A</w:t>
      </w:r>
      <w:r w:rsidR="004173A4">
        <w:rPr>
          <w:rFonts w:cs="AdvCaeciliaRm"/>
        </w:rPr>
        <w:t xml:space="preserve"> by clearly separating fungicide exposed and control isolates into two groups (Fig 3). </w:t>
      </w:r>
      <w:r w:rsidR="00C16BF9">
        <w:rPr>
          <w:rFonts w:cs="AdvCaeciliaRm"/>
        </w:rPr>
        <w:t>The distance matrix calculated using t</w:t>
      </w:r>
      <w:r w:rsidR="00FB1088">
        <w:rPr>
          <w:rFonts w:cs="AdvCaeciliaRm"/>
        </w:rPr>
        <w:t>he Roger</w:t>
      </w:r>
      <w:r w:rsidR="004B3DAC">
        <w:rPr>
          <w:rFonts w:cs="AdvCaeciliaRm"/>
        </w:rPr>
        <w:t>s index gav</w:t>
      </w:r>
      <w:r w:rsidR="00FB1088">
        <w:rPr>
          <w:rFonts w:cs="AdvCaeciliaRm"/>
        </w:rPr>
        <w:t>e the best separation for</w:t>
      </w:r>
      <w:r w:rsidR="00C16BF9">
        <w:rPr>
          <w:rFonts w:cs="AdvCaeciliaRm"/>
        </w:rPr>
        <w:t xml:space="preserve"> isolates for</w:t>
      </w:r>
      <w:r w:rsidR="00FB1088">
        <w:rPr>
          <w:rFonts w:cs="AdvCaeciliaRm"/>
        </w:rPr>
        <w:t xml:space="preserve"> </w:t>
      </w:r>
      <w:proofErr w:type="spellStart"/>
      <w:r w:rsidR="00FB1088">
        <w:rPr>
          <w:rFonts w:cs="AdvCaeciliaRm"/>
        </w:rPr>
        <w:t>eigan</w:t>
      </w:r>
      <w:r w:rsidR="004B3DAC">
        <w:rPr>
          <w:rFonts w:cs="AdvCaeciliaRm"/>
        </w:rPr>
        <w:t>vector</w:t>
      </w:r>
      <w:r w:rsidR="00FB1088">
        <w:rPr>
          <w:rFonts w:cs="AdvCaeciliaRm"/>
        </w:rPr>
        <w:t>s</w:t>
      </w:r>
      <w:proofErr w:type="spellEnd"/>
      <w:r w:rsidR="004B3DAC">
        <w:rPr>
          <w:rFonts w:cs="AdvCaeciliaRm"/>
        </w:rPr>
        <w:t xml:space="preserve"> one and three (Fig. 3).</w:t>
      </w:r>
      <w:r w:rsidR="00155FB5">
        <w:rPr>
          <w:rFonts w:cs="AdvCaeciliaRm"/>
        </w:rPr>
        <w:t xml:space="preserve"> The fungicide challenged and unchallenged groups were significantly different (</w:t>
      </w:r>
      <w:r w:rsidR="00155FB5" w:rsidRPr="00155FB5">
        <w:rPr>
          <w:rFonts w:cs="AdvCaeciliaRm"/>
          <w:i/>
          <w:iCs/>
        </w:rPr>
        <w:t>P</w:t>
      </w:r>
      <w:r w:rsidR="00155FB5">
        <w:rPr>
          <w:rFonts w:cs="AdvCaeciliaRm"/>
        </w:rPr>
        <w:t xml:space="preserve"> = 0.001) according to the AMOVA with 15% of between group genetic variation as indicated by </w:t>
      </w:r>
      <w:proofErr w:type="spellStart"/>
      <w:r w:rsidR="00155FB5">
        <w:rPr>
          <w:rFonts w:cs="AdvCaeciliaRm"/>
        </w:rPr>
        <w:t>PhiPT</w:t>
      </w:r>
      <w:proofErr w:type="spellEnd"/>
      <w:r w:rsidR="00155FB5">
        <w:rPr>
          <w:rFonts w:cs="AdvCaeciliaRm"/>
        </w:rPr>
        <w:t xml:space="preserve">. </w:t>
      </w:r>
    </w:p>
    <w:p w:rsidR="00E93FF4" w:rsidRDefault="00E93FF4" w:rsidP="00786B2A">
      <w:pPr>
        <w:autoSpaceDE w:val="0"/>
        <w:autoSpaceDN w:val="0"/>
        <w:adjustRightInd w:val="0"/>
        <w:spacing w:after="0" w:line="240" w:lineRule="auto"/>
        <w:rPr>
          <w:rFonts w:cs="AdvCaeciliaRm"/>
        </w:rPr>
      </w:pPr>
    </w:p>
    <w:p w:rsidR="00AB5D07" w:rsidRDefault="001A7C81" w:rsidP="00985AA5">
      <w:pPr>
        <w:autoSpaceDE w:val="0"/>
        <w:autoSpaceDN w:val="0"/>
        <w:adjustRightInd w:val="0"/>
        <w:spacing w:after="0" w:line="240" w:lineRule="auto"/>
        <w:rPr>
          <w:rFonts w:cs="AdvCaeciliaRm"/>
        </w:rPr>
      </w:pPr>
      <w:r>
        <w:rPr>
          <w:rFonts w:cs="AdvCaeciliaRm"/>
        </w:rPr>
        <w:t xml:space="preserve">The summary statistics of </w:t>
      </w:r>
      <w:proofErr w:type="spellStart"/>
      <w:r w:rsidR="00A5300D" w:rsidRPr="00BA0DD8">
        <w:rPr>
          <w:rFonts w:cs="AdvCaeciliaRm"/>
          <w:i/>
        </w:rPr>
        <w:t>find.clusters</w:t>
      </w:r>
      <w:proofErr w:type="spellEnd"/>
      <w:r w:rsidR="00A5300D">
        <w:rPr>
          <w:rFonts w:cs="AdvCaeciliaRm"/>
        </w:rPr>
        <w:t xml:space="preserve"> in d</w:t>
      </w:r>
      <w:r w:rsidRPr="001A7C81">
        <w:rPr>
          <w:rFonts w:cs="AdvCaeciliaRm"/>
        </w:rPr>
        <w:t xml:space="preserve">iscriminant analysis </w:t>
      </w:r>
      <w:r>
        <w:rPr>
          <w:rFonts w:cs="AdvCaeciliaRm"/>
        </w:rPr>
        <w:t xml:space="preserve">indicated </w:t>
      </w:r>
      <w:r w:rsidR="00DB0585">
        <w:rPr>
          <w:rFonts w:cs="AdvCaeciliaRm"/>
        </w:rPr>
        <w:t xml:space="preserve">two as the </w:t>
      </w:r>
      <w:r w:rsidR="00A5300D">
        <w:rPr>
          <w:rFonts w:cs="AdvCaeciliaRm"/>
        </w:rPr>
        <w:t>optimal number of clusters for the analyzed samples</w:t>
      </w:r>
      <w:r w:rsidR="007C1E59">
        <w:rPr>
          <w:rFonts w:cs="AdvCaeciliaRm"/>
        </w:rPr>
        <w:t xml:space="preserve"> (data not shown)</w:t>
      </w:r>
      <w:r w:rsidR="00A5300D">
        <w:rPr>
          <w:rFonts w:cs="AdvCaeciliaRm"/>
        </w:rPr>
        <w:t>. The</w:t>
      </w:r>
      <w:r w:rsidR="00DB0585">
        <w:rPr>
          <w:rFonts w:cs="AdvCaeciliaRm"/>
        </w:rPr>
        <w:t xml:space="preserve"> </w:t>
      </w:r>
      <w:r w:rsidR="00E418FF">
        <w:rPr>
          <w:rFonts w:cs="AdvCaeciliaRm"/>
        </w:rPr>
        <w:t xml:space="preserve">graph derived by </w:t>
      </w:r>
      <w:proofErr w:type="spellStart"/>
      <w:r w:rsidR="00E418FF" w:rsidRPr="006E4B70">
        <w:rPr>
          <w:rFonts w:cs="AdvCaeciliaRm"/>
          <w:i/>
        </w:rPr>
        <w:t>assignplot</w:t>
      </w:r>
      <w:proofErr w:type="spellEnd"/>
      <w:r w:rsidR="00E418FF">
        <w:rPr>
          <w:rFonts w:cs="AdvCaeciliaRm"/>
        </w:rPr>
        <w:t xml:space="preserve"> function resulted </w:t>
      </w:r>
      <w:r w:rsidR="00B15696">
        <w:rPr>
          <w:rFonts w:cs="AdvCaeciliaRm"/>
        </w:rPr>
        <w:t>in higher membership probabilities (posterior values provided by discriminant analysis) for most individuals in their preassigned clusters</w:t>
      </w:r>
      <w:r w:rsidR="007C1E59">
        <w:rPr>
          <w:rFonts w:cs="AdvCaeciliaRm"/>
        </w:rPr>
        <w:t xml:space="preserve">, i.e. </w:t>
      </w:r>
      <w:r w:rsidR="006E4B70">
        <w:rPr>
          <w:rFonts w:cs="AdvCaeciliaRm"/>
        </w:rPr>
        <w:t xml:space="preserve">fungicide challenged </w:t>
      </w:r>
      <w:r w:rsidR="009829FE">
        <w:rPr>
          <w:rFonts w:cs="AdvCaeciliaRm"/>
        </w:rPr>
        <w:t>or</w:t>
      </w:r>
      <w:r w:rsidR="006E4B70">
        <w:rPr>
          <w:rFonts w:cs="AdvCaeciliaRm"/>
        </w:rPr>
        <w:t xml:space="preserve"> unchallenged</w:t>
      </w:r>
      <w:r w:rsidR="00355F2C">
        <w:rPr>
          <w:rFonts w:cs="AdvCaeciliaRm"/>
        </w:rPr>
        <w:t xml:space="preserve"> (Fig 4</w:t>
      </w:r>
      <w:r w:rsidR="008A5A9F">
        <w:rPr>
          <w:rFonts w:cs="AdvCaeciliaRm"/>
        </w:rPr>
        <w:t>A</w:t>
      </w:r>
      <w:r w:rsidR="00355F2C">
        <w:rPr>
          <w:rFonts w:cs="AdvCaeciliaRm"/>
        </w:rPr>
        <w:t>)</w:t>
      </w:r>
      <w:r w:rsidR="00B15696">
        <w:rPr>
          <w:rFonts w:cs="AdvCaeciliaRm"/>
        </w:rPr>
        <w:t>.</w:t>
      </w:r>
      <w:r w:rsidR="006E4B70">
        <w:rPr>
          <w:rFonts w:cs="AdvCaeciliaRm"/>
        </w:rPr>
        <w:t xml:space="preserve"> There were three isolates with less than 90% probability of membership in </w:t>
      </w:r>
      <w:r w:rsidR="00F87F7C">
        <w:rPr>
          <w:rFonts w:cs="AdvCaeciliaRm"/>
        </w:rPr>
        <w:t xml:space="preserve">the </w:t>
      </w:r>
      <w:r w:rsidR="007C1E59">
        <w:rPr>
          <w:rFonts w:cs="AdvCaeciliaRm"/>
        </w:rPr>
        <w:t>preassigned groups</w:t>
      </w:r>
      <w:r w:rsidR="006E4B70">
        <w:rPr>
          <w:rFonts w:cs="AdvCaeciliaRm"/>
        </w:rPr>
        <w:t>.</w:t>
      </w:r>
      <w:r w:rsidR="000C15E3">
        <w:rPr>
          <w:rFonts w:cs="AdvCaeciliaRm"/>
        </w:rPr>
        <w:t xml:space="preserve"> </w:t>
      </w:r>
      <w:r w:rsidR="006E4B70">
        <w:rPr>
          <w:rFonts w:cs="AdvCaeciliaRm"/>
        </w:rPr>
        <w:t>They were Az_646_Exp1, Ip_467_Exp1, and Con_467_G0</w:t>
      </w:r>
      <w:r w:rsidR="007C1E59">
        <w:rPr>
          <w:rFonts w:cs="AdvCaeciliaRm"/>
        </w:rPr>
        <w:t xml:space="preserve"> (Fig </w:t>
      </w:r>
      <w:r w:rsidR="00355F2C">
        <w:rPr>
          <w:rFonts w:cs="AdvCaeciliaRm"/>
        </w:rPr>
        <w:t>4</w:t>
      </w:r>
      <w:r w:rsidR="003D7050">
        <w:rPr>
          <w:rFonts w:cs="AdvCaeciliaRm"/>
        </w:rPr>
        <w:t>A</w:t>
      </w:r>
      <w:r w:rsidR="007C1E59">
        <w:rPr>
          <w:rFonts w:cs="AdvCaeciliaRm"/>
        </w:rPr>
        <w:t>)</w:t>
      </w:r>
      <w:r w:rsidR="006E4B70">
        <w:rPr>
          <w:rFonts w:cs="AdvCaeciliaRm"/>
        </w:rPr>
        <w:t xml:space="preserve">. </w:t>
      </w:r>
      <w:r w:rsidR="008A5A9F">
        <w:rPr>
          <w:rFonts w:cs="AdvCaeciliaRm"/>
        </w:rPr>
        <w:t xml:space="preserve">The </w:t>
      </w:r>
      <w:r w:rsidR="00C41AE0">
        <w:rPr>
          <w:rFonts w:cs="AdvCaeciliaRm"/>
        </w:rPr>
        <w:t xml:space="preserve">censored, </w:t>
      </w:r>
      <w:r w:rsidR="008A5A9F">
        <w:rPr>
          <w:rFonts w:cs="AdvCaeciliaRm"/>
        </w:rPr>
        <w:t xml:space="preserve">clone corrected </w:t>
      </w:r>
      <w:r w:rsidR="00C41AE0">
        <w:rPr>
          <w:rFonts w:cs="AdvCaeciliaRm"/>
        </w:rPr>
        <w:t>data</w:t>
      </w:r>
      <w:r w:rsidR="008A5A9F">
        <w:rPr>
          <w:rFonts w:cs="AdvCaeciliaRm"/>
        </w:rPr>
        <w:t xml:space="preserve"> consisted of eight controls</w:t>
      </w:r>
      <w:r w:rsidR="00C41AE0">
        <w:rPr>
          <w:rFonts w:cs="AdvCaeciliaRm"/>
        </w:rPr>
        <w:t xml:space="preserve"> and 17 fungicide challenged isolates</w:t>
      </w:r>
      <w:r w:rsidR="008A5A9F">
        <w:rPr>
          <w:rFonts w:cs="AdvCaeciliaRm"/>
        </w:rPr>
        <w:t>.</w:t>
      </w:r>
      <w:r w:rsidR="00C41AE0">
        <w:rPr>
          <w:rFonts w:cs="AdvCaeciliaRm"/>
        </w:rPr>
        <w:t xml:space="preserve"> DAPC analysis by </w:t>
      </w:r>
      <w:proofErr w:type="spellStart"/>
      <w:r w:rsidR="00C41AE0" w:rsidRPr="004A30AF">
        <w:rPr>
          <w:rFonts w:cs="AdvCaeciliaRm"/>
          <w:i/>
        </w:rPr>
        <w:t>find.clusters</w:t>
      </w:r>
      <w:proofErr w:type="spellEnd"/>
      <w:r w:rsidR="00C41AE0">
        <w:rPr>
          <w:rFonts w:cs="AdvCaeciliaRm"/>
        </w:rPr>
        <w:t xml:space="preserve"> couldn’t decipher a clear solution for optimum number of clusters. </w:t>
      </w:r>
      <w:r w:rsidR="006B4F18">
        <w:rPr>
          <w:rFonts w:cs="AdvCaeciliaRm"/>
        </w:rPr>
        <w:t xml:space="preserve">Therefore, we grouped isolates into increasing number of clusters and checked for high membership probabilities (clear cut groups) to arrive with an appropriate number of clusters. </w:t>
      </w:r>
      <w:r w:rsidR="00985AA5">
        <w:rPr>
          <w:rFonts w:cs="AdvCaeciliaRm"/>
        </w:rPr>
        <w:t>We found four clusters as a good fit for isolates since membership probabilities of all isolates were 100% (Fig 4B) at that level.</w:t>
      </w:r>
      <w:r w:rsidR="006B4F18">
        <w:rPr>
          <w:rFonts w:cs="AdvCaeciliaRm"/>
        </w:rPr>
        <w:t xml:space="preserve">  </w:t>
      </w:r>
      <w:r w:rsidR="00C41AE0">
        <w:rPr>
          <w:rFonts w:cs="AdvCaeciliaRm"/>
        </w:rPr>
        <w:t>The largest cluster (clu</w:t>
      </w:r>
      <w:r w:rsidR="003D7050">
        <w:rPr>
          <w:rFonts w:cs="AdvCaeciliaRm"/>
        </w:rPr>
        <w:t>ster one</w:t>
      </w:r>
      <w:r w:rsidR="00C41AE0">
        <w:rPr>
          <w:rFonts w:cs="AdvCaeciliaRm"/>
        </w:rPr>
        <w:t xml:space="preserve"> in</w:t>
      </w:r>
      <w:r w:rsidR="003D7050">
        <w:rPr>
          <w:rFonts w:cs="AdvCaeciliaRm"/>
        </w:rPr>
        <w:t xml:space="preserve"> Fig 4B</w:t>
      </w:r>
      <w:r w:rsidR="00C41AE0">
        <w:rPr>
          <w:rFonts w:cs="AdvCaeciliaRm"/>
        </w:rPr>
        <w:t xml:space="preserve">) </w:t>
      </w:r>
      <w:r w:rsidR="00C41AE0">
        <w:rPr>
          <w:rFonts w:cs="AdvCaeciliaRm"/>
        </w:rPr>
        <w:lastRenderedPageBreak/>
        <w:t>consisted of all control isolates and nine fungicide exposed ones</w:t>
      </w:r>
      <w:r w:rsidR="00AB5D07">
        <w:rPr>
          <w:rFonts w:cs="AdvCaeciliaRm"/>
        </w:rPr>
        <w:t xml:space="preserve">. The isolates grouped outside of control </w:t>
      </w:r>
      <w:r w:rsidR="0082625E">
        <w:rPr>
          <w:rFonts w:cs="AdvCaeciliaRm"/>
        </w:rPr>
        <w:t>samples</w:t>
      </w:r>
      <w:r w:rsidR="00AB5D07">
        <w:rPr>
          <w:rFonts w:cs="AdvCaeciliaRm"/>
        </w:rPr>
        <w:t xml:space="preserve"> were mostly thiophanate methyl exposed </w:t>
      </w:r>
      <w:r w:rsidR="0082625E">
        <w:rPr>
          <w:rFonts w:cs="AdvCaeciliaRm"/>
        </w:rPr>
        <w:t>isolates</w:t>
      </w:r>
      <w:r w:rsidR="00AB5D07">
        <w:rPr>
          <w:rFonts w:cs="AdvCaeciliaRm"/>
        </w:rPr>
        <w:t xml:space="preserve"> (Fig 4B) which largely agreed with </w:t>
      </w:r>
      <w:r w:rsidR="00985AA5">
        <w:rPr>
          <w:rFonts w:cs="AdvCaeciliaRm"/>
        </w:rPr>
        <w:t xml:space="preserve">the NJ tree of Fig 2B which also grouped the above isolates together. </w:t>
      </w:r>
      <w:r w:rsidR="00AB5D07">
        <w:rPr>
          <w:rFonts w:cs="AdvCaeciliaRm"/>
        </w:rPr>
        <w:t>The only non thiophanate</w:t>
      </w:r>
      <w:r w:rsidR="00F8115F">
        <w:rPr>
          <w:rFonts w:cs="AdvCaeciliaRm"/>
        </w:rPr>
        <w:t xml:space="preserve"> methyl</w:t>
      </w:r>
      <w:r w:rsidR="00AB5D07">
        <w:rPr>
          <w:rFonts w:cs="AdvCaeciliaRm"/>
        </w:rPr>
        <w:t xml:space="preserve"> exposed isolate to group outside of control isolates was the Py_588_Exp1</w:t>
      </w:r>
      <w:r w:rsidR="00985AA5">
        <w:rPr>
          <w:rFonts w:cs="AdvCaeciliaRm"/>
        </w:rPr>
        <w:t>,</w:t>
      </w:r>
      <w:r w:rsidR="00AB5D07">
        <w:rPr>
          <w:rFonts w:cs="AdvCaeciliaRm"/>
        </w:rPr>
        <w:t xml:space="preserve"> </w:t>
      </w:r>
      <w:r w:rsidR="00985AA5">
        <w:rPr>
          <w:rFonts w:cs="AdvCaeciliaRm"/>
        </w:rPr>
        <w:t xml:space="preserve">which </w:t>
      </w:r>
      <w:r w:rsidR="00AB5D07">
        <w:rPr>
          <w:rFonts w:cs="AdvCaeciliaRm"/>
        </w:rPr>
        <w:t xml:space="preserve">fell in cluster 4 with TM_467_Exp2 and TM_555_Exp2 (Fig 4B).          </w:t>
      </w:r>
    </w:p>
    <w:p w:rsidR="0082625E" w:rsidRDefault="0082625E" w:rsidP="00786B2A">
      <w:pPr>
        <w:autoSpaceDE w:val="0"/>
        <w:autoSpaceDN w:val="0"/>
        <w:adjustRightInd w:val="0"/>
        <w:spacing w:after="0" w:line="240" w:lineRule="auto"/>
        <w:rPr>
          <w:rFonts w:cs="AdvCaeciliaRm"/>
        </w:rPr>
      </w:pPr>
    </w:p>
    <w:p w:rsidR="00F8115F" w:rsidRDefault="00F8115F" w:rsidP="00985AA5">
      <w:pPr>
        <w:autoSpaceDE w:val="0"/>
        <w:autoSpaceDN w:val="0"/>
        <w:adjustRightInd w:val="0"/>
        <w:spacing w:after="0" w:line="240" w:lineRule="auto"/>
        <w:rPr>
          <w:rFonts w:cs="AdvCaeciliaRm"/>
        </w:rPr>
      </w:pPr>
    </w:p>
    <w:p w:rsidR="00DB434C" w:rsidRDefault="00BD34F3" w:rsidP="00985AA5">
      <w:pPr>
        <w:autoSpaceDE w:val="0"/>
        <w:autoSpaceDN w:val="0"/>
        <w:adjustRightInd w:val="0"/>
        <w:spacing w:after="0" w:line="240" w:lineRule="auto"/>
        <w:rPr>
          <w:rFonts w:cs="AdvCaeciliaRm"/>
        </w:rPr>
      </w:pPr>
      <w:r>
        <w:rPr>
          <w:rFonts w:cs="AdvCaeciliaRm"/>
        </w:rPr>
        <w:t xml:space="preserve">Number of alleles scored for each isolate before and after censoring are depicted in Fig 5. </w:t>
      </w:r>
      <w:r w:rsidR="008273AD">
        <w:rPr>
          <w:rFonts w:cs="AdvCaeciliaRm"/>
        </w:rPr>
        <w:t>The isolates with alle</w:t>
      </w:r>
      <w:r w:rsidR="00DC3A8C">
        <w:rPr>
          <w:rFonts w:cs="AdvCaeciliaRm"/>
        </w:rPr>
        <w:t>l</w:t>
      </w:r>
      <w:r>
        <w:rPr>
          <w:rFonts w:cs="AdvCaeciliaRm"/>
        </w:rPr>
        <w:t>es less than Py_588</w:t>
      </w:r>
      <w:r w:rsidR="008273AD">
        <w:rPr>
          <w:rFonts w:cs="AdvCaeciliaRm"/>
        </w:rPr>
        <w:t xml:space="preserve">_Exp1 in Fig 5A clustered with control </w:t>
      </w:r>
      <w:r w:rsidR="00DC3A8C">
        <w:rPr>
          <w:rFonts w:cs="AdvCaeciliaRm"/>
        </w:rPr>
        <w:t>isolates</w:t>
      </w:r>
      <w:r>
        <w:rPr>
          <w:rFonts w:cs="AdvCaeciliaRm"/>
        </w:rPr>
        <w:t xml:space="preserve"> as shown in Fig </w:t>
      </w:r>
      <w:r w:rsidR="001E66BE">
        <w:rPr>
          <w:rFonts w:cs="AdvCaeciliaRm"/>
        </w:rPr>
        <w:t>4B</w:t>
      </w:r>
      <w:r w:rsidR="008273AD">
        <w:rPr>
          <w:rFonts w:cs="AdvCaeciliaRm"/>
        </w:rPr>
        <w:t>.</w:t>
      </w:r>
      <w:r w:rsidR="00DC3A8C">
        <w:rPr>
          <w:rFonts w:cs="AdvCaeciliaRm"/>
        </w:rPr>
        <w:t xml:space="preserve"> </w:t>
      </w:r>
      <w:r w:rsidR="006B3A18">
        <w:rPr>
          <w:rFonts w:cs="AdvCaeciliaRm"/>
        </w:rPr>
        <w:t>It is apparent that majority of the t</w:t>
      </w:r>
      <w:r w:rsidR="00DC3A8C">
        <w:rPr>
          <w:rFonts w:cs="AdvCaeciliaRm"/>
        </w:rPr>
        <w:t>hiophanate methyl</w:t>
      </w:r>
      <w:r w:rsidR="001E66BE">
        <w:rPr>
          <w:rFonts w:cs="AdvCaeciliaRm"/>
        </w:rPr>
        <w:t xml:space="preserve"> (TM)</w:t>
      </w:r>
      <w:r w:rsidR="00DC3A8C">
        <w:rPr>
          <w:rFonts w:cs="AdvCaeciliaRm"/>
        </w:rPr>
        <w:t xml:space="preserve"> exposed</w:t>
      </w:r>
      <w:r w:rsidR="006B3A18">
        <w:rPr>
          <w:rFonts w:cs="AdvCaeciliaRm"/>
        </w:rPr>
        <w:t xml:space="preserve"> </w:t>
      </w:r>
      <w:r w:rsidR="00DC3A8C">
        <w:rPr>
          <w:rFonts w:cs="AdvCaeciliaRm"/>
        </w:rPr>
        <w:t>isolates</w:t>
      </w:r>
      <w:r w:rsidR="001E66BE">
        <w:rPr>
          <w:rFonts w:cs="AdvCaeciliaRm"/>
        </w:rPr>
        <w:t xml:space="preserve"> (n = 7/10)</w:t>
      </w:r>
      <w:r w:rsidR="00DC3A8C">
        <w:rPr>
          <w:rFonts w:cs="AdvCaeciliaRm"/>
        </w:rPr>
        <w:t xml:space="preserve"> </w:t>
      </w:r>
      <w:r w:rsidR="006B3A18">
        <w:rPr>
          <w:rFonts w:cs="AdvCaeciliaRm"/>
        </w:rPr>
        <w:t xml:space="preserve">survived with more alleles after the censoring process compared to other isolates. For example average </w:t>
      </w:r>
      <w:r w:rsidR="000C4C5D">
        <w:rPr>
          <w:rFonts w:cs="AdvCaeciliaRm"/>
        </w:rPr>
        <w:t xml:space="preserve">survived </w:t>
      </w:r>
      <w:r w:rsidR="006B3A18">
        <w:rPr>
          <w:rFonts w:cs="AdvCaeciliaRm"/>
        </w:rPr>
        <w:t xml:space="preserve">alleles of TM </w:t>
      </w:r>
      <w:r w:rsidR="00F917F0">
        <w:rPr>
          <w:rFonts w:cs="AdvCaeciliaRm"/>
        </w:rPr>
        <w:t xml:space="preserve">isolates </w:t>
      </w:r>
      <w:r w:rsidR="000C4C5D">
        <w:rPr>
          <w:rFonts w:cs="AdvCaeciliaRm"/>
        </w:rPr>
        <w:t xml:space="preserve">after </w:t>
      </w:r>
      <w:r w:rsidR="006B3A18">
        <w:rPr>
          <w:rFonts w:cs="AdvCaeciliaRm"/>
        </w:rPr>
        <w:t>censor</w:t>
      </w:r>
      <w:r w:rsidR="000C4C5D">
        <w:rPr>
          <w:rFonts w:cs="AdvCaeciliaRm"/>
        </w:rPr>
        <w:t xml:space="preserve">ing was 16 </w:t>
      </w:r>
      <w:r w:rsidR="00762A99">
        <w:rPr>
          <w:rFonts w:cs="AdvCaeciliaRm"/>
        </w:rPr>
        <w:t xml:space="preserve">while other fungicide exposed isolates only had an </w:t>
      </w:r>
      <w:r w:rsidR="00F917F0">
        <w:rPr>
          <w:rFonts w:cs="AdvCaeciliaRm"/>
        </w:rPr>
        <w:t xml:space="preserve">average </w:t>
      </w:r>
      <w:r w:rsidR="00762A99">
        <w:rPr>
          <w:rFonts w:cs="AdvCaeciliaRm"/>
        </w:rPr>
        <w:t xml:space="preserve">of five </w:t>
      </w:r>
      <w:r w:rsidR="006B3A18">
        <w:rPr>
          <w:rFonts w:cs="AdvCaeciliaRm"/>
        </w:rPr>
        <w:t>alleles.</w:t>
      </w:r>
      <w:r w:rsidR="00F917F0">
        <w:rPr>
          <w:rFonts w:cs="AdvCaeciliaRm"/>
        </w:rPr>
        <w:t xml:space="preserve"> </w:t>
      </w:r>
      <w:r w:rsidR="00985AA5">
        <w:rPr>
          <w:rFonts w:cs="AdvCaeciliaRm"/>
        </w:rPr>
        <w:t>According to r</w:t>
      </w:r>
      <w:r w:rsidR="006B3A18">
        <w:rPr>
          <w:rFonts w:cs="AdvCaeciliaRm"/>
        </w:rPr>
        <w:t xml:space="preserve">esults </w:t>
      </w:r>
      <w:r w:rsidR="00762A99">
        <w:rPr>
          <w:rFonts w:cs="AdvCaeciliaRm"/>
        </w:rPr>
        <w:t xml:space="preserve">of TM exposed </w:t>
      </w:r>
      <w:r w:rsidR="006B3A18">
        <w:rPr>
          <w:rFonts w:cs="AdvCaeciliaRm"/>
        </w:rPr>
        <w:t>isolates of exp1</w:t>
      </w:r>
      <w:r w:rsidR="00762A99">
        <w:rPr>
          <w:rFonts w:cs="AdvCaeciliaRm"/>
        </w:rPr>
        <w:t xml:space="preserve"> and exp2,</w:t>
      </w:r>
      <w:r w:rsidR="006B3A18">
        <w:rPr>
          <w:rFonts w:cs="AdvCaeciliaRm"/>
        </w:rPr>
        <w:t xml:space="preserve"> </w:t>
      </w:r>
      <w:r w:rsidR="00762A99">
        <w:rPr>
          <w:rFonts w:cs="AdvCaeciliaRm"/>
        </w:rPr>
        <w:t xml:space="preserve">it is apparent that mutations </w:t>
      </w:r>
      <w:r w:rsidR="006B3A18">
        <w:rPr>
          <w:rFonts w:cs="AdvCaeciliaRm"/>
        </w:rPr>
        <w:t xml:space="preserve">are </w:t>
      </w:r>
      <w:r w:rsidR="00985AA5">
        <w:rPr>
          <w:rFonts w:cs="AdvCaeciliaRm"/>
        </w:rPr>
        <w:t xml:space="preserve">largely </w:t>
      </w:r>
      <w:r w:rsidR="006B3A18">
        <w:rPr>
          <w:rFonts w:cs="AdvCaeciliaRm"/>
        </w:rPr>
        <w:t>independent</w:t>
      </w:r>
      <w:r w:rsidR="00915825">
        <w:rPr>
          <w:rFonts w:cs="AdvCaeciliaRm"/>
        </w:rPr>
        <w:t xml:space="preserve"> of the isolates</w:t>
      </w:r>
      <w:r w:rsidR="006B3A18">
        <w:rPr>
          <w:rFonts w:cs="AdvCaeciliaRm"/>
        </w:rPr>
        <w:t>.</w:t>
      </w:r>
      <w:r w:rsidR="00F917F0">
        <w:rPr>
          <w:rFonts w:cs="AdvCaeciliaRm"/>
        </w:rPr>
        <w:t xml:space="preserve"> </w:t>
      </w:r>
      <w:r w:rsidR="00DB434C">
        <w:rPr>
          <w:rFonts w:cs="AdvCaeciliaRm"/>
        </w:rPr>
        <w:t xml:space="preserve">For example, TM exposed isolate 646 of Exp1 grouped </w:t>
      </w:r>
      <w:r w:rsidR="0017573B">
        <w:rPr>
          <w:rFonts w:cs="AdvCaeciliaRm"/>
        </w:rPr>
        <w:t>outside of control isolates while</w:t>
      </w:r>
      <w:r w:rsidR="00DB434C">
        <w:rPr>
          <w:rFonts w:cs="AdvCaeciliaRm"/>
        </w:rPr>
        <w:t xml:space="preserve"> same isolate of Exp2 grouped with control isolates.</w:t>
      </w:r>
      <w:r w:rsidR="0017573B">
        <w:rPr>
          <w:rFonts w:cs="AdvCaeciliaRm"/>
        </w:rPr>
        <w:t xml:space="preserve"> The TM exposed isolates 152 and 555 of Exp1 and 2 clustered in different groups.  </w:t>
      </w:r>
    </w:p>
    <w:p w:rsidR="00DB434C" w:rsidRDefault="00DB434C" w:rsidP="00985AA5">
      <w:pPr>
        <w:autoSpaceDE w:val="0"/>
        <w:autoSpaceDN w:val="0"/>
        <w:adjustRightInd w:val="0"/>
        <w:spacing w:after="0" w:line="240" w:lineRule="auto"/>
        <w:rPr>
          <w:rFonts w:cs="AdvCaeciliaRm"/>
        </w:rPr>
      </w:pPr>
    </w:p>
    <w:p w:rsidR="007C1E59" w:rsidRDefault="00F15F2E" w:rsidP="00786B2A">
      <w:pPr>
        <w:autoSpaceDE w:val="0"/>
        <w:autoSpaceDN w:val="0"/>
        <w:adjustRightInd w:val="0"/>
        <w:spacing w:after="0" w:line="240" w:lineRule="auto"/>
        <w:rPr>
          <w:rFonts w:cs="AdvCaeciliaRm"/>
        </w:rPr>
      </w:pPr>
      <w:r>
        <w:rPr>
          <w:rFonts w:cs="AdvCaeciliaRm"/>
        </w:rPr>
        <w:t xml:space="preserve">The EC50 values of </w:t>
      </w:r>
      <w:r w:rsidR="00B416D0">
        <w:rPr>
          <w:rFonts w:cs="AdvCaeciliaRm"/>
        </w:rPr>
        <w:t xml:space="preserve">isolates exposed to different </w:t>
      </w:r>
      <w:r>
        <w:rPr>
          <w:rFonts w:cs="AdvCaeciliaRm"/>
        </w:rPr>
        <w:t>fungicides did not show any trend</w:t>
      </w:r>
      <w:r w:rsidR="00B416D0">
        <w:rPr>
          <w:rFonts w:cs="AdvCaeciliaRm"/>
        </w:rPr>
        <w:t xml:space="preserve"> (results not shown)</w:t>
      </w:r>
      <w:r>
        <w:rPr>
          <w:rFonts w:cs="AdvCaeciliaRm"/>
        </w:rPr>
        <w:t xml:space="preserve">. </w:t>
      </w:r>
      <w:r w:rsidR="00B416D0">
        <w:rPr>
          <w:rFonts w:cs="AdvCaeciliaRm"/>
        </w:rPr>
        <w:t xml:space="preserve">Some isolates exposed same fungicide showed an increase of EC50 while other decrease at the end of G12. The EC50 values of Exp1 and Exp2 also did not show any correlation. </w:t>
      </w:r>
    </w:p>
    <w:p w:rsidR="007C1E59" w:rsidRDefault="007C1E59" w:rsidP="00786B2A">
      <w:pPr>
        <w:autoSpaceDE w:val="0"/>
        <w:autoSpaceDN w:val="0"/>
        <w:adjustRightInd w:val="0"/>
        <w:spacing w:after="0" w:line="240" w:lineRule="auto"/>
        <w:rPr>
          <w:rFonts w:cs="AdvCaeciliaRm"/>
        </w:rPr>
      </w:pPr>
    </w:p>
    <w:p w:rsidR="000B6295" w:rsidRDefault="000B6295" w:rsidP="00786B2A">
      <w:pPr>
        <w:autoSpaceDE w:val="0"/>
        <w:autoSpaceDN w:val="0"/>
        <w:adjustRightInd w:val="0"/>
        <w:spacing w:after="0" w:line="240" w:lineRule="auto"/>
        <w:rPr>
          <w:rFonts w:cs="AdvCaeciliaRm"/>
        </w:rPr>
      </w:pPr>
    </w:p>
    <w:p w:rsidR="007C1E59" w:rsidRPr="0003488C" w:rsidRDefault="000B6295" w:rsidP="00786B2A">
      <w:pPr>
        <w:autoSpaceDE w:val="0"/>
        <w:autoSpaceDN w:val="0"/>
        <w:adjustRightInd w:val="0"/>
        <w:spacing w:after="0" w:line="240" w:lineRule="auto"/>
        <w:rPr>
          <w:rFonts w:cs="AdvCaeciliaRm"/>
          <w:b/>
          <w:bCs/>
          <w:sz w:val="28"/>
          <w:szCs w:val="28"/>
        </w:rPr>
      </w:pPr>
      <w:r w:rsidRPr="0003488C">
        <w:rPr>
          <w:rFonts w:cs="AdvCaeciliaRm"/>
          <w:b/>
          <w:bCs/>
          <w:sz w:val="28"/>
          <w:szCs w:val="28"/>
        </w:rPr>
        <w:t>Discussion</w:t>
      </w:r>
    </w:p>
    <w:p w:rsidR="000B6295" w:rsidRDefault="000B6295" w:rsidP="00786B2A">
      <w:pPr>
        <w:autoSpaceDE w:val="0"/>
        <w:autoSpaceDN w:val="0"/>
        <w:adjustRightInd w:val="0"/>
        <w:spacing w:after="0" w:line="240" w:lineRule="auto"/>
        <w:rPr>
          <w:rFonts w:cs="AdvCaeciliaRm"/>
        </w:rPr>
      </w:pPr>
    </w:p>
    <w:p w:rsidR="00093524" w:rsidRDefault="00F457BF" w:rsidP="00786B2A">
      <w:pPr>
        <w:autoSpaceDE w:val="0"/>
        <w:autoSpaceDN w:val="0"/>
        <w:adjustRightInd w:val="0"/>
        <w:spacing w:after="0" w:line="240" w:lineRule="auto"/>
        <w:rPr>
          <w:rFonts w:cs="AdvCaeciliaRm"/>
        </w:rPr>
      </w:pPr>
      <w:r>
        <w:rPr>
          <w:rFonts w:cs="AdvCaeciliaRm"/>
        </w:rPr>
        <w:t>The fungicide</w:t>
      </w:r>
      <w:r w:rsidR="00772AB1">
        <w:rPr>
          <w:rFonts w:cs="AdvCaeciliaRm"/>
        </w:rPr>
        <w:t>s</w:t>
      </w:r>
      <w:r>
        <w:rPr>
          <w:rFonts w:cs="AdvCaeciliaRm"/>
        </w:rPr>
        <w:t xml:space="preserve"> tested had different modes of action. Thiophanate methyl (TM) </w:t>
      </w:r>
      <w:r w:rsidR="00FB6EF0">
        <w:rPr>
          <w:rFonts w:cs="AdvCaeciliaRm"/>
        </w:rPr>
        <w:t>is</w:t>
      </w:r>
      <w:r>
        <w:rPr>
          <w:rFonts w:cs="AdvCaeciliaRm"/>
        </w:rPr>
        <w:t xml:space="preserve"> a </w:t>
      </w:r>
      <w:proofErr w:type="spellStart"/>
      <w:r>
        <w:rPr>
          <w:rFonts w:cs="AdvCaeciliaRm"/>
        </w:rPr>
        <w:t>benzimidazole</w:t>
      </w:r>
      <w:proofErr w:type="spellEnd"/>
      <w:r>
        <w:rPr>
          <w:rFonts w:cs="AdvCaeciliaRm"/>
        </w:rPr>
        <w:t xml:space="preserve"> fungicide </w:t>
      </w:r>
      <w:r w:rsidR="00772AB1">
        <w:rPr>
          <w:rFonts w:cs="AdvCaeciliaRm"/>
        </w:rPr>
        <w:t xml:space="preserve">which binds to </w:t>
      </w:r>
      <w:r w:rsidR="004C3FDB">
        <w:rPr>
          <w:rFonts w:cs="AdvCaeciliaRm"/>
        </w:rPr>
        <w:t>tubulins</w:t>
      </w:r>
      <w:r w:rsidR="00772AB1">
        <w:rPr>
          <w:rFonts w:cs="AdvCaeciliaRm"/>
        </w:rPr>
        <w:t xml:space="preserve"> coded by β</w:t>
      </w:r>
      <w:r w:rsidR="004C3FDB">
        <w:rPr>
          <w:rFonts w:cs="AdvCaeciliaRm"/>
        </w:rPr>
        <w:t>-</w:t>
      </w:r>
      <w:r w:rsidR="00772AB1">
        <w:rPr>
          <w:rFonts w:cs="AdvCaeciliaRm"/>
        </w:rPr>
        <w:t xml:space="preserve">tubulin gene. </w:t>
      </w:r>
      <w:r w:rsidR="004C3FDB">
        <w:rPr>
          <w:rFonts w:cs="AdvCaeciliaRm"/>
        </w:rPr>
        <w:t>This inhibits assembly of microtubules preventing nuclear division of fungal cells</w:t>
      </w:r>
      <w:r w:rsidR="008D2537">
        <w:rPr>
          <w:rFonts w:cs="AdvCaeciliaRm"/>
        </w:rPr>
        <w:t xml:space="preserve"> (</w:t>
      </w:r>
      <w:proofErr w:type="spellStart"/>
      <w:r w:rsidR="008D2537">
        <w:rPr>
          <w:rFonts w:ascii="Fd2107-Identity-H" w:hAnsi="Fd2107-Identity-H" w:cs="Fd2107-Identity-H"/>
          <w:sz w:val="18"/>
          <w:szCs w:val="18"/>
        </w:rPr>
        <w:t>Leen</w:t>
      </w:r>
      <w:proofErr w:type="spellEnd"/>
      <w:r w:rsidR="008D2537">
        <w:rPr>
          <w:rFonts w:ascii="Fd2107-Identity-H" w:hAnsi="Fd2107-Identity-H" w:cs="Fd2107-Identity-H"/>
          <w:sz w:val="18"/>
          <w:szCs w:val="18"/>
        </w:rPr>
        <w:t xml:space="preserve"> C. </w:t>
      </w:r>
      <w:proofErr w:type="spellStart"/>
      <w:r w:rsidR="008D2537">
        <w:rPr>
          <w:rFonts w:ascii="Fd2107-Identity-H" w:hAnsi="Fd2107-Identity-H" w:cs="Fd2107-Identity-H"/>
          <w:sz w:val="18"/>
          <w:szCs w:val="18"/>
        </w:rPr>
        <w:t>Davidse</w:t>
      </w:r>
      <w:proofErr w:type="spellEnd"/>
      <w:r w:rsidR="008D2537">
        <w:rPr>
          <w:rFonts w:ascii="Fd2107-Identity-H" w:hAnsi="Fd2107-Identity-H" w:cs="Fd2107-Identity-H"/>
          <w:sz w:val="18"/>
          <w:szCs w:val="18"/>
        </w:rPr>
        <w:t xml:space="preserve"> 1986)</w:t>
      </w:r>
      <w:r w:rsidR="004C3FDB">
        <w:rPr>
          <w:rFonts w:cs="AdvCaeciliaRm"/>
        </w:rPr>
        <w:t xml:space="preserve">. </w:t>
      </w:r>
      <w:r w:rsidR="008D2537">
        <w:rPr>
          <w:rFonts w:cs="AdvCaeciliaRm"/>
        </w:rPr>
        <w:t>Both azoxystrobin and pyraclostrobin have a quinone outside inhibitor (</w:t>
      </w:r>
      <w:proofErr w:type="spellStart"/>
      <w:r w:rsidR="008D2537">
        <w:rPr>
          <w:rFonts w:cs="AdvCaeciliaRm"/>
        </w:rPr>
        <w:t>QoI</w:t>
      </w:r>
      <w:proofErr w:type="spellEnd"/>
      <w:r w:rsidR="008D2537">
        <w:rPr>
          <w:rFonts w:cs="AdvCaeciliaRm"/>
        </w:rPr>
        <w:t xml:space="preserve">) mode of action. </w:t>
      </w:r>
      <w:r w:rsidR="00734A7C">
        <w:rPr>
          <w:rFonts w:cs="AdvCaeciliaRm"/>
        </w:rPr>
        <w:t>These fungicides inhibit mitochondrial respiration by binding to cytochrome b</w:t>
      </w:r>
      <w:r w:rsidR="00FB6EF0">
        <w:rPr>
          <w:rFonts w:cs="AdvCaeciliaRm"/>
        </w:rPr>
        <w:t>c</w:t>
      </w:r>
      <w:r w:rsidR="00734A7C">
        <w:rPr>
          <w:rFonts w:cs="AdvCaeciliaRm"/>
        </w:rPr>
        <w:t xml:space="preserve">1 enzyme complex at the </w:t>
      </w:r>
      <w:proofErr w:type="spellStart"/>
      <w:r w:rsidR="00734A7C">
        <w:rPr>
          <w:rFonts w:cs="AdvCaeciliaRm"/>
        </w:rPr>
        <w:t>Qo</w:t>
      </w:r>
      <w:proofErr w:type="spellEnd"/>
      <w:r w:rsidR="00734A7C">
        <w:rPr>
          <w:rFonts w:cs="AdvCaeciliaRm"/>
        </w:rPr>
        <w:t xml:space="preserve"> site</w:t>
      </w:r>
      <w:r w:rsidR="00FB6EF0">
        <w:rPr>
          <w:rFonts w:cs="AdvCaeciliaRm"/>
        </w:rPr>
        <w:t xml:space="preserve"> (</w:t>
      </w:r>
      <w:r w:rsidR="00FB6EF0">
        <w:rPr>
          <w:noProof/>
        </w:rPr>
        <w:t>Bartlett, D.W., Clough, J.M, at el. 2002)</w:t>
      </w:r>
      <w:r w:rsidR="00734A7C">
        <w:rPr>
          <w:rFonts w:cs="AdvCaeciliaRm"/>
        </w:rPr>
        <w:t xml:space="preserve">. Iprodione belongs to </w:t>
      </w:r>
      <w:proofErr w:type="spellStart"/>
      <w:r w:rsidR="00734A7C">
        <w:rPr>
          <w:rFonts w:cs="AdvCaeciliaRm"/>
        </w:rPr>
        <w:t>dicarboximide</w:t>
      </w:r>
      <w:proofErr w:type="spellEnd"/>
      <w:r w:rsidR="00734A7C">
        <w:rPr>
          <w:rFonts w:cs="AdvCaeciliaRm"/>
        </w:rPr>
        <w:t xml:space="preserve"> fungicide group having a</w:t>
      </w:r>
      <w:r w:rsidR="00601A2F">
        <w:rPr>
          <w:rFonts w:cs="AdvCaeciliaRm"/>
        </w:rPr>
        <w:t>n</w:t>
      </w:r>
      <w:r w:rsidR="00734A7C">
        <w:rPr>
          <w:rFonts w:cs="AdvCaeciliaRm"/>
        </w:rPr>
        <w:t xml:space="preserve"> unknown modes of action</w:t>
      </w:r>
      <w:r w:rsidR="00601A2F">
        <w:rPr>
          <w:rFonts w:cs="AdvCaeciliaRm"/>
        </w:rPr>
        <w:t xml:space="preserve"> (</w:t>
      </w:r>
      <w:proofErr w:type="spellStart"/>
      <w:r w:rsidR="00601A2F" w:rsidRPr="00601A2F">
        <w:rPr>
          <w:rFonts w:cs="AdvCaeciliaRm"/>
        </w:rPr>
        <w:t>Zhonghua</w:t>
      </w:r>
      <w:proofErr w:type="spellEnd"/>
      <w:r w:rsidR="00601A2F" w:rsidRPr="00601A2F">
        <w:rPr>
          <w:rFonts w:cs="AdvCaeciliaRm"/>
        </w:rPr>
        <w:t xml:space="preserve"> Ma, Themis J. </w:t>
      </w:r>
      <w:proofErr w:type="spellStart"/>
      <w:r w:rsidR="00601A2F" w:rsidRPr="00601A2F">
        <w:rPr>
          <w:rFonts w:cs="AdvCaeciliaRm"/>
        </w:rPr>
        <w:t>Michailides</w:t>
      </w:r>
      <w:proofErr w:type="spellEnd"/>
      <w:r w:rsidR="00601A2F">
        <w:rPr>
          <w:rFonts w:cs="AdvCaeciliaRm"/>
        </w:rPr>
        <w:t xml:space="preserve">, 2005).  </w:t>
      </w:r>
      <w:r w:rsidR="000E1912">
        <w:rPr>
          <w:rFonts w:cs="AdvCaeciliaRm"/>
        </w:rPr>
        <w:t xml:space="preserve">Succinate dehydrogenase inhibitor (SDHI) fungicide boscalid targets succinate dehydrogenase complex in the respiration chain and inhibit fungal respiration by blocking the </w:t>
      </w:r>
      <w:r w:rsidR="000E1912" w:rsidRPr="000E1912">
        <w:rPr>
          <w:rFonts w:cs="AdvCaeciliaRm"/>
        </w:rPr>
        <w:t>ubiquinone-binding</w:t>
      </w:r>
      <w:r w:rsidR="000E1912">
        <w:rPr>
          <w:rFonts w:cs="AdvCaeciliaRm"/>
        </w:rPr>
        <w:t xml:space="preserve"> </w:t>
      </w:r>
      <w:r w:rsidR="000E1912" w:rsidRPr="000E1912">
        <w:rPr>
          <w:rFonts w:cs="AdvCaeciliaRm"/>
        </w:rPr>
        <w:t>sites</w:t>
      </w:r>
      <w:r w:rsidR="000E1912">
        <w:rPr>
          <w:rFonts w:cs="AdvCaeciliaRm"/>
        </w:rPr>
        <w:t xml:space="preserve"> </w:t>
      </w:r>
      <w:r w:rsidR="000E1912" w:rsidRPr="000E1912">
        <w:rPr>
          <w:rFonts w:cs="AdvCaeciliaRm"/>
        </w:rPr>
        <w:t>in</w:t>
      </w:r>
      <w:r w:rsidR="000E1912">
        <w:rPr>
          <w:rFonts w:cs="AdvCaeciliaRm"/>
        </w:rPr>
        <w:t xml:space="preserve"> </w:t>
      </w:r>
      <w:r w:rsidR="000E1912" w:rsidRPr="000E1912">
        <w:rPr>
          <w:rFonts w:cs="AdvCaeciliaRm"/>
        </w:rPr>
        <w:t>the</w:t>
      </w:r>
      <w:r w:rsidR="000E1912">
        <w:rPr>
          <w:rFonts w:cs="AdvCaeciliaRm"/>
        </w:rPr>
        <w:t xml:space="preserve"> </w:t>
      </w:r>
      <w:r w:rsidR="000E1912" w:rsidRPr="000E1912">
        <w:rPr>
          <w:rFonts w:cs="AdvCaeciliaRm"/>
        </w:rPr>
        <w:t>mitochondrial</w:t>
      </w:r>
      <w:r w:rsidR="000E1912">
        <w:rPr>
          <w:rFonts w:cs="AdvCaeciliaRm"/>
        </w:rPr>
        <w:t xml:space="preserve"> </w:t>
      </w:r>
      <w:r w:rsidR="000E1912" w:rsidRPr="000E1912">
        <w:rPr>
          <w:rFonts w:cs="AdvCaeciliaRm"/>
        </w:rPr>
        <w:t>complex</w:t>
      </w:r>
      <w:r w:rsidR="000E1912">
        <w:rPr>
          <w:rFonts w:cs="AdvCaeciliaRm"/>
        </w:rPr>
        <w:t xml:space="preserve"> </w:t>
      </w:r>
      <w:r w:rsidR="000E1912" w:rsidRPr="000E1912">
        <w:rPr>
          <w:rFonts w:cs="AdvCaeciliaRm"/>
        </w:rPr>
        <w:t>II</w:t>
      </w:r>
      <w:r w:rsidR="000E1912">
        <w:rPr>
          <w:rFonts w:cs="AdvCaeciliaRm"/>
        </w:rPr>
        <w:t xml:space="preserve"> (</w:t>
      </w:r>
      <w:proofErr w:type="spellStart"/>
      <w:r w:rsidR="000E1912">
        <w:rPr>
          <w:noProof/>
        </w:rPr>
        <w:t>Avenot</w:t>
      </w:r>
      <w:proofErr w:type="spellEnd"/>
      <w:r w:rsidR="000E1912">
        <w:rPr>
          <w:noProof/>
        </w:rPr>
        <w:t xml:space="preserve"> HF, Michailides TJ 2010)</w:t>
      </w:r>
      <w:r w:rsidR="000E1912">
        <w:rPr>
          <w:rFonts w:cs="AdvCaeciliaRm"/>
        </w:rPr>
        <w:t xml:space="preserve">.   </w:t>
      </w:r>
      <w:r w:rsidR="00734A7C">
        <w:rPr>
          <w:rFonts w:cs="AdvCaeciliaRm"/>
        </w:rPr>
        <w:t xml:space="preserve"> </w:t>
      </w:r>
    </w:p>
    <w:p w:rsidR="008D2537" w:rsidRDefault="008D2537" w:rsidP="00786B2A">
      <w:pPr>
        <w:autoSpaceDE w:val="0"/>
        <w:autoSpaceDN w:val="0"/>
        <w:adjustRightInd w:val="0"/>
        <w:spacing w:after="0" w:line="240" w:lineRule="auto"/>
        <w:rPr>
          <w:rFonts w:cs="AdvCaeciliaRm"/>
        </w:rPr>
      </w:pPr>
    </w:p>
    <w:p w:rsidR="008D2537" w:rsidRDefault="00512C14" w:rsidP="00786B2A">
      <w:pPr>
        <w:autoSpaceDE w:val="0"/>
        <w:autoSpaceDN w:val="0"/>
        <w:adjustRightInd w:val="0"/>
        <w:spacing w:after="0" w:line="240" w:lineRule="auto"/>
        <w:rPr>
          <w:rFonts w:cs="AdvCaeciliaRm"/>
        </w:rPr>
      </w:pPr>
      <w:r>
        <w:rPr>
          <w:rFonts w:cs="AdvCaeciliaRm"/>
        </w:rPr>
        <w:t xml:space="preserve">Some </w:t>
      </w:r>
      <w:r w:rsidR="00E4627A">
        <w:rPr>
          <w:rFonts w:cs="AdvCaeciliaRm"/>
        </w:rPr>
        <w:t>technical replicates</w:t>
      </w:r>
      <w:r>
        <w:rPr>
          <w:rFonts w:cs="AdvCaeciliaRm"/>
        </w:rPr>
        <w:t xml:space="preserve"> in both fungicide exposed and control groups exhibited slow growth and even death during the continuous transfer process.  For example, we had to remove isolate 587 from the experiment since all treated and control isolates either died or performed very poorly by midway of the experiment. </w:t>
      </w:r>
      <w:r w:rsidR="005E518D">
        <w:rPr>
          <w:rFonts w:cs="AdvCaeciliaRm"/>
        </w:rPr>
        <w:t xml:space="preserve">The common </w:t>
      </w:r>
      <w:r w:rsidR="006E548E">
        <w:rPr>
          <w:rFonts w:cs="AdvCaeciliaRm"/>
        </w:rPr>
        <w:t>morphological</w:t>
      </w:r>
      <w:r w:rsidR="005E518D">
        <w:rPr>
          <w:rFonts w:cs="AdvCaeciliaRm"/>
        </w:rPr>
        <w:t xml:space="preserve"> change </w:t>
      </w:r>
      <w:r w:rsidR="007241E7">
        <w:rPr>
          <w:rFonts w:cs="AdvCaeciliaRm"/>
        </w:rPr>
        <w:t>observed was the growth rate differences of mycelia</w:t>
      </w:r>
      <w:r w:rsidR="00E4627A">
        <w:rPr>
          <w:rFonts w:cs="AdvCaeciliaRm"/>
        </w:rPr>
        <w:t xml:space="preserve"> in fungicide exposed isolates</w:t>
      </w:r>
      <w:r w:rsidR="007241E7">
        <w:rPr>
          <w:rFonts w:cs="AdvCaeciliaRm"/>
        </w:rPr>
        <w:t>.</w:t>
      </w:r>
      <w:r w:rsidR="007241E7" w:rsidRPr="00E4627A">
        <w:rPr>
          <w:rFonts w:cs="AdvCaeciliaRm"/>
          <w:strike/>
        </w:rPr>
        <w:t xml:space="preserve"> Some replicates of control isolates exhibited below normal growth rate while fungicide exposed </w:t>
      </w:r>
      <w:proofErr w:type="gramStart"/>
      <w:r w:rsidR="007241E7" w:rsidRPr="00E4627A">
        <w:rPr>
          <w:rFonts w:cs="AdvCaeciliaRm"/>
          <w:strike/>
        </w:rPr>
        <w:t>being</w:t>
      </w:r>
      <w:r w:rsidR="007241E7">
        <w:rPr>
          <w:rFonts w:cs="AdvCaeciliaRm"/>
        </w:rPr>
        <w:t xml:space="preserve"> </w:t>
      </w:r>
      <w:r w:rsidR="005E518D">
        <w:rPr>
          <w:rFonts w:cs="AdvCaeciliaRm"/>
        </w:rPr>
        <w:t xml:space="preserve"> </w:t>
      </w:r>
      <w:r w:rsidR="00E4627A">
        <w:rPr>
          <w:rFonts w:cs="AdvCaeciliaRm"/>
        </w:rPr>
        <w:t>S</w:t>
      </w:r>
      <w:r w:rsidR="00E80121">
        <w:rPr>
          <w:rFonts w:cs="AdvCaeciliaRm"/>
        </w:rPr>
        <w:t>ome</w:t>
      </w:r>
      <w:proofErr w:type="gramEnd"/>
      <w:r w:rsidR="00E80121">
        <w:rPr>
          <w:rFonts w:cs="AdvCaeciliaRm"/>
        </w:rPr>
        <w:t xml:space="preserve"> </w:t>
      </w:r>
      <w:r w:rsidR="00113586">
        <w:rPr>
          <w:rFonts w:cs="AdvCaeciliaRm"/>
        </w:rPr>
        <w:t xml:space="preserve">isolates </w:t>
      </w:r>
      <w:r w:rsidR="00E80121">
        <w:rPr>
          <w:rFonts w:cs="AdvCaeciliaRm"/>
        </w:rPr>
        <w:t>during the</w:t>
      </w:r>
      <w:r w:rsidR="00113586">
        <w:rPr>
          <w:rFonts w:cs="AdvCaeciliaRm"/>
        </w:rPr>
        <w:t xml:space="preserve"> chronic exposure </w:t>
      </w:r>
      <w:r w:rsidR="00E80121">
        <w:rPr>
          <w:rFonts w:cs="AdvCaeciliaRm"/>
        </w:rPr>
        <w:t>to</w:t>
      </w:r>
      <w:r w:rsidR="00113586">
        <w:rPr>
          <w:rFonts w:cs="AdvCaeciliaRm"/>
        </w:rPr>
        <w:t xml:space="preserve"> sub-lethal </w:t>
      </w:r>
      <w:r w:rsidR="00E80121">
        <w:rPr>
          <w:rFonts w:cs="AdvCaeciliaRm"/>
        </w:rPr>
        <w:t>doses</w:t>
      </w:r>
      <w:r w:rsidR="00113586">
        <w:rPr>
          <w:rFonts w:cs="AdvCaeciliaRm"/>
        </w:rPr>
        <w:t xml:space="preserve"> </w:t>
      </w:r>
      <w:r w:rsidR="00E80121">
        <w:rPr>
          <w:rFonts w:cs="AdvCaeciliaRm"/>
        </w:rPr>
        <w:t xml:space="preserve">of </w:t>
      </w:r>
      <w:r w:rsidR="00113586">
        <w:rPr>
          <w:rFonts w:cs="AdvCaeciliaRm"/>
        </w:rPr>
        <w:t>fungicides</w:t>
      </w:r>
      <w:r w:rsidR="00E80121">
        <w:rPr>
          <w:rFonts w:cs="AdvCaeciliaRm"/>
        </w:rPr>
        <w:t xml:space="preserve"> showed irregular growth by sectoring. Especially isolates exposed to iprodione showed a higher frequency of sectoring </w:t>
      </w:r>
      <w:r w:rsidR="0037147F">
        <w:rPr>
          <w:rFonts w:cs="AdvCaeciliaRm"/>
        </w:rPr>
        <w:t xml:space="preserve">with </w:t>
      </w:r>
      <w:r w:rsidR="005E518D">
        <w:rPr>
          <w:rFonts w:cs="AdvCaeciliaRm"/>
        </w:rPr>
        <w:t xml:space="preserve">a few </w:t>
      </w:r>
      <w:r w:rsidR="0037147F">
        <w:rPr>
          <w:rFonts w:cs="AdvCaeciliaRm"/>
        </w:rPr>
        <w:t xml:space="preserve">pockets of rapid growth </w:t>
      </w:r>
      <w:r w:rsidR="00E80121">
        <w:rPr>
          <w:rFonts w:cs="AdvCaeciliaRm"/>
        </w:rPr>
        <w:t xml:space="preserve">compared to other isolates. </w:t>
      </w:r>
      <w:r w:rsidR="00113586">
        <w:rPr>
          <w:rFonts w:cs="AdvCaeciliaRm"/>
        </w:rPr>
        <w:t xml:space="preserve"> </w:t>
      </w:r>
      <w:r w:rsidR="00E80121">
        <w:rPr>
          <w:rFonts w:cs="AdvCaeciliaRm"/>
        </w:rPr>
        <w:t>Also</w:t>
      </w:r>
      <w:r w:rsidR="005E518D">
        <w:rPr>
          <w:rFonts w:cs="AdvCaeciliaRm"/>
        </w:rPr>
        <w:t>,</w:t>
      </w:r>
      <w:r w:rsidR="00E80121">
        <w:rPr>
          <w:rFonts w:cs="AdvCaeciliaRm"/>
        </w:rPr>
        <w:t xml:space="preserve"> the mycelial</w:t>
      </w:r>
      <w:r w:rsidR="0037147F">
        <w:rPr>
          <w:rFonts w:cs="AdvCaeciliaRm"/>
        </w:rPr>
        <w:t xml:space="preserve"> mat</w:t>
      </w:r>
      <w:r w:rsidR="00E80121">
        <w:rPr>
          <w:rFonts w:cs="AdvCaeciliaRm"/>
        </w:rPr>
        <w:t xml:space="preserve"> of these isolates were thin</w:t>
      </w:r>
      <w:r w:rsidR="0037147F">
        <w:rPr>
          <w:rFonts w:cs="AdvCaeciliaRm"/>
        </w:rPr>
        <w:t>ner</w:t>
      </w:r>
      <w:r w:rsidR="00E80121">
        <w:rPr>
          <w:rFonts w:cs="AdvCaeciliaRm"/>
        </w:rPr>
        <w:t xml:space="preserve"> </w:t>
      </w:r>
      <w:r w:rsidR="0037147F">
        <w:rPr>
          <w:rFonts w:cs="AdvCaeciliaRm"/>
        </w:rPr>
        <w:t xml:space="preserve">than </w:t>
      </w:r>
      <w:r w:rsidR="00E80121">
        <w:rPr>
          <w:rFonts w:cs="AdvCaeciliaRm"/>
        </w:rPr>
        <w:t>the control</w:t>
      </w:r>
      <w:r w:rsidR="0037147F">
        <w:rPr>
          <w:rFonts w:cs="AdvCaeciliaRm"/>
        </w:rPr>
        <w:t xml:space="preserve"> isolates</w:t>
      </w:r>
      <w:r w:rsidR="00E80121">
        <w:rPr>
          <w:rFonts w:cs="AdvCaeciliaRm"/>
        </w:rPr>
        <w:t xml:space="preserve">. </w:t>
      </w:r>
      <w:r w:rsidR="0037147F">
        <w:rPr>
          <w:rFonts w:cs="AdvCaeciliaRm"/>
        </w:rPr>
        <w:t>Isolates exposed to boscalid produced sclerotia faster than the control isolates with no other morphological changes.</w:t>
      </w:r>
      <w:r w:rsidR="005E518D">
        <w:rPr>
          <w:rFonts w:cs="AdvCaeciliaRm"/>
        </w:rPr>
        <w:t xml:space="preserve"> The isolate</w:t>
      </w:r>
      <w:r w:rsidR="006E548E">
        <w:rPr>
          <w:rFonts w:cs="AdvCaeciliaRm"/>
        </w:rPr>
        <w:t>s</w:t>
      </w:r>
      <w:r w:rsidR="005E518D">
        <w:rPr>
          <w:rFonts w:cs="AdvCaeciliaRm"/>
        </w:rPr>
        <w:t xml:space="preserve"> exposed to azoxystrobin and pyraclostrobin showed more aerial mycelia than the control isolates. </w:t>
      </w:r>
      <w:r w:rsidR="0037147F">
        <w:rPr>
          <w:rFonts w:cs="AdvCaeciliaRm"/>
        </w:rPr>
        <w:t xml:space="preserve"> </w:t>
      </w:r>
      <w:r w:rsidR="00E80121">
        <w:rPr>
          <w:rFonts w:cs="AdvCaeciliaRm"/>
        </w:rPr>
        <w:t xml:space="preserve"> </w:t>
      </w:r>
    </w:p>
    <w:p w:rsidR="00F861F7" w:rsidRDefault="00F861F7" w:rsidP="00786B2A">
      <w:pPr>
        <w:autoSpaceDE w:val="0"/>
        <w:autoSpaceDN w:val="0"/>
        <w:adjustRightInd w:val="0"/>
        <w:spacing w:after="0" w:line="240" w:lineRule="auto"/>
        <w:rPr>
          <w:rFonts w:cs="AdvCaeciliaRm"/>
        </w:rPr>
      </w:pPr>
    </w:p>
    <w:p w:rsidR="005E518D" w:rsidRDefault="00F861F7" w:rsidP="00786B2A">
      <w:pPr>
        <w:autoSpaceDE w:val="0"/>
        <w:autoSpaceDN w:val="0"/>
        <w:adjustRightInd w:val="0"/>
        <w:spacing w:after="0" w:line="240" w:lineRule="auto"/>
        <w:rPr>
          <w:rFonts w:cs="AdvCaeciliaRm"/>
        </w:rPr>
      </w:pPr>
      <w:r>
        <w:rPr>
          <w:rFonts w:cs="AdvCaeciliaRm"/>
        </w:rPr>
        <w:t>Why l</w:t>
      </w:r>
      <w:bookmarkStart w:id="0" w:name="_GoBack"/>
      <w:bookmarkEnd w:id="0"/>
      <w:r>
        <w:rPr>
          <w:rFonts w:cs="AdvCaeciliaRm"/>
        </w:rPr>
        <w:t>arge number of polymorphisms in TM.</w:t>
      </w:r>
    </w:p>
    <w:p w:rsidR="00F861F7" w:rsidRDefault="00F861F7" w:rsidP="00786B2A">
      <w:pPr>
        <w:autoSpaceDE w:val="0"/>
        <w:autoSpaceDN w:val="0"/>
        <w:adjustRightInd w:val="0"/>
        <w:spacing w:after="0" w:line="240" w:lineRule="auto"/>
        <w:rPr>
          <w:rFonts w:cs="AdvCaeciliaRm"/>
        </w:rPr>
      </w:pPr>
      <w:proofErr w:type="spellStart"/>
      <w:r>
        <w:rPr>
          <w:rFonts w:cs="AdvCaeciliaRm"/>
        </w:rPr>
        <w:lastRenderedPageBreak/>
        <w:t>PCoA</w:t>
      </w:r>
      <w:proofErr w:type="spellEnd"/>
      <w:r>
        <w:rPr>
          <w:rFonts w:cs="AdvCaeciliaRm"/>
        </w:rPr>
        <w:t xml:space="preserve"> shows random mutations in </w:t>
      </w:r>
      <w:proofErr w:type="spellStart"/>
      <w:r>
        <w:rPr>
          <w:rFonts w:cs="AdvCaeciliaRm"/>
        </w:rPr>
        <w:t>Ss</w:t>
      </w:r>
      <w:proofErr w:type="spellEnd"/>
      <w:r w:rsidR="006E548E">
        <w:rPr>
          <w:rFonts w:cs="AdvCaeciliaRm"/>
        </w:rPr>
        <w:t xml:space="preserve"> subjected to chronic exposure</w:t>
      </w:r>
    </w:p>
    <w:p w:rsidR="00F861F7" w:rsidRDefault="00F861F7" w:rsidP="00786B2A">
      <w:pPr>
        <w:autoSpaceDE w:val="0"/>
        <w:autoSpaceDN w:val="0"/>
        <w:adjustRightInd w:val="0"/>
        <w:spacing w:after="0" w:line="240" w:lineRule="auto"/>
        <w:rPr>
          <w:rFonts w:cs="AdvCaeciliaRm"/>
        </w:rPr>
      </w:pPr>
      <w:r>
        <w:rPr>
          <w:rFonts w:cs="AdvCaeciliaRm"/>
        </w:rPr>
        <w:t xml:space="preserve">Isolates are from different </w:t>
      </w:r>
      <w:proofErr w:type="spellStart"/>
      <w:r>
        <w:rPr>
          <w:rFonts w:cs="AdvCaeciliaRm"/>
        </w:rPr>
        <w:t>geographies.different</w:t>
      </w:r>
      <w:proofErr w:type="spellEnd"/>
      <w:r>
        <w:rPr>
          <w:rFonts w:cs="AdvCaeciliaRm"/>
        </w:rPr>
        <w:t xml:space="preserve"> selection pressures.  </w:t>
      </w:r>
    </w:p>
    <w:p w:rsidR="00F861F7" w:rsidRDefault="00F861F7" w:rsidP="00786B2A">
      <w:pPr>
        <w:autoSpaceDE w:val="0"/>
        <w:autoSpaceDN w:val="0"/>
        <w:adjustRightInd w:val="0"/>
        <w:spacing w:after="0" w:line="240" w:lineRule="auto"/>
        <w:rPr>
          <w:rFonts w:cs="AdvCaeciliaRm"/>
        </w:rPr>
      </w:pPr>
    </w:p>
    <w:p w:rsidR="00326FCD" w:rsidRDefault="00F861F7" w:rsidP="00303EB7">
      <w:proofErr w:type="gramStart"/>
      <w:r>
        <w:rPr>
          <w:sz w:val="20"/>
          <w:szCs w:val="20"/>
        </w:rPr>
        <w:t>the</w:t>
      </w:r>
      <w:proofErr w:type="gramEnd"/>
      <w:r>
        <w:rPr>
          <w:sz w:val="20"/>
          <w:szCs w:val="20"/>
        </w:rPr>
        <w:t xml:space="preserve"> microsatellites in genomic DNA of </w:t>
      </w:r>
      <w:proofErr w:type="spellStart"/>
      <w:r>
        <w:rPr>
          <w:i/>
          <w:iCs/>
          <w:sz w:val="20"/>
          <w:szCs w:val="20"/>
        </w:rPr>
        <w:t>Alternaria</w:t>
      </w:r>
      <w:proofErr w:type="spellEnd"/>
      <w:r>
        <w:rPr>
          <w:i/>
          <w:iCs/>
          <w:sz w:val="20"/>
          <w:szCs w:val="20"/>
        </w:rPr>
        <w:t xml:space="preserve"> </w:t>
      </w:r>
      <w:r>
        <w:rPr>
          <w:sz w:val="20"/>
          <w:szCs w:val="20"/>
        </w:rPr>
        <w:t xml:space="preserve">were modified as an </w:t>
      </w:r>
      <w:proofErr w:type="spellStart"/>
      <w:r>
        <w:rPr>
          <w:sz w:val="20"/>
          <w:szCs w:val="20"/>
        </w:rPr>
        <w:t>adaptative</w:t>
      </w:r>
      <w:proofErr w:type="spellEnd"/>
      <w:r>
        <w:rPr>
          <w:sz w:val="20"/>
          <w:szCs w:val="20"/>
        </w:rPr>
        <w:t xml:space="preserve"> response to the ITC toxic effect.</w:t>
      </w:r>
    </w:p>
    <w:p w:rsidR="00326FCD" w:rsidRDefault="00FB6EF0" w:rsidP="00303EB7">
      <w:r>
        <w:t>\\\\</w:t>
      </w:r>
    </w:p>
    <w:p w:rsidR="00FB6EF0" w:rsidRDefault="00FB6EF0" w:rsidP="00303EB7"/>
    <w:p w:rsidR="00FB6EF0" w:rsidRDefault="00FB6EF0" w:rsidP="00303EB7"/>
    <w:p w:rsidR="00FB6EF0" w:rsidRDefault="00FB6EF0" w:rsidP="00FB6EF0">
      <w:proofErr w:type="spellStart"/>
      <w:r>
        <w:t>Sublethal</w:t>
      </w:r>
      <w:proofErr w:type="spellEnd"/>
      <w:r>
        <w:t xml:space="preserve"> doses can increase or decrease growth rate of the fungus.</w:t>
      </w:r>
    </w:p>
    <w:p w:rsidR="00FB6EF0" w:rsidRDefault="00FB6EF0" w:rsidP="00FB6EF0">
      <w:r>
        <w:t>Genomic plasticity</w:t>
      </w:r>
    </w:p>
    <w:p w:rsidR="00FB6EF0" w:rsidRDefault="00FB6EF0" w:rsidP="00303EB7"/>
    <w:p w:rsidR="00326FCD" w:rsidRDefault="00326FCD" w:rsidP="00303EB7"/>
    <w:p w:rsidR="00303EB7" w:rsidRDefault="00303EB7" w:rsidP="00303EB7">
      <w:r>
        <w:t>Resistance development to fungicides has been a major problem and an ongoing research topic since the introduction of single-site, target specific fungicides to the market in the 1970s (</w:t>
      </w:r>
      <w:r w:rsidRPr="000D28CA">
        <w:rPr>
          <w:rFonts w:ascii="AdvMc_Times-i" w:hAnsi="AdvMc_Times-i" w:cs="AdvMc_Times-i"/>
          <w:sz w:val="16"/>
          <w:szCs w:val="16"/>
          <w:highlight w:val="cyan"/>
        </w:rPr>
        <w:t xml:space="preserve">Z. Ma, T.J. </w:t>
      </w:r>
      <w:proofErr w:type="spellStart"/>
      <w:r w:rsidRPr="000D28CA">
        <w:rPr>
          <w:rFonts w:ascii="AdvMc_Times-i" w:hAnsi="AdvMc_Times-i" w:cs="AdvMc_Times-i"/>
          <w:sz w:val="16"/>
          <w:szCs w:val="16"/>
          <w:highlight w:val="cyan"/>
        </w:rPr>
        <w:t>Michailides</w:t>
      </w:r>
      <w:proofErr w:type="spellEnd"/>
      <w:r w:rsidRPr="000D28CA">
        <w:rPr>
          <w:rFonts w:ascii="AdvMc_Times-i" w:hAnsi="AdvMc_Times-i" w:cs="AdvMc_Times-i"/>
          <w:sz w:val="16"/>
          <w:szCs w:val="16"/>
          <w:highlight w:val="cyan"/>
        </w:rPr>
        <w:t xml:space="preserve"> / Crop Protection 24 (2005) 853–863| John A. Lucas1, </w:t>
      </w:r>
      <w:proofErr w:type="spellStart"/>
      <w:r w:rsidRPr="000D28CA">
        <w:rPr>
          <w:rFonts w:ascii="AdvMc_Times-i" w:hAnsi="AdvMc_Times-i" w:cs="AdvMc_Times-i"/>
          <w:sz w:val="16"/>
          <w:szCs w:val="16"/>
          <w:highlight w:val="cyan"/>
        </w:rPr>
        <w:t>Nichola</w:t>
      </w:r>
      <w:proofErr w:type="spellEnd"/>
      <w:r w:rsidRPr="000D28CA">
        <w:rPr>
          <w:rFonts w:ascii="AdvMc_Times-i" w:hAnsi="AdvMc_Times-i" w:cs="AdvMc_Times-i"/>
          <w:sz w:val="16"/>
          <w:szCs w:val="16"/>
          <w:highlight w:val="cyan"/>
        </w:rPr>
        <w:t xml:space="preserve"> J. Hawkins and Bart A. </w:t>
      </w:r>
      <w:proofErr w:type="spellStart"/>
      <w:r w:rsidRPr="000D28CA">
        <w:rPr>
          <w:rFonts w:ascii="AdvMc_Times-i" w:hAnsi="AdvMc_Times-i" w:cs="AdvMc_Times-i"/>
          <w:sz w:val="16"/>
          <w:szCs w:val="16"/>
          <w:highlight w:val="cyan"/>
        </w:rPr>
        <w:t>Fraaije</w:t>
      </w:r>
      <w:proofErr w:type="spellEnd"/>
      <w:r w:rsidRPr="000D28CA">
        <w:rPr>
          <w:rFonts w:ascii="AdvMc_Times-i" w:hAnsi="AdvMc_Times-i" w:cs="AdvMc_Times-i"/>
          <w:sz w:val="16"/>
          <w:szCs w:val="16"/>
          <w:highlight w:val="cyan"/>
        </w:rPr>
        <w:t xml:space="preserve">, </w:t>
      </w:r>
      <w:r w:rsidRPr="000D28CA">
        <w:rPr>
          <w:rFonts w:ascii="AdvOTa5ebdc7c.I" w:hAnsi="AdvOTa5ebdc7c.I" w:cs="AdvOTa5ebdc7c.I"/>
          <w:sz w:val="15"/>
          <w:szCs w:val="15"/>
          <w:highlight w:val="cyan"/>
        </w:rPr>
        <w:t xml:space="preserve">Advances in Applied Microbiology, </w:t>
      </w:r>
      <w:r w:rsidRPr="000D28CA">
        <w:rPr>
          <w:rFonts w:ascii="AdvOTce2aec1c" w:hAnsi="AdvOTce2aec1c" w:cs="AdvOTce2aec1c"/>
          <w:sz w:val="15"/>
          <w:szCs w:val="15"/>
          <w:highlight w:val="cyan"/>
        </w:rPr>
        <w:t>Volume 90</w:t>
      </w:r>
      <w:r>
        <w:t xml:space="preserve">).  Most </w:t>
      </w:r>
      <w:proofErr w:type="gramStart"/>
      <w:r>
        <w:t>newer</w:t>
      </w:r>
      <w:proofErr w:type="gramEnd"/>
      <w:r>
        <w:t xml:space="preserve"> single site fungicides are highly efficacious because of their systemic nature and curative effect. This inhibits most of the sensitive isolates of a pathogen population and creates an environment to select even rare preexisting mutants with ability to withstand the fungicide pressure. Since most fungal pathogens have a rapid reproduction rate, resistance isolates will dominate the population provided their ecological fitness was not compromised by different genetic makeup.      </w:t>
      </w:r>
    </w:p>
    <w:p w:rsidR="00303EB7" w:rsidRDefault="00303EB7" w:rsidP="00303EB7">
      <w:r>
        <w:t xml:space="preserve">When the majority of isolates of a pathogen population become less sensitive to a fungicide year after year, and this effect is stable and transferred genetically or epigenetically to its progeny, that population is considered to be resistant to the fungicide applied at the recommended rate. </w:t>
      </w:r>
    </w:p>
    <w:p w:rsidR="00303EB7" w:rsidRDefault="00303EB7" w:rsidP="00303EB7">
      <w:r>
        <w:t>It is well-documented that the resistance emergence is due to natural mutations occurring in the pathogen genome (</w:t>
      </w:r>
      <w:r w:rsidRPr="000D28CA">
        <w:rPr>
          <w:rFonts w:ascii="AdvOTce2aec1c" w:hAnsi="AdvOTce2aec1c" w:cs="AdvOTce2aec1c"/>
          <w:color w:val="000000"/>
          <w:sz w:val="18"/>
          <w:szCs w:val="18"/>
          <w:highlight w:val="cyan"/>
        </w:rPr>
        <w:t xml:space="preserve">Dekker, J. (1976).| </w:t>
      </w:r>
      <w:proofErr w:type="spellStart"/>
      <w:r w:rsidRPr="000D28CA">
        <w:rPr>
          <w:rFonts w:ascii="AdvOTce2aec1c" w:hAnsi="AdvOTce2aec1c" w:cs="AdvOTce2aec1c"/>
          <w:color w:val="000000"/>
          <w:sz w:val="18"/>
          <w:szCs w:val="18"/>
          <w:highlight w:val="cyan"/>
        </w:rPr>
        <w:t>Avenot</w:t>
      </w:r>
      <w:proofErr w:type="spellEnd"/>
      <w:r w:rsidRPr="000D28CA">
        <w:rPr>
          <w:rFonts w:ascii="AdvOTce2aec1c" w:hAnsi="AdvOTce2aec1c" w:cs="AdvOTce2aec1c"/>
          <w:color w:val="000000"/>
          <w:sz w:val="18"/>
          <w:szCs w:val="18"/>
          <w:highlight w:val="cyan"/>
        </w:rPr>
        <w:t xml:space="preserve">, H. F., &amp; </w:t>
      </w:r>
      <w:proofErr w:type="spellStart"/>
      <w:r w:rsidRPr="000D28CA">
        <w:rPr>
          <w:rFonts w:ascii="AdvOTce2aec1c" w:hAnsi="AdvOTce2aec1c" w:cs="AdvOTce2aec1c"/>
          <w:color w:val="000000"/>
          <w:sz w:val="18"/>
          <w:szCs w:val="18"/>
          <w:highlight w:val="cyan"/>
        </w:rPr>
        <w:t>Michailides</w:t>
      </w:r>
      <w:proofErr w:type="spellEnd"/>
      <w:r w:rsidRPr="000D28CA">
        <w:rPr>
          <w:rFonts w:ascii="AdvOTce2aec1c" w:hAnsi="AdvOTce2aec1c" w:cs="AdvOTce2aec1c"/>
          <w:color w:val="000000"/>
          <w:sz w:val="18"/>
          <w:szCs w:val="18"/>
          <w:highlight w:val="cyan"/>
        </w:rPr>
        <w:t xml:space="preserve">, T. J. (2007)| Miles, T. D., Miles, L. A., Fairchild, K. L., &amp; Wharton, P. S. (2014)| Ma et al. 2003, | </w:t>
      </w:r>
      <w:r w:rsidRPr="000D28CA">
        <w:rPr>
          <w:rFonts w:ascii="AdvOTce2aec1c" w:hAnsi="AdvOTce2aec1c" w:cs="AdvOTce2aec1c"/>
          <w:color w:val="2197D2"/>
          <w:sz w:val="18"/>
          <w:szCs w:val="18"/>
          <w:highlight w:val="cyan"/>
        </w:rPr>
        <w:t xml:space="preserve">De </w:t>
      </w:r>
      <w:proofErr w:type="spellStart"/>
      <w:r w:rsidRPr="000D28CA">
        <w:rPr>
          <w:rFonts w:ascii="AdvOTce2aec1c" w:hAnsi="AdvOTce2aec1c" w:cs="AdvOTce2aec1c"/>
          <w:color w:val="2197D2"/>
          <w:sz w:val="18"/>
          <w:szCs w:val="18"/>
          <w:highlight w:val="cyan"/>
        </w:rPr>
        <w:t>Waard</w:t>
      </w:r>
      <w:proofErr w:type="spellEnd"/>
      <w:r w:rsidRPr="000D28CA">
        <w:rPr>
          <w:rFonts w:ascii="AdvOTce2aec1c" w:hAnsi="AdvOTce2aec1c" w:cs="AdvOTce2aec1c"/>
          <w:color w:val="2197D2"/>
          <w:sz w:val="18"/>
          <w:szCs w:val="18"/>
          <w:highlight w:val="cyan"/>
        </w:rPr>
        <w:t xml:space="preserve">, M. (1994)| </w:t>
      </w:r>
      <w:r w:rsidRPr="000D28CA">
        <w:rPr>
          <w:rFonts w:ascii="AdvOTce2aec1c" w:hAnsi="AdvOTce2aec1c" w:cs="AdvOTce2aec1c"/>
          <w:color w:val="000000"/>
          <w:sz w:val="18"/>
          <w:szCs w:val="18"/>
          <w:highlight w:val="cyan"/>
        </w:rPr>
        <w:t>Chin, K. M. (2001</w:t>
      </w:r>
      <w:proofErr w:type="gramStart"/>
      <w:r w:rsidRPr="000D28CA">
        <w:rPr>
          <w:rFonts w:ascii="AdvOTce2aec1c" w:hAnsi="AdvOTce2aec1c" w:cs="AdvOTce2aec1c"/>
          <w:color w:val="000000"/>
          <w:sz w:val="18"/>
          <w:szCs w:val="18"/>
          <w:highlight w:val="cyan"/>
        </w:rPr>
        <w:t>)</w:t>
      </w:r>
      <w:r>
        <w:rPr>
          <w:rFonts w:ascii="AdvOTce2aec1c" w:hAnsi="AdvOTce2aec1c" w:cs="AdvOTce2aec1c"/>
          <w:color w:val="000000"/>
          <w:sz w:val="18"/>
          <w:szCs w:val="18"/>
        </w:rPr>
        <w:t xml:space="preserve">  </w:t>
      </w:r>
      <w:r w:rsidRPr="00F12D4B">
        <w:rPr>
          <w:highlight w:val="cyan"/>
        </w:rPr>
        <w:t>ref</w:t>
      </w:r>
      <w:proofErr w:type="gramEnd"/>
      <w:r>
        <w:t>). Mutations conferring resistance to a fungicide have been identified in a single or multiple genes (</w:t>
      </w:r>
      <w:proofErr w:type="spellStart"/>
      <w:r>
        <w:rPr>
          <w:rFonts w:ascii="AdvOTce2aec1c" w:hAnsi="AdvOTce2aec1c" w:cs="AdvOTce2aec1c"/>
          <w:color w:val="2197D2"/>
        </w:rPr>
        <w:t>Sierotzki</w:t>
      </w:r>
      <w:proofErr w:type="spellEnd"/>
      <w:r>
        <w:rPr>
          <w:rFonts w:ascii="AdvOTce2aec1c" w:hAnsi="AdvOTce2aec1c" w:cs="AdvOTce2aec1c"/>
          <w:color w:val="2197D2"/>
        </w:rPr>
        <w:t xml:space="preserve"> et al., 2007, ||</w:t>
      </w:r>
      <w:r w:rsidRPr="00A372B0">
        <w:rPr>
          <w:color w:val="00B0F0"/>
        </w:rPr>
        <w:t>Lim TP, 2015</w:t>
      </w:r>
      <w:r w:rsidRPr="005B57F8">
        <w:rPr>
          <w:color w:val="00B0F0"/>
        </w:rPr>
        <w:t>)</w:t>
      </w:r>
      <w:r w:rsidRPr="005B57F8">
        <w:t xml:space="preserve">. </w:t>
      </w:r>
      <w:r>
        <w:t>Though resistant isolates may increase their frequency under selection pressure, sensitive isolates will revert back to former levels when selection pressure is removed provided resistance is associated with low ecological fitness. Resistant isolates without a fitness cost (</w:t>
      </w:r>
      <w:proofErr w:type="spellStart"/>
      <w:r w:rsidRPr="000D28CA">
        <w:rPr>
          <w:highlight w:val="cyan"/>
        </w:rPr>
        <w:t>Baraldi</w:t>
      </w:r>
      <w:proofErr w:type="spellEnd"/>
      <w:r w:rsidRPr="000D28CA">
        <w:rPr>
          <w:highlight w:val="cyan"/>
        </w:rPr>
        <w:t xml:space="preserve"> et al 2003, </w:t>
      </w:r>
      <w:proofErr w:type="spellStart"/>
      <w:r w:rsidRPr="000D28CA">
        <w:rPr>
          <w:highlight w:val="cyan"/>
        </w:rPr>
        <w:t>Gisi</w:t>
      </w:r>
      <w:proofErr w:type="spellEnd"/>
      <w:r w:rsidRPr="000D28CA">
        <w:rPr>
          <w:highlight w:val="cyan"/>
        </w:rPr>
        <w:t xml:space="preserve"> et al. 2002</w:t>
      </w:r>
      <w:r>
        <w:t xml:space="preserve">) may remain for a long period of time even in the absence of fungicide pressure and remerge to dominance with the resumption of fungicide application. </w:t>
      </w:r>
    </w:p>
    <w:p w:rsidR="00303EB7" w:rsidRDefault="00303EB7" w:rsidP="00303EB7">
      <w:r>
        <w:t>In the past decades, research and development cost of new fungicide chemistries have increased dramatically. Due to adverse effect of chemical residues on the environment and potential risk for agricultural workers, pesticides are being increasingly regulated world over.  Today, many studies on pesticide toxicity, persistence, and environmental impact are needed before registration is approved. It is estimated that from synthesis of candidate chemicals and biological screening to bringing a new fungicide to market cost more than US$250 million (</w:t>
      </w:r>
      <w:r w:rsidRPr="000D28CA">
        <w:rPr>
          <w:highlight w:val="cyan"/>
        </w:rPr>
        <w:t>Russel 2006</w:t>
      </w:r>
      <w:r>
        <w:t xml:space="preserve">). Therefore, it is important to place more emphasis on preventing or delaying pathogen resistance to existing fungicides than research and development of new chemistries. The strategies to delay selection and dominance of fungal pathogens </w:t>
      </w:r>
      <w:r>
        <w:lastRenderedPageBreak/>
        <w:t>by lethal doses include mixing two fungicides with different modes of action; avoid continuous use of the same fungicide by alternating sprays; avoidance of low dose rate applications; and combining non chemical cultural practices such as crop rotation, biological control and fallowing.</w:t>
      </w:r>
    </w:p>
    <w:p w:rsidR="00A473D1" w:rsidRDefault="00A473D1" w:rsidP="00A473D1">
      <w:r>
        <w:rPr>
          <w:rFonts w:cs="ArialMT"/>
        </w:rPr>
        <w:t xml:space="preserve">These two markers were selected for the present study since </w:t>
      </w:r>
      <w:r>
        <w:rPr>
          <w:rFonts w:cs="AdvTimes"/>
        </w:rPr>
        <w:t xml:space="preserve">Kohn et al. (2008) found them to be stable </w:t>
      </w:r>
      <w:r w:rsidRPr="006D1640">
        <w:rPr>
          <w:rFonts w:cs="AdvTimes"/>
        </w:rPr>
        <w:t>over time through serial transfer and growth of laboratory strains</w:t>
      </w:r>
      <w:r>
        <w:rPr>
          <w:rFonts w:cs="AdvTimes"/>
        </w:rPr>
        <w:t xml:space="preserve"> of </w:t>
      </w:r>
      <w:r w:rsidRPr="00713318">
        <w:rPr>
          <w:rFonts w:cs="AdvTimes"/>
          <w:i/>
        </w:rPr>
        <w:t>S</w:t>
      </w:r>
      <w:r>
        <w:rPr>
          <w:rFonts w:cs="AdvTimes"/>
          <w:i/>
        </w:rPr>
        <w:t>.</w:t>
      </w:r>
      <w:r w:rsidRPr="00713318">
        <w:rPr>
          <w:rFonts w:cs="AdvTimes"/>
          <w:i/>
        </w:rPr>
        <w:t xml:space="preserve"> sclerotiorum</w:t>
      </w:r>
      <w:r>
        <w:rPr>
          <w:rFonts w:cs="AdvTimes"/>
        </w:rPr>
        <w:t xml:space="preserve">. Conversely, a study on </w:t>
      </w:r>
      <w:r w:rsidRPr="0045573F">
        <w:rPr>
          <w:rFonts w:cs="AdvTimes"/>
          <w:i/>
        </w:rPr>
        <w:t>Saccharomyces cerevisiae</w:t>
      </w:r>
      <w:r>
        <w:rPr>
          <w:rFonts w:cs="AdvTimes"/>
        </w:rPr>
        <w:t xml:space="preserve"> revealed increased rate of microsatellite instability with the increasing length of the repetitive tract (</w:t>
      </w:r>
      <w:proofErr w:type="spellStart"/>
      <w:r w:rsidRPr="00713318">
        <w:rPr>
          <w:rFonts w:cs="AdvCaeciliaRm"/>
        </w:rPr>
        <w:t>Wierdl</w:t>
      </w:r>
      <w:proofErr w:type="spellEnd"/>
      <w:r w:rsidRPr="00713318">
        <w:rPr>
          <w:rFonts w:cs="AdvCaeciliaRm"/>
        </w:rPr>
        <w:t xml:space="preserve"> M, </w:t>
      </w:r>
      <w:proofErr w:type="spellStart"/>
      <w:r w:rsidRPr="00713318">
        <w:rPr>
          <w:rFonts w:cs="AdvCaeciliaRm"/>
        </w:rPr>
        <w:t>Dominska</w:t>
      </w:r>
      <w:proofErr w:type="spellEnd"/>
      <w:r w:rsidRPr="00713318">
        <w:rPr>
          <w:rFonts w:cs="AdvCaeciliaRm"/>
        </w:rPr>
        <w:t xml:space="preserve"> M, </w:t>
      </w:r>
      <w:proofErr w:type="spellStart"/>
      <w:r w:rsidRPr="00713318">
        <w:rPr>
          <w:rFonts w:cs="AdvCaeciliaRm"/>
        </w:rPr>
        <w:t>Petes</w:t>
      </w:r>
      <w:proofErr w:type="spellEnd"/>
      <w:r w:rsidRPr="00713318">
        <w:rPr>
          <w:rFonts w:cs="AdvCaeciliaRm"/>
        </w:rPr>
        <w:t xml:space="preserve"> TD, 1997</w:t>
      </w:r>
      <w:r>
        <w:rPr>
          <w:rFonts w:cs="AdvCaeciliaRm"/>
        </w:rPr>
        <w:t>)</w:t>
      </w:r>
      <w:r>
        <w:rPr>
          <w:rFonts w:cs="AdvTimes"/>
        </w:rPr>
        <w:t>.</w:t>
      </w:r>
    </w:p>
    <w:p w:rsidR="00303EB7" w:rsidRDefault="00303EB7" w:rsidP="00303EB7"/>
    <w:p w:rsidR="00093524" w:rsidRDefault="00093524" w:rsidP="00303EB7"/>
    <w:p w:rsidR="000B6295" w:rsidRDefault="000B6295" w:rsidP="00786B2A">
      <w:pPr>
        <w:autoSpaceDE w:val="0"/>
        <w:autoSpaceDN w:val="0"/>
        <w:adjustRightInd w:val="0"/>
        <w:spacing w:after="0" w:line="240" w:lineRule="auto"/>
        <w:rPr>
          <w:rFonts w:cs="AdvCaeciliaRm"/>
        </w:rPr>
      </w:pPr>
    </w:p>
    <w:p w:rsidR="000B6295" w:rsidRDefault="000B6295" w:rsidP="00786B2A">
      <w:pPr>
        <w:autoSpaceDE w:val="0"/>
        <w:autoSpaceDN w:val="0"/>
        <w:adjustRightInd w:val="0"/>
        <w:spacing w:after="0" w:line="240" w:lineRule="auto"/>
        <w:rPr>
          <w:rFonts w:cs="AdvCaeciliaRm"/>
        </w:rPr>
      </w:pPr>
    </w:p>
    <w:p w:rsidR="007C1E59" w:rsidRDefault="007C1E59" w:rsidP="00786B2A">
      <w:pPr>
        <w:autoSpaceDE w:val="0"/>
        <w:autoSpaceDN w:val="0"/>
        <w:adjustRightInd w:val="0"/>
        <w:spacing w:after="0" w:line="240" w:lineRule="auto"/>
        <w:rPr>
          <w:rFonts w:cs="AdvCaeciliaRm"/>
        </w:rPr>
      </w:pPr>
    </w:p>
    <w:p w:rsidR="00FA5FA9" w:rsidRDefault="00FA5FA9" w:rsidP="00F87F7C">
      <w:pPr>
        <w:autoSpaceDE w:val="0"/>
        <w:autoSpaceDN w:val="0"/>
        <w:adjustRightInd w:val="0"/>
        <w:spacing w:after="0" w:line="240" w:lineRule="auto"/>
        <w:rPr>
          <w:rFonts w:cs="AdvCaeciliaRm"/>
        </w:rPr>
      </w:pPr>
    </w:p>
    <w:p w:rsidR="00FA5FA9" w:rsidRDefault="00FA5FA9" w:rsidP="00F87F7C">
      <w:pPr>
        <w:autoSpaceDE w:val="0"/>
        <w:autoSpaceDN w:val="0"/>
        <w:adjustRightInd w:val="0"/>
        <w:spacing w:after="0" w:line="240" w:lineRule="auto"/>
        <w:rPr>
          <w:rFonts w:cs="AdvCaeciliaRm"/>
        </w:rPr>
      </w:pPr>
    </w:p>
    <w:p w:rsidR="00FA5FA9" w:rsidRDefault="00FA5FA9" w:rsidP="00F87F7C">
      <w:pPr>
        <w:autoSpaceDE w:val="0"/>
        <w:autoSpaceDN w:val="0"/>
        <w:adjustRightInd w:val="0"/>
        <w:spacing w:after="0" w:line="240" w:lineRule="auto"/>
        <w:rPr>
          <w:rFonts w:cs="AdvCaeciliaRm"/>
        </w:rPr>
      </w:pPr>
    </w:p>
    <w:p w:rsidR="00FA5FA9" w:rsidRDefault="00FA5FA9" w:rsidP="00F87F7C">
      <w:pPr>
        <w:autoSpaceDE w:val="0"/>
        <w:autoSpaceDN w:val="0"/>
        <w:adjustRightInd w:val="0"/>
        <w:spacing w:after="0" w:line="240" w:lineRule="auto"/>
        <w:rPr>
          <w:rFonts w:cs="AdvCaeciliaRm"/>
        </w:rPr>
      </w:pPr>
    </w:p>
    <w:p w:rsidR="007C1E59" w:rsidRDefault="007C1E59" w:rsidP="00786B2A">
      <w:pPr>
        <w:autoSpaceDE w:val="0"/>
        <w:autoSpaceDN w:val="0"/>
        <w:adjustRightInd w:val="0"/>
        <w:spacing w:after="0" w:line="240" w:lineRule="auto"/>
        <w:rPr>
          <w:rFonts w:cs="AdvCaeciliaRm"/>
        </w:rPr>
      </w:pPr>
    </w:p>
    <w:p w:rsidR="001D3D08" w:rsidRDefault="001D3D08" w:rsidP="00EE3BBE">
      <w:pPr>
        <w:autoSpaceDE w:val="0"/>
        <w:autoSpaceDN w:val="0"/>
        <w:adjustRightInd w:val="0"/>
        <w:spacing w:after="0" w:line="240" w:lineRule="auto"/>
        <w:rPr>
          <w:rFonts w:cs="AdvCaeciliaRm"/>
          <w:b/>
        </w:rPr>
      </w:pPr>
      <w:r>
        <w:rPr>
          <w:rFonts w:cs="AdvCaeciliaRm"/>
          <w:b/>
        </w:rPr>
        <w:t xml:space="preserve">Figure </w:t>
      </w:r>
      <w:r w:rsidR="00D9654B">
        <w:rPr>
          <w:rFonts w:cs="AdvCaeciliaRm"/>
          <w:b/>
        </w:rPr>
        <w:t xml:space="preserve">5 </w:t>
      </w:r>
      <w:r w:rsidR="00AA1B37">
        <w:rPr>
          <w:rFonts w:cs="AdvCaeciliaRm"/>
        </w:rPr>
        <w:t xml:space="preserve">Histogram of number of AFLP alleles detected in </w:t>
      </w:r>
      <w:r w:rsidR="00AA1B37" w:rsidRPr="00AA1B37">
        <w:rPr>
          <w:rFonts w:cs="AdvCaeciliaRm"/>
          <w:i/>
        </w:rPr>
        <w:t>Sclerotinia sclerotiorum</w:t>
      </w:r>
      <w:r w:rsidR="00AA1B37">
        <w:rPr>
          <w:rFonts w:cs="AdvCaeciliaRm"/>
        </w:rPr>
        <w:t xml:space="preserve"> isolates exposed to </w:t>
      </w:r>
      <w:proofErr w:type="spellStart"/>
      <w:r w:rsidR="00AA1B37">
        <w:rPr>
          <w:rFonts w:cs="AdvCaeciliaRm"/>
        </w:rPr>
        <w:t>sublethal</w:t>
      </w:r>
      <w:proofErr w:type="spellEnd"/>
      <w:r w:rsidR="00AA1B37">
        <w:rPr>
          <w:rFonts w:cs="AdvCaeciliaRm"/>
        </w:rPr>
        <w:t xml:space="preserve"> doses of fungicide</w:t>
      </w:r>
      <w:r w:rsidR="00520D17">
        <w:rPr>
          <w:rFonts w:cs="AdvCaeciliaRm"/>
        </w:rPr>
        <w:t>s</w:t>
      </w:r>
      <w:r w:rsidR="00AA1B37">
        <w:rPr>
          <w:rFonts w:cs="AdvCaeciliaRm"/>
        </w:rPr>
        <w:t xml:space="preserve"> as well as </w:t>
      </w:r>
      <w:r w:rsidR="00136D51">
        <w:rPr>
          <w:rFonts w:cs="AdvCaeciliaRm"/>
        </w:rPr>
        <w:t>non-exposed controls. The isolates were exposed to fungicides for 12 generations before molecular characterization. Control isolates were characterized at the beginning (G0) of the experiment as well as after transferring for 12 generations (G12). Fungicides included boscalid (</w:t>
      </w:r>
      <w:proofErr w:type="spellStart"/>
      <w:r w:rsidR="00136D51">
        <w:rPr>
          <w:rFonts w:cs="AdvCaeciliaRm"/>
        </w:rPr>
        <w:t>Bos</w:t>
      </w:r>
      <w:proofErr w:type="spellEnd"/>
      <w:r w:rsidR="00136D51">
        <w:rPr>
          <w:rFonts w:cs="AdvCaeciliaRm"/>
        </w:rPr>
        <w:t>), iprodione (</w:t>
      </w:r>
      <w:proofErr w:type="spellStart"/>
      <w:r w:rsidR="00136D51">
        <w:rPr>
          <w:rFonts w:cs="AdvCaeciliaRm"/>
        </w:rPr>
        <w:t>Ip</w:t>
      </w:r>
      <w:proofErr w:type="spellEnd"/>
      <w:r w:rsidR="00136D51">
        <w:rPr>
          <w:rFonts w:cs="AdvCaeciliaRm"/>
        </w:rPr>
        <w:t>), thiophanate methyl (TM), azoxystrobin (</w:t>
      </w:r>
      <w:proofErr w:type="spellStart"/>
      <w:proofErr w:type="gramStart"/>
      <w:r w:rsidR="00136D51">
        <w:rPr>
          <w:rFonts w:cs="AdvCaeciliaRm"/>
        </w:rPr>
        <w:t>Az</w:t>
      </w:r>
      <w:proofErr w:type="spellEnd"/>
      <w:proofErr w:type="gramEnd"/>
      <w:r w:rsidR="00136D51">
        <w:rPr>
          <w:rFonts w:cs="AdvCaeciliaRm"/>
        </w:rPr>
        <w:t>), and pyraclostrobin (</w:t>
      </w:r>
      <w:proofErr w:type="spellStart"/>
      <w:r w:rsidR="00136D51">
        <w:rPr>
          <w:rFonts w:cs="AdvCaeciliaRm"/>
        </w:rPr>
        <w:t>Py</w:t>
      </w:r>
      <w:proofErr w:type="spellEnd"/>
      <w:r w:rsidR="00136D51">
        <w:rPr>
          <w:rFonts w:cs="AdvCaeciliaRm"/>
        </w:rPr>
        <w:t xml:space="preserve">). </w:t>
      </w:r>
      <w:r w:rsidR="00520D17">
        <w:rPr>
          <w:rFonts w:cs="AdvCaeciliaRm"/>
        </w:rPr>
        <w:t>Each fungicide exposed isolate is described by t</w:t>
      </w:r>
      <w:r w:rsidR="00136D51">
        <w:rPr>
          <w:rFonts w:cs="AdvCaeciliaRm"/>
        </w:rPr>
        <w:t>he fungicide used, isolate name, and experiment number</w:t>
      </w:r>
      <w:r w:rsidR="00520D17">
        <w:rPr>
          <w:rFonts w:cs="AdvCaeciliaRm"/>
        </w:rPr>
        <w:t xml:space="preserve">. The experiment was repeated once. All control isolates were from </w:t>
      </w:r>
      <w:r w:rsidR="00C62B75">
        <w:rPr>
          <w:rFonts w:cs="AdvCaeciliaRm"/>
        </w:rPr>
        <w:t xml:space="preserve">the </w:t>
      </w:r>
      <w:r w:rsidR="00520D17">
        <w:rPr>
          <w:rFonts w:cs="AdvCaeciliaRm"/>
        </w:rPr>
        <w:t xml:space="preserve">first experiment and depicted as Con </w:t>
      </w:r>
      <w:r w:rsidR="00C62B75">
        <w:rPr>
          <w:rFonts w:cs="AdvCaeciliaRm"/>
        </w:rPr>
        <w:t xml:space="preserve">followed by isolate name and </w:t>
      </w:r>
      <w:r w:rsidR="00520D17">
        <w:rPr>
          <w:rFonts w:cs="AdvCaeciliaRm"/>
        </w:rPr>
        <w:t>generation</w:t>
      </w:r>
      <w:r w:rsidR="00C62B75">
        <w:rPr>
          <w:rFonts w:cs="AdvCaeciliaRm"/>
        </w:rPr>
        <w:t xml:space="preserve"> (G0 or G12)</w:t>
      </w:r>
      <w:r w:rsidR="00520D17">
        <w:rPr>
          <w:rFonts w:cs="AdvCaeciliaRm"/>
        </w:rPr>
        <w:t xml:space="preserve"> </w:t>
      </w:r>
      <w:r w:rsidR="00520D17" w:rsidRPr="00520D17">
        <w:rPr>
          <w:rFonts w:cs="AdvCaeciliaRm"/>
          <w:b/>
        </w:rPr>
        <w:t>4A</w:t>
      </w:r>
      <w:r w:rsidR="00520D17">
        <w:rPr>
          <w:rFonts w:cs="AdvCaeciliaRm"/>
        </w:rPr>
        <w:t xml:space="preserve">) </w:t>
      </w:r>
      <w:r w:rsidR="00C62B75">
        <w:rPr>
          <w:rFonts w:cs="AdvCaeciliaRm"/>
        </w:rPr>
        <w:t xml:space="preserve">Original number of alleles detected for each isolate. </w:t>
      </w:r>
      <w:r w:rsidR="00C62B75" w:rsidRPr="00C62B75">
        <w:rPr>
          <w:rFonts w:cs="AdvCaeciliaRm"/>
          <w:b/>
        </w:rPr>
        <w:t>4B</w:t>
      </w:r>
      <w:r w:rsidR="00C62B75">
        <w:rPr>
          <w:rFonts w:cs="AdvCaeciliaRm"/>
        </w:rPr>
        <w:t xml:space="preserve">) Number of </w:t>
      </w:r>
      <w:r w:rsidR="00D76FFC">
        <w:rPr>
          <w:rFonts w:cs="AdvCaeciliaRm"/>
        </w:rPr>
        <w:t xml:space="preserve">alleles </w:t>
      </w:r>
      <w:r w:rsidR="00C62B75">
        <w:rPr>
          <w:rFonts w:cs="AdvCaeciliaRm"/>
        </w:rPr>
        <w:t xml:space="preserve"> present after censoring AFLP data by removing </w:t>
      </w:r>
      <w:r w:rsidR="00C62B75">
        <w:t xml:space="preserve">polymorphic loci from G0 and G12 control isolates to arrive with same </w:t>
      </w:r>
      <w:proofErr w:type="spellStart"/>
      <w:r w:rsidR="00C62B75">
        <w:t>multilocus</w:t>
      </w:r>
      <w:proofErr w:type="spellEnd"/>
      <w:r w:rsidR="00C62B75">
        <w:t xml:space="preserve"> genotypes for controls.</w:t>
      </w:r>
    </w:p>
    <w:p w:rsidR="00EE3BBE" w:rsidRDefault="00EE3BBE" w:rsidP="00EE3BBE">
      <w:pPr>
        <w:autoSpaceDE w:val="0"/>
        <w:autoSpaceDN w:val="0"/>
        <w:adjustRightInd w:val="0"/>
        <w:spacing w:after="0" w:line="240" w:lineRule="auto"/>
        <w:rPr>
          <w:rFonts w:cs="AdvCaeciliaRm"/>
        </w:rPr>
      </w:pPr>
    </w:p>
    <w:p w:rsidR="0058734D" w:rsidRDefault="00386C6F" w:rsidP="00AE2823">
      <w:pPr>
        <w:autoSpaceDE w:val="0"/>
        <w:autoSpaceDN w:val="0"/>
        <w:adjustRightInd w:val="0"/>
        <w:spacing w:after="0" w:line="240" w:lineRule="auto"/>
        <w:rPr>
          <w:rFonts w:cs="AdvCaeciliaRm"/>
        </w:rPr>
      </w:pPr>
      <w:r w:rsidRPr="000D09B2">
        <w:rPr>
          <w:rFonts w:cs="AdvCaeciliaRm"/>
          <w:b/>
          <w:bCs/>
        </w:rPr>
        <w:t>Figure 4</w:t>
      </w:r>
      <w:r>
        <w:rPr>
          <w:rFonts w:cs="AdvCaeciliaRm"/>
        </w:rPr>
        <w:t xml:space="preserve"> </w:t>
      </w:r>
      <w:r w:rsidR="000D09B2">
        <w:rPr>
          <w:rFonts w:cs="AdvCaeciliaRm"/>
        </w:rPr>
        <w:t xml:space="preserve">Heat map of membership probabilities of </w:t>
      </w:r>
      <w:r w:rsidR="000D09B2" w:rsidRPr="000D09B2">
        <w:rPr>
          <w:rFonts w:cs="AdvCaeciliaRm"/>
          <w:i/>
          <w:iCs/>
        </w:rPr>
        <w:t>Sclerotinia sclerotiorum</w:t>
      </w:r>
      <w:r w:rsidR="000D09B2">
        <w:rPr>
          <w:rFonts w:cs="AdvCaeciliaRm"/>
        </w:rPr>
        <w:t xml:space="preserve"> isol</w:t>
      </w:r>
      <w:r w:rsidR="0058734D">
        <w:rPr>
          <w:rFonts w:cs="AdvCaeciliaRm"/>
        </w:rPr>
        <w:t xml:space="preserve">ates belonging to fungicide challenged and unchallenged clusters as depicted in Figure 3. The 100% probability is denoted by red while white is </w:t>
      </w:r>
      <w:r w:rsidR="00AE2823">
        <w:rPr>
          <w:rFonts w:cs="AdvCaeciliaRm"/>
        </w:rPr>
        <w:t xml:space="preserve">for </w:t>
      </w:r>
      <w:r w:rsidR="0058734D">
        <w:rPr>
          <w:rFonts w:cs="AdvCaeciliaRm"/>
        </w:rPr>
        <w:t>0% probability. The blue cross</w:t>
      </w:r>
      <w:r w:rsidR="00EE3BBE">
        <w:rPr>
          <w:rFonts w:cs="AdvCaeciliaRm"/>
        </w:rPr>
        <w:t xml:space="preserve">es </w:t>
      </w:r>
      <w:r w:rsidR="0058734D">
        <w:rPr>
          <w:rFonts w:cs="AdvCaeciliaRm"/>
        </w:rPr>
        <w:t xml:space="preserve">represent the prior cluster </w:t>
      </w:r>
      <w:r w:rsidR="00AE2823">
        <w:rPr>
          <w:rFonts w:cs="AdvCaeciliaRm"/>
        </w:rPr>
        <w:t xml:space="preserve">of </w:t>
      </w:r>
      <w:r w:rsidR="00AA46E5">
        <w:rPr>
          <w:rFonts w:cs="AdvCaeciliaRm"/>
        </w:rPr>
        <w:t>isolate</w:t>
      </w:r>
      <w:r w:rsidR="00EE3BBE">
        <w:rPr>
          <w:rFonts w:cs="AdvCaeciliaRm"/>
        </w:rPr>
        <w:t>s</w:t>
      </w:r>
      <w:r w:rsidR="00AA46E5">
        <w:rPr>
          <w:rFonts w:cs="AdvCaeciliaRm"/>
        </w:rPr>
        <w:t xml:space="preserve"> </w:t>
      </w:r>
      <w:r w:rsidR="0058734D">
        <w:rPr>
          <w:rFonts w:cs="AdvCaeciliaRm"/>
        </w:rPr>
        <w:t>provided to DAPC</w:t>
      </w:r>
      <w:r w:rsidR="007D6044">
        <w:rPr>
          <w:rFonts w:cs="AdvCaeciliaRm"/>
        </w:rPr>
        <w:t xml:space="preserve">. </w:t>
      </w:r>
      <w:r w:rsidR="007B3C3E" w:rsidRPr="00AA46E5">
        <w:rPr>
          <w:rFonts w:cs="AdvCaeciliaRm"/>
          <w:b/>
          <w:bCs/>
        </w:rPr>
        <w:t>4A</w:t>
      </w:r>
      <w:r w:rsidR="007B3C3E" w:rsidRPr="007B3C3E">
        <w:rPr>
          <w:rFonts w:cs="AdvCaeciliaRm"/>
          <w:bCs/>
        </w:rPr>
        <w:t>)</w:t>
      </w:r>
      <w:r w:rsidR="007B3C3E">
        <w:rPr>
          <w:rFonts w:cs="AdvCaeciliaRm"/>
        </w:rPr>
        <w:t xml:space="preserve"> </w:t>
      </w:r>
      <w:proofErr w:type="gramStart"/>
      <w:r w:rsidR="007B3C3E">
        <w:rPr>
          <w:rFonts w:cs="AdvCaeciliaRm"/>
        </w:rPr>
        <w:t>The</w:t>
      </w:r>
      <w:proofErr w:type="gramEnd"/>
      <w:r w:rsidR="007B3C3E">
        <w:rPr>
          <w:rFonts w:cs="AdvCaeciliaRm"/>
        </w:rPr>
        <w:t xml:space="preserve"> membership probabilities of isolates preassigned to fungicide challenged isolates and unchallenged controls. </w:t>
      </w:r>
      <w:r w:rsidR="007D6044">
        <w:rPr>
          <w:rFonts w:cs="AdvCaeciliaRm"/>
        </w:rPr>
        <w:t>For example,</w:t>
      </w:r>
      <w:r w:rsidR="00AA46E5">
        <w:rPr>
          <w:rFonts w:cs="AdvCaeciliaRm"/>
        </w:rPr>
        <w:t xml:space="preserve"> </w:t>
      </w:r>
      <w:r w:rsidR="007B3C3E">
        <w:rPr>
          <w:rFonts w:cs="AdvCaeciliaRm"/>
        </w:rPr>
        <w:t>isolates</w:t>
      </w:r>
      <w:r w:rsidR="00AA46E5">
        <w:rPr>
          <w:rFonts w:cs="AdvCaeciliaRm"/>
        </w:rPr>
        <w:t xml:space="preserve"> Az_</w:t>
      </w:r>
      <w:r w:rsidR="007B3C3E">
        <w:rPr>
          <w:rFonts w:cs="AdvCaeciliaRm"/>
        </w:rPr>
        <w:t>646</w:t>
      </w:r>
      <w:r w:rsidR="00AA46E5">
        <w:rPr>
          <w:rFonts w:cs="AdvCaeciliaRm"/>
        </w:rPr>
        <w:t>_Exp1</w:t>
      </w:r>
      <w:r w:rsidR="007B3C3E">
        <w:rPr>
          <w:rFonts w:cs="AdvCaeciliaRm"/>
        </w:rPr>
        <w:t xml:space="preserve">, Con_467_G0, and Ip_467 had </w:t>
      </w:r>
      <w:r w:rsidR="00AA46E5">
        <w:rPr>
          <w:rFonts w:cs="AdvCaeciliaRm"/>
        </w:rPr>
        <w:t>membership probability &gt;90% to a single cluster.</w:t>
      </w:r>
      <w:r w:rsidR="007B3C3E">
        <w:rPr>
          <w:rFonts w:cs="AdvCaeciliaRm"/>
        </w:rPr>
        <w:t xml:space="preserve"> </w:t>
      </w:r>
      <w:r w:rsidR="007B3C3E" w:rsidRPr="007B3C3E">
        <w:rPr>
          <w:rFonts w:cs="AdvCaeciliaRm"/>
          <w:b/>
        </w:rPr>
        <w:t>4B</w:t>
      </w:r>
      <w:r w:rsidR="007B3C3E">
        <w:rPr>
          <w:rFonts w:cs="AdvCaeciliaRm"/>
        </w:rPr>
        <w:t xml:space="preserve">) </w:t>
      </w:r>
      <w:proofErr w:type="gramStart"/>
      <w:r w:rsidR="007B3C3E">
        <w:rPr>
          <w:rFonts w:cs="AdvCaeciliaRm"/>
        </w:rPr>
        <w:t>The</w:t>
      </w:r>
      <w:proofErr w:type="gramEnd"/>
      <w:r w:rsidR="007B3C3E">
        <w:rPr>
          <w:rFonts w:cs="AdvCaeciliaRm"/>
        </w:rPr>
        <w:t xml:space="preserve"> membership probabilities of isolates after censoring AFLP data by</w:t>
      </w:r>
      <w:r w:rsidR="00D9654B">
        <w:rPr>
          <w:rFonts w:cs="AdvCaeciliaRm"/>
        </w:rPr>
        <w:t xml:space="preserve"> removing </w:t>
      </w:r>
      <w:r w:rsidR="00D9654B">
        <w:t xml:space="preserve">polymorphic loci from G0 and G12 control isolates to arrive with same </w:t>
      </w:r>
      <w:proofErr w:type="spellStart"/>
      <w:r w:rsidR="00D9654B">
        <w:t>multilocus</w:t>
      </w:r>
      <w:proofErr w:type="spellEnd"/>
      <w:r w:rsidR="00D9654B">
        <w:t xml:space="preserve"> genotypes for controls. </w:t>
      </w:r>
      <w:r w:rsidR="007B3C3E">
        <w:rPr>
          <w:rFonts w:cs="AdvCaeciliaRm"/>
        </w:rPr>
        <w:t xml:space="preserve"> </w:t>
      </w:r>
      <w:r w:rsidR="00AA46E5">
        <w:rPr>
          <w:rFonts w:cs="AdvCaeciliaRm"/>
        </w:rPr>
        <w:t xml:space="preserve">   </w:t>
      </w:r>
      <w:r w:rsidR="007D6044">
        <w:rPr>
          <w:rFonts w:cs="AdvCaeciliaRm"/>
        </w:rPr>
        <w:t xml:space="preserve"> </w:t>
      </w:r>
      <w:r w:rsidR="0058734D">
        <w:rPr>
          <w:rFonts w:cs="AdvCaeciliaRm"/>
        </w:rPr>
        <w:t xml:space="preserve"> </w:t>
      </w:r>
    </w:p>
    <w:p w:rsidR="00EE37C4" w:rsidRDefault="00EE37C4" w:rsidP="00786B2A">
      <w:pPr>
        <w:autoSpaceDE w:val="0"/>
        <w:autoSpaceDN w:val="0"/>
        <w:adjustRightInd w:val="0"/>
        <w:spacing w:after="0" w:line="240" w:lineRule="auto"/>
        <w:rPr>
          <w:rFonts w:cs="AdvCaeciliaRm"/>
          <w:b/>
        </w:rPr>
      </w:pPr>
    </w:p>
    <w:p w:rsidR="002D5B95" w:rsidRDefault="002D5B95" w:rsidP="00786B2A">
      <w:pPr>
        <w:autoSpaceDE w:val="0"/>
        <w:autoSpaceDN w:val="0"/>
        <w:adjustRightInd w:val="0"/>
        <w:spacing w:after="0" w:line="240" w:lineRule="auto"/>
        <w:rPr>
          <w:rFonts w:cs="AdvCaeciliaRm"/>
        </w:rPr>
      </w:pPr>
      <w:r w:rsidRPr="003D5717">
        <w:rPr>
          <w:rFonts w:cs="AdvCaeciliaRm"/>
          <w:b/>
        </w:rPr>
        <w:t>Figure 3</w:t>
      </w:r>
      <w:r>
        <w:rPr>
          <w:rFonts w:cs="AdvCaeciliaRm"/>
        </w:rPr>
        <w:t xml:space="preserve"> </w:t>
      </w:r>
      <w:r w:rsidR="00731D55">
        <w:rPr>
          <w:rFonts w:cs="AdvCaeciliaRm"/>
        </w:rPr>
        <w:t>Principal coordinate analysis (</w:t>
      </w:r>
      <w:proofErr w:type="spellStart"/>
      <w:r w:rsidR="00731D55">
        <w:rPr>
          <w:rFonts w:cs="AdvCaeciliaRm"/>
        </w:rPr>
        <w:t>PCoA</w:t>
      </w:r>
      <w:proofErr w:type="spellEnd"/>
      <w:r w:rsidR="00731D55">
        <w:rPr>
          <w:rFonts w:cs="AdvCaeciliaRm"/>
        </w:rPr>
        <w:t xml:space="preserve">) </w:t>
      </w:r>
      <w:r w:rsidR="00867102">
        <w:rPr>
          <w:rFonts w:cs="AdvCaeciliaRm"/>
        </w:rPr>
        <w:t xml:space="preserve">AFLP fragments </w:t>
      </w:r>
      <w:r w:rsidR="00731D55">
        <w:rPr>
          <w:rFonts w:cs="AdvCaeciliaRm"/>
        </w:rPr>
        <w:t xml:space="preserve">of </w:t>
      </w:r>
      <w:r w:rsidR="00731D55" w:rsidRPr="00731D55">
        <w:rPr>
          <w:rFonts w:cs="AdvCaeciliaRm"/>
          <w:i/>
        </w:rPr>
        <w:t>Sclerotinia sclerotiorum</w:t>
      </w:r>
      <w:r w:rsidR="00731D55">
        <w:rPr>
          <w:rFonts w:cs="AdvCaeciliaRm"/>
        </w:rPr>
        <w:t xml:space="preserve"> isolates before and after exposed to </w:t>
      </w:r>
      <w:proofErr w:type="spellStart"/>
      <w:r w:rsidR="00731D55">
        <w:rPr>
          <w:rFonts w:cs="AdvCaeciliaRm"/>
        </w:rPr>
        <w:t>sublethal</w:t>
      </w:r>
      <w:proofErr w:type="spellEnd"/>
      <w:r w:rsidR="00731D55">
        <w:rPr>
          <w:rFonts w:cs="AdvCaeciliaRm"/>
        </w:rPr>
        <w:t xml:space="preserve"> doses of fungicides. The isolates </w:t>
      </w:r>
      <w:r w:rsidR="00867102">
        <w:rPr>
          <w:rFonts w:cs="AdvCaeciliaRm"/>
        </w:rPr>
        <w:t xml:space="preserve">were exposed to fungicides for 12 generations before molecular characterization. Control isolates were characterized at the beginning (G0) of the experiment as well as after transferring for 12 generations (G12). The </w:t>
      </w:r>
      <w:r w:rsidR="0015496F">
        <w:rPr>
          <w:rFonts w:cs="AdvCaeciliaRm"/>
        </w:rPr>
        <w:t xml:space="preserve">group of </w:t>
      </w:r>
      <w:r w:rsidR="00867102">
        <w:rPr>
          <w:rFonts w:cs="AdvCaeciliaRm"/>
        </w:rPr>
        <w:t xml:space="preserve">control </w:t>
      </w:r>
      <w:r w:rsidR="003D5717">
        <w:rPr>
          <w:rFonts w:cs="AdvCaeciliaRm"/>
        </w:rPr>
        <w:t>isolates</w:t>
      </w:r>
      <w:r w:rsidR="00867102">
        <w:rPr>
          <w:rFonts w:cs="AdvCaeciliaRm"/>
        </w:rPr>
        <w:t xml:space="preserve"> (both G0 and G12) </w:t>
      </w:r>
      <w:r w:rsidR="00B81447">
        <w:rPr>
          <w:rFonts w:cs="AdvCaeciliaRm"/>
        </w:rPr>
        <w:t>are</w:t>
      </w:r>
      <w:r w:rsidR="00867102">
        <w:rPr>
          <w:rFonts w:cs="AdvCaeciliaRm"/>
        </w:rPr>
        <w:t xml:space="preserve"> </w:t>
      </w:r>
      <w:r w:rsidR="003D5717">
        <w:rPr>
          <w:rFonts w:cs="AdvCaeciliaRm"/>
        </w:rPr>
        <w:t xml:space="preserve">shown </w:t>
      </w:r>
      <w:r w:rsidR="00867102">
        <w:rPr>
          <w:rFonts w:cs="AdvCaeciliaRm"/>
        </w:rPr>
        <w:t xml:space="preserve">with a C and fungicide exposed </w:t>
      </w:r>
      <w:r w:rsidR="00B81447">
        <w:rPr>
          <w:rFonts w:cs="AdvCaeciliaRm"/>
        </w:rPr>
        <w:t xml:space="preserve">group of </w:t>
      </w:r>
      <w:r w:rsidR="00867102">
        <w:rPr>
          <w:rFonts w:cs="AdvCaeciliaRm"/>
        </w:rPr>
        <w:t xml:space="preserve">isolates </w:t>
      </w:r>
      <w:r w:rsidR="00B81447">
        <w:rPr>
          <w:rFonts w:cs="AdvCaeciliaRm"/>
        </w:rPr>
        <w:t>are</w:t>
      </w:r>
      <w:r w:rsidR="00867102">
        <w:rPr>
          <w:rFonts w:cs="AdvCaeciliaRm"/>
        </w:rPr>
        <w:t xml:space="preserve"> depicted as T </w:t>
      </w:r>
      <w:r w:rsidR="003D5717">
        <w:rPr>
          <w:rFonts w:cs="AdvCaeciliaRm"/>
        </w:rPr>
        <w:t>at the center of the respective populations in</w:t>
      </w:r>
      <w:r w:rsidR="00867102">
        <w:rPr>
          <w:rFonts w:cs="AdvCaeciliaRm"/>
        </w:rPr>
        <w:t xml:space="preserve"> the diagram. </w:t>
      </w:r>
      <w:r w:rsidR="003D5717">
        <w:rPr>
          <w:rFonts w:cs="AdvCaeciliaRm"/>
        </w:rPr>
        <w:t xml:space="preserve">The </w:t>
      </w:r>
      <w:r w:rsidR="00B81447">
        <w:rPr>
          <w:rFonts w:cs="AdvCaeciliaRm"/>
        </w:rPr>
        <w:t xml:space="preserve">group of </w:t>
      </w:r>
      <w:r w:rsidR="003D5717">
        <w:rPr>
          <w:rFonts w:cs="AdvCaeciliaRm"/>
        </w:rPr>
        <w:t>isolates</w:t>
      </w:r>
      <w:r w:rsidR="00B81447">
        <w:rPr>
          <w:rFonts w:cs="AdvCaeciliaRm"/>
        </w:rPr>
        <w:t xml:space="preserve"> of </w:t>
      </w:r>
      <w:r w:rsidR="003D5717">
        <w:rPr>
          <w:rFonts w:cs="AdvCaeciliaRm"/>
        </w:rPr>
        <w:t xml:space="preserve">Ip_467_Exp1, Az_646_Exp1, </w:t>
      </w:r>
      <w:r w:rsidR="003D5717">
        <w:rPr>
          <w:rFonts w:cs="AdvCaeciliaRm"/>
        </w:rPr>
        <w:lastRenderedPageBreak/>
        <w:t xml:space="preserve">and Con_467_G0 </w:t>
      </w:r>
      <w:r w:rsidR="00B81447">
        <w:rPr>
          <w:rFonts w:cs="AdvCaeciliaRm"/>
        </w:rPr>
        <w:t xml:space="preserve">were not clear cut </w:t>
      </w:r>
      <w:r w:rsidR="003D5717">
        <w:rPr>
          <w:rFonts w:cs="AdvCaeciliaRm"/>
        </w:rPr>
        <w:t>represent</w:t>
      </w:r>
      <w:r w:rsidR="00386C6F">
        <w:rPr>
          <w:rFonts w:cs="AdvCaeciliaRm"/>
        </w:rPr>
        <w:t>ing</w:t>
      </w:r>
      <w:r w:rsidR="003D5717">
        <w:rPr>
          <w:rFonts w:cs="AdvCaeciliaRm"/>
        </w:rPr>
        <w:t xml:space="preserve"> </w:t>
      </w:r>
      <w:r w:rsidR="00B81447">
        <w:rPr>
          <w:rFonts w:cs="AdvCaeciliaRm"/>
        </w:rPr>
        <w:t>less than 90</w:t>
      </w:r>
      <w:r w:rsidR="003D5717">
        <w:rPr>
          <w:rFonts w:cs="AdvCaeciliaRm"/>
        </w:rPr>
        <w:t xml:space="preserve">% </w:t>
      </w:r>
      <w:r w:rsidR="00386C6F">
        <w:rPr>
          <w:rFonts w:cs="AdvCaeciliaRm"/>
        </w:rPr>
        <w:t xml:space="preserve">probability </w:t>
      </w:r>
      <w:r w:rsidR="00B81447">
        <w:rPr>
          <w:rFonts w:cs="AdvCaeciliaRm"/>
        </w:rPr>
        <w:t>to the preassigned group</w:t>
      </w:r>
      <w:r w:rsidR="00386C6F">
        <w:rPr>
          <w:rFonts w:cs="AdvCaeciliaRm"/>
        </w:rPr>
        <w:t xml:space="preserve"> as shown in Fig</w:t>
      </w:r>
      <w:r w:rsidR="00161457">
        <w:rPr>
          <w:rFonts w:cs="AdvCaeciliaRm"/>
        </w:rPr>
        <w:t xml:space="preserve"> 4</w:t>
      </w:r>
      <w:r w:rsidR="00386C6F">
        <w:rPr>
          <w:rFonts w:cs="AdvCaeciliaRm"/>
        </w:rPr>
        <w:t>.</w:t>
      </w:r>
      <w:r w:rsidR="003D5717">
        <w:rPr>
          <w:rFonts w:cs="AdvCaeciliaRm"/>
        </w:rPr>
        <w:t xml:space="preserve"> </w:t>
      </w:r>
      <w:r w:rsidR="00731D55">
        <w:rPr>
          <w:rFonts w:cs="AdvCaeciliaRm"/>
        </w:rPr>
        <w:t xml:space="preserve">  </w:t>
      </w:r>
    </w:p>
    <w:p w:rsidR="002D5B95" w:rsidRPr="001A7C81" w:rsidRDefault="002D5B95" w:rsidP="00786B2A">
      <w:pPr>
        <w:autoSpaceDE w:val="0"/>
        <w:autoSpaceDN w:val="0"/>
        <w:adjustRightInd w:val="0"/>
        <w:spacing w:after="0" w:line="240" w:lineRule="auto"/>
        <w:rPr>
          <w:rFonts w:cs="AdvCaeciliaRm"/>
        </w:rPr>
      </w:pPr>
    </w:p>
    <w:p w:rsidR="0000167A" w:rsidRDefault="0000167A" w:rsidP="002D5B95">
      <w:pPr>
        <w:autoSpaceDE w:val="0"/>
        <w:autoSpaceDN w:val="0"/>
        <w:adjustRightInd w:val="0"/>
        <w:spacing w:after="0" w:line="240" w:lineRule="auto"/>
        <w:rPr>
          <w:rFonts w:cs="AdvCaeciliaRm"/>
        </w:rPr>
      </w:pPr>
      <w:r w:rsidRPr="002D5B95">
        <w:rPr>
          <w:rFonts w:cs="AdvCaeciliaRm"/>
          <w:b/>
        </w:rPr>
        <w:t>Figure 2</w:t>
      </w:r>
      <w:r>
        <w:rPr>
          <w:rFonts w:cs="AdvCaeciliaRm"/>
        </w:rPr>
        <w:t xml:space="preserve"> Neighbor joining</w:t>
      </w:r>
      <w:r w:rsidR="00041FB6">
        <w:rPr>
          <w:rFonts w:cs="AdvCaeciliaRm"/>
        </w:rPr>
        <w:t xml:space="preserve"> (NJ)</w:t>
      </w:r>
      <w:r>
        <w:rPr>
          <w:rFonts w:cs="AdvCaeciliaRm"/>
        </w:rPr>
        <w:t xml:space="preserve"> tree constructed from AFLP data of </w:t>
      </w:r>
      <w:r w:rsidR="00731D55" w:rsidRPr="00731D55">
        <w:rPr>
          <w:rFonts w:cs="AdvCaeciliaRm"/>
          <w:i/>
        </w:rPr>
        <w:t>Sclerotinia sclerotiorum</w:t>
      </w:r>
      <w:r w:rsidR="00731D55">
        <w:rPr>
          <w:rFonts w:cs="AdvCaeciliaRm"/>
        </w:rPr>
        <w:t xml:space="preserve"> </w:t>
      </w:r>
      <w:r>
        <w:rPr>
          <w:rFonts w:cs="AdvCaeciliaRm"/>
        </w:rPr>
        <w:t xml:space="preserve">isolates exposed to </w:t>
      </w:r>
      <w:proofErr w:type="spellStart"/>
      <w:r>
        <w:rPr>
          <w:rFonts w:cs="AdvCaeciliaRm"/>
        </w:rPr>
        <w:t>sublethal</w:t>
      </w:r>
      <w:proofErr w:type="spellEnd"/>
      <w:r>
        <w:rPr>
          <w:rFonts w:cs="AdvCaeciliaRm"/>
        </w:rPr>
        <w:t xml:space="preserve"> doses of fungicides and non-fungicide exposed controls. </w:t>
      </w:r>
      <w:proofErr w:type="gramStart"/>
      <w:r w:rsidR="00041FB6">
        <w:rPr>
          <w:rFonts w:cs="AdvCaeciliaRm"/>
        </w:rPr>
        <w:t>Rogers</w:t>
      </w:r>
      <w:proofErr w:type="gramEnd"/>
      <w:r w:rsidR="00041FB6">
        <w:rPr>
          <w:rFonts w:cs="AdvCaeciliaRm"/>
        </w:rPr>
        <w:t xml:space="preserve"> similarity coefficient was used for calculating pairwise distances between isolates. </w:t>
      </w:r>
      <w:r w:rsidR="00B13F67">
        <w:rPr>
          <w:rFonts w:cs="AdvCaeciliaRm"/>
        </w:rPr>
        <w:t xml:space="preserve">The isolates at the beginning (G0) of the experiment and after fungicide exposure </w:t>
      </w:r>
      <w:r w:rsidR="005F608A">
        <w:rPr>
          <w:rFonts w:cs="AdvCaeciliaRm"/>
        </w:rPr>
        <w:t>for 12 generations</w:t>
      </w:r>
      <w:r w:rsidR="00B13F67">
        <w:rPr>
          <w:rFonts w:cs="AdvCaeciliaRm"/>
        </w:rPr>
        <w:t xml:space="preserve"> (G12) were</w:t>
      </w:r>
      <w:r w:rsidR="005F608A">
        <w:rPr>
          <w:rFonts w:cs="AdvCaeciliaRm"/>
        </w:rPr>
        <w:t xml:space="preserve"> </w:t>
      </w:r>
      <w:r w:rsidR="00B13F67">
        <w:rPr>
          <w:rFonts w:cs="AdvCaeciliaRm"/>
        </w:rPr>
        <w:t>c</w:t>
      </w:r>
      <w:r w:rsidR="005F608A">
        <w:rPr>
          <w:rFonts w:cs="AdvCaeciliaRm"/>
        </w:rPr>
        <w:t>haracteriz</w:t>
      </w:r>
      <w:r>
        <w:rPr>
          <w:rFonts w:cs="AdvCaeciliaRm"/>
        </w:rPr>
        <w:t>i</w:t>
      </w:r>
      <w:r w:rsidR="005F608A">
        <w:rPr>
          <w:rFonts w:cs="AdvCaeciliaRm"/>
        </w:rPr>
        <w:t xml:space="preserve">ng with AFLP markers. </w:t>
      </w:r>
      <w:r w:rsidR="00B13F67">
        <w:rPr>
          <w:rFonts w:cs="AdvCaeciliaRm"/>
        </w:rPr>
        <w:t xml:space="preserve">The unchallenged control isolates were also taken through 12 generations and included in the analysis. The experiment was repeated once. </w:t>
      </w:r>
      <w:r w:rsidR="005F608A">
        <w:rPr>
          <w:rFonts w:cs="AdvCaeciliaRm"/>
        </w:rPr>
        <w:t>Fungicides included boscalid (</w:t>
      </w:r>
      <w:proofErr w:type="spellStart"/>
      <w:r w:rsidR="005F608A">
        <w:rPr>
          <w:rFonts w:cs="AdvCaeciliaRm"/>
        </w:rPr>
        <w:t>Bos</w:t>
      </w:r>
      <w:proofErr w:type="spellEnd"/>
      <w:r w:rsidR="005F608A">
        <w:rPr>
          <w:rFonts w:cs="AdvCaeciliaRm"/>
        </w:rPr>
        <w:t>), iprodione (</w:t>
      </w:r>
      <w:proofErr w:type="spellStart"/>
      <w:r w:rsidR="005F608A">
        <w:rPr>
          <w:rFonts w:cs="AdvCaeciliaRm"/>
        </w:rPr>
        <w:t>Ip</w:t>
      </w:r>
      <w:proofErr w:type="spellEnd"/>
      <w:r w:rsidR="005F608A">
        <w:rPr>
          <w:rFonts w:cs="AdvCaeciliaRm"/>
        </w:rPr>
        <w:t>), thiophanate methyl (TM), azoxystrobin (</w:t>
      </w:r>
      <w:proofErr w:type="spellStart"/>
      <w:proofErr w:type="gramStart"/>
      <w:r w:rsidR="005F608A">
        <w:rPr>
          <w:rFonts w:cs="AdvCaeciliaRm"/>
        </w:rPr>
        <w:t>Az</w:t>
      </w:r>
      <w:proofErr w:type="spellEnd"/>
      <w:proofErr w:type="gramEnd"/>
      <w:r w:rsidR="005F608A">
        <w:rPr>
          <w:rFonts w:cs="AdvCaeciliaRm"/>
        </w:rPr>
        <w:t>), and pyraclostrobin (</w:t>
      </w:r>
      <w:proofErr w:type="spellStart"/>
      <w:r w:rsidR="005F608A">
        <w:rPr>
          <w:rFonts w:cs="AdvCaeciliaRm"/>
        </w:rPr>
        <w:t>Py</w:t>
      </w:r>
      <w:proofErr w:type="spellEnd"/>
      <w:r w:rsidR="005F608A">
        <w:rPr>
          <w:rFonts w:cs="AdvCaeciliaRm"/>
        </w:rPr>
        <w:t>). The fungicide used, isolate name, and experiment number are mentioned for each taxon of the tree. The control isolates are depicted as Con followed by isolates name and their generation</w:t>
      </w:r>
      <w:r w:rsidR="00B13F67">
        <w:rPr>
          <w:rFonts w:cs="AdvCaeciliaRm"/>
        </w:rPr>
        <w:t xml:space="preserve"> (either G0 or G12)</w:t>
      </w:r>
      <w:r w:rsidR="005F608A">
        <w:rPr>
          <w:rFonts w:cs="AdvCaeciliaRm"/>
        </w:rPr>
        <w:t xml:space="preserve">. </w:t>
      </w:r>
      <w:r w:rsidR="00B13F67">
        <w:rPr>
          <w:rFonts w:cs="AdvCaeciliaRm"/>
        </w:rPr>
        <w:t xml:space="preserve">All control isolates were used from first experiment. The bootstrap values above 50% are shown </w:t>
      </w:r>
      <w:r w:rsidR="002D5B95">
        <w:rPr>
          <w:rFonts w:cs="AdvCaeciliaRm"/>
        </w:rPr>
        <w:t>at the beginning of clusters.</w:t>
      </w:r>
      <w:r w:rsidR="00041FB6">
        <w:rPr>
          <w:rFonts w:cs="AdvCaeciliaRm"/>
        </w:rPr>
        <w:t xml:space="preserve"> </w:t>
      </w:r>
      <w:r w:rsidR="00041FB6" w:rsidRPr="00041FB6">
        <w:rPr>
          <w:rFonts w:cs="AdvCaeciliaRm"/>
          <w:b/>
        </w:rPr>
        <w:t>A</w:t>
      </w:r>
      <w:r w:rsidR="00041FB6">
        <w:rPr>
          <w:rFonts w:cs="AdvCaeciliaRm"/>
        </w:rPr>
        <w:t xml:space="preserve">) NJ tree for uncensored data. </w:t>
      </w:r>
      <w:r w:rsidR="00041FB6" w:rsidRPr="00041FB6">
        <w:rPr>
          <w:rFonts w:cs="AdvCaeciliaRm"/>
          <w:b/>
        </w:rPr>
        <w:t>B</w:t>
      </w:r>
      <w:r w:rsidR="00041FB6">
        <w:rPr>
          <w:rFonts w:cs="AdvCaeciliaRm"/>
        </w:rPr>
        <w:t xml:space="preserve">) NJ tree constructed from censored AFLP data. </w:t>
      </w:r>
      <w:r w:rsidR="0015496F">
        <w:rPr>
          <w:rFonts w:cs="AdvCaeciliaRm"/>
        </w:rPr>
        <w:t xml:space="preserve">Data were censored by removing </w:t>
      </w:r>
      <w:r w:rsidR="00041FB6">
        <w:t xml:space="preserve">polymorphic </w:t>
      </w:r>
      <w:r w:rsidR="0015496F">
        <w:t>loci</w:t>
      </w:r>
      <w:r w:rsidR="00041FB6">
        <w:t xml:space="preserve"> </w:t>
      </w:r>
      <w:r w:rsidR="0015496F">
        <w:t>from G0 and G12 control isolates</w:t>
      </w:r>
      <w:r w:rsidR="00041FB6">
        <w:t xml:space="preserve"> to arrive with same </w:t>
      </w:r>
      <w:proofErr w:type="spellStart"/>
      <w:r w:rsidR="00041FB6">
        <w:t>multilocus</w:t>
      </w:r>
      <w:proofErr w:type="spellEnd"/>
      <w:r w:rsidR="00041FB6">
        <w:t xml:space="preserve"> genotype</w:t>
      </w:r>
      <w:r w:rsidR="0015496F">
        <w:t xml:space="preserve">s for controls. </w:t>
      </w:r>
      <w:r w:rsidR="00041FB6" w:rsidRPr="0018604A">
        <w:t xml:space="preserve">The corresponding </w:t>
      </w:r>
      <w:r w:rsidR="0015496F">
        <w:t>loci</w:t>
      </w:r>
      <w:r w:rsidR="00041FB6" w:rsidRPr="0018604A">
        <w:t xml:space="preserve"> of fungicide challenged isolates were also removed.</w:t>
      </w:r>
      <w:r w:rsidR="00041FB6">
        <w:t xml:space="preserve"> </w:t>
      </w:r>
      <w:r w:rsidR="00041FB6">
        <w:rPr>
          <w:rFonts w:cs="AdvCaeciliaRm"/>
        </w:rPr>
        <w:t xml:space="preserve">   </w:t>
      </w:r>
    </w:p>
    <w:p w:rsidR="00041FB6" w:rsidRDefault="00041FB6" w:rsidP="002D5B95">
      <w:pPr>
        <w:autoSpaceDE w:val="0"/>
        <w:autoSpaceDN w:val="0"/>
        <w:adjustRightInd w:val="0"/>
        <w:spacing w:after="0" w:line="240" w:lineRule="auto"/>
        <w:rPr>
          <w:rFonts w:cs="AdvCaeciliaRm"/>
        </w:rPr>
      </w:pPr>
    </w:p>
    <w:p w:rsidR="00762E22" w:rsidRDefault="001632D5" w:rsidP="00786B2A">
      <w:pPr>
        <w:autoSpaceDE w:val="0"/>
        <w:autoSpaceDN w:val="0"/>
        <w:adjustRightInd w:val="0"/>
        <w:spacing w:after="0" w:line="240" w:lineRule="auto"/>
        <w:rPr>
          <w:rFonts w:cs="AdvCaeciliaRm"/>
        </w:rPr>
      </w:pPr>
      <w:r w:rsidRPr="00D34DC6">
        <w:rPr>
          <w:rFonts w:cs="AdvCaeciliaRm"/>
          <w:b/>
        </w:rPr>
        <w:t>Figure 1</w:t>
      </w:r>
      <w:r>
        <w:rPr>
          <w:rFonts w:cs="AdvCaeciliaRm"/>
        </w:rPr>
        <w:t xml:space="preserve"> Determination of 50%-100% growth inhibition zone </w:t>
      </w:r>
      <w:r w:rsidR="002705D4">
        <w:rPr>
          <w:rFonts w:cs="AdvCaeciliaRm"/>
        </w:rPr>
        <w:t xml:space="preserve">of </w:t>
      </w:r>
      <w:r w:rsidR="002705D4" w:rsidRPr="002705D4">
        <w:rPr>
          <w:rFonts w:cs="AdvCaeciliaRm"/>
          <w:i/>
        </w:rPr>
        <w:t>Sclerotinia</w:t>
      </w:r>
      <w:r w:rsidR="002705D4" w:rsidRPr="00731D55">
        <w:rPr>
          <w:rFonts w:cs="AdvCaeciliaRm"/>
          <w:i/>
        </w:rPr>
        <w:t xml:space="preserve"> </w:t>
      </w:r>
      <w:r w:rsidR="00731D55" w:rsidRPr="00731D55">
        <w:rPr>
          <w:rFonts w:cs="AdvCaeciliaRm"/>
          <w:i/>
        </w:rPr>
        <w:t>sclerotiorum</w:t>
      </w:r>
      <w:r w:rsidR="00731D55">
        <w:rPr>
          <w:rFonts w:cs="AdvCaeciliaRm"/>
        </w:rPr>
        <w:t xml:space="preserve"> </w:t>
      </w:r>
      <w:r w:rsidR="002705D4">
        <w:rPr>
          <w:rFonts w:cs="AdvCaeciliaRm"/>
        </w:rPr>
        <w:t xml:space="preserve">isolates </w:t>
      </w:r>
      <w:r>
        <w:rPr>
          <w:rFonts w:cs="AdvCaeciliaRm"/>
        </w:rPr>
        <w:t xml:space="preserve">for </w:t>
      </w:r>
      <w:proofErr w:type="spellStart"/>
      <w:r>
        <w:rPr>
          <w:rFonts w:cs="AdvCaeciliaRm"/>
        </w:rPr>
        <w:t>inocula</w:t>
      </w:r>
      <w:proofErr w:type="spellEnd"/>
      <w:r>
        <w:rPr>
          <w:rFonts w:cs="AdvCaeciliaRm"/>
        </w:rPr>
        <w:t xml:space="preserve"> preparation. The mycelial growth on control plates</w:t>
      </w:r>
      <w:r w:rsidR="002705D4">
        <w:rPr>
          <w:rFonts w:cs="AdvCaeciliaRm"/>
        </w:rPr>
        <w:t xml:space="preserve"> (A)</w:t>
      </w:r>
      <w:r>
        <w:rPr>
          <w:rFonts w:cs="AdvCaeciliaRm"/>
        </w:rPr>
        <w:t xml:space="preserve"> were considered as </w:t>
      </w:r>
      <w:r w:rsidR="002705D4">
        <w:rPr>
          <w:rFonts w:cs="AdvCaeciliaRm"/>
        </w:rPr>
        <w:t xml:space="preserve">100% growth. </w:t>
      </w:r>
      <w:r w:rsidR="00637845">
        <w:rPr>
          <w:rFonts w:cs="AdvCaeciliaRm"/>
        </w:rPr>
        <w:t xml:space="preserve">The mycelial growth corresponding to 50% inhibition was determined on fungicide challenged plate by </w:t>
      </w:r>
      <w:r w:rsidR="00D34DC6">
        <w:rPr>
          <w:rFonts w:cs="AdvCaeciliaRm"/>
        </w:rPr>
        <w:t>measuring A</w:t>
      </w:r>
      <w:r w:rsidR="00637845">
        <w:rPr>
          <w:rFonts w:cs="AdvCaeciliaRm"/>
        </w:rPr>
        <w:t xml:space="preserve">/2 distance perpendicular to inoculated strip. </w:t>
      </w:r>
      <w:r w:rsidR="00D34DC6">
        <w:rPr>
          <w:rFonts w:cs="AdvCaeciliaRm"/>
        </w:rPr>
        <w:t xml:space="preserve">The </w:t>
      </w:r>
      <w:r w:rsidR="002705D4">
        <w:rPr>
          <w:rFonts w:cs="AdvCaeciliaRm"/>
        </w:rPr>
        <w:t xml:space="preserve">radius </w:t>
      </w:r>
      <w:r w:rsidR="00D34DC6">
        <w:rPr>
          <w:rFonts w:cs="AdvCaeciliaRm"/>
        </w:rPr>
        <w:t>to this point was used to calculate EC50 of the isolate using SGE software.</w:t>
      </w:r>
    </w:p>
    <w:p w:rsidR="00762E22" w:rsidRDefault="00762E22" w:rsidP="00786B2A">
      <w:pPr>
        <w:autoSpaceDE w:val="0"/>
        <w:autoSpaceDN w:val="0"/>
        <w:adjustRightInd w:val="0"/>
        <w:spacing w:after="0" w:line="240" w:lineRule="auto"/>
        <w:rPr>
          <w:rFonts w:cs="AdvCaeciliaRm"/>
        </w:rPr>
      </w:pPr>
    </w:p>
    <w:p w:rsidR="00762E22" w:rsidRDefault="00762E22" w:rsidP="00786B2A">
      <w:pPr>
        <w:autoSpaceDE w:val="0"/>
        <w:autoSpaceDN w:val="0"/>
        <w:adjustRightInd w:val="0"/>
        <w:spacing w:after="0" w:line="240" w:lineRule="auto"/>
        <w:rPr>
          <w:rFonts w:cs="AdvCaeciliaRm"/>
        </w:rPr>
      </w:pPr>
    </w:p>
    <w:p w:rsidR="00762E22" w:rsidRDefault="00762E22" w:rsidP="00786B2A">
      <w:pPr>
        <w:autoSpaceDE w:val="0"/>
        <w:autoSpaceDN w:val="0"/>
        <w:adjustRightInd w:val="0"/>
        <w:spacing w:after="0" w:line="240" w:lineRule="auto"/>
        <w:rPr>
          <w:rFonts w:cs="AdvCaeciliaRm"/>
        </w:rPr>
      </w:pPr>
    </w:p>
    <w:p w:rsidR="00CB3F14" w:rsidRDefault="00CB3F14" w:rsidP="00713318">
      <w:pPr>
        <w:autoSpaceDE w:val="0"/>
        <w:autoSpaceDN w:val="0"/>
        <w:adjustRightInd w:val="0"/>
        <w:spacing w:after="0" w:line="240" w:lineRule="auto"/>
        <w:rPr>
          <w:rFonts w:cs="AdvCaeciliaRm"/>
        </w:rPr>
      </w:pPr>
    </w:p>
    <w:p w:rsidR="0070178D" w:rsidRDefault="00CB3F14" w:rsidP="00CB3F14">
      <w:pPr>
        <w:autoSpaceDE w:val="0"/>
        <w:autoSpaceDN w:val="0"/>
        <w:adjustRightInd w:val="0"/>
        <w:spacing w:after="0" w:line="240" w:lineRule="auto"/>
        <w:rPr>
          <w:rFonts w:cs="AdvCaeciliaRm"/>
        </w:rPr>
      </w:pPr>
      <w:r>
        <w:rPr>
          <w:rFonts w:cs="AdvCaeciliaRm"/>
        </w:rPr>
        <w:t xml:space="preserve">Table 1 </w:t>
      </w:r>
      <w:r w:rsidR="0070178D" w:rsidRPr="00771A7E">
        <w:rPr>
          <w:rFonts w:cs="AdvCaeciliaRm"/>
          <w:i/>
        </w:rPr>
        <w:t>Sclerotinia sclerotiorum</w:t>
      </w:r>
      <w:r w:rsidR="0070178D">
        <w:rPr>
          <w:rFonts w:cs="AdvCaeciliaRm"/>
        </w:rPr>
        <w:t xml:space="preserve"> isolates selected for the experiment</w:t>
      </w:r>
      <w:r w:rsidR="00045757">
        <w:rPr>
          <w:rFonts w:cs="AdvCaeciliaRm"/>
        </w:rPr>
        <w:t>*</w:t>
      </w:r>
    </w:p>
    <w:tbl>
      <w:tblPr>
        <w:tblStyle w:val="TableGrid"/>
        <w:tblW w:w="0" w:type="auto"/>
        <w:tblLook w:val="04A0" w:firstRow="1" w:lastRow="0" w:firstColumn="1" w:lastColumn="0" w:noHBand="0" w:noVBand="1"/>
      </w:tblPr>
      <w:tblGrid>
        <w:gridCol w:w="1595"/>
        <w:gridCol w:w="1546"/>
        <w:gridCol w:w="1647"/>
        <w:gridCol w:w="1641"/>
        <w:gridCol w:w="1403"/>
      </w:tblGrid>
      <w:tr w:rsidR="00560AAF" w:rsidTr="00045757">
        <w:tc>
          <w:tcPr>
            <w:tcW w:w="1595" w:type="dxa"/>
          </w:tcPr>
          <w:p w:rsidR="00560AAF" w:rsidRDefault="00560AAF" w:rsidP="00713318">
            <w:pPr>
              <w:autoSpaceDE w:val="0"/>
              <w:autoSpaceDN w:val="0"/>
              <w:adjustRightInd w:val="0"/>
              <w:rPr>
                <w:rFonts w:cs="AdvCaeciliaRm"/>
              </w:rPr>
            </w:pPr>
            <w:r>
              <w:rPr>
                <w:rFonts w:cs="AdvCaeciliaRm"/>
              </w:rPr>
              <w:t>Isolates name</w:t>
            </w:r>
          </w:p>
        </w:tc>
        <w:tc>
          <w:tcPr>
            <w:tcW w:w="1546" w:type="dxa"/>
          </w:tcPr>
          <w:p w:rsidR="00560AAF" w:rsidRDefault="00560AAF" w:rsidP="00713318">
            <w:pPr>
              <w:autoSpaceDE w:val="0"/>
              <w:autoSpaceDN w:val="0"/>
              <w:adjustRightInd w:val="0"/>
              <w:rPr>
                <w:rFonts w:cs="AdvCaeciliaRm"/>
              </w:rPr>
            </w:pPr>
            <w:r>
              <w:rPr>
                <w:rFonts w:cs="AdvCaeciliaRm"/>
              </w:rPr>
              <w:t>origin</w:t>
            </w:r>
          </w:p>
        </w:tc>
        <w:tc>
          <w:tcPr>
            <w:tcW w:w="1647" w:type="dxa"/>
          </w:tcPr>
          <w:p w:rsidR="00560AAF" w:rsidRDefault="00560AAF" w:rsidP="00713318">
            <w:pPr>
              <w:autoSpaceDE w:val="0"/>
              <w:autoSpaceDN w:val="0"/>
              <w:adjustRightInd w:val="0"/>
              <w:rPr>
                <w:rFonts w:cs="AdvCaeciliaRm"/>
              </w:rPr>
            </w:pPr>
            <w:r>
              <w:rPr>
                <w:rFonts w:cs="AdvCaeciliaRm"/>
              </w:rPr>
              <w:t>Year of collection</w:t>
            </w:r>
          </w:p>
        </w:tc>
        <w:tc>
          <w:tcPr>
            <w:tcW w:w="1641" w:type="dxa"/>
          </w:tcPr>
          <w:p w:rsidR="00560AAF" w:rsidRDefault="00560AAF" w:rsidP="00713318">
            <w:pPr>
              <w:autoSpaceDE w:val="0"/>
              <w:autoSpaceDN w:val="0"/>
              <w:adjustRightInd w:val="0"/>
              <w:rPr>
                <w:rFonts w:cs="AdvCaeciliaRm"/>
              </w:rPr>
            </w:pPr>
            <w:r>
              <w:rPr>
                <w:rFonts w:cs="AdvCaeciliaRm"/>
              </w:rPr>
              <w:t>Virulence**</w:t>
            </w:r>
          </w:p>
        </w:tc>
        <w:tc>
          <w:tcPr>
            <w:tcW w:w="1403" w:type="dxa"/>
          </w:tcPr>
          <w:p w:rsidR="00560AAF" w:rsidRDefault="00560AAF" w:rsidP="00713318">
            <w:pPr>
              <w:autoSpaceDE w:val="0"/>
              <w:autoSpaceDN w:val="0"/>
              <w:adjustRightInd w:val="0"/>
              <w:rPr>
                <w:rFonts w:cs="AdvCaeciliaRm"/>
              </w:rPr>
            </w:pPr>
            <w:r>
              <w:rPr>
                <w:rFonts w:cs="AdvCaeciliaRm"/>
              </w:rPr>
              <w:t>MCG***</w:t>
            </w:r>
          </w:p>
        </w:tc>
      </w:tr>
      <w:tr w:rsidR="00560AAF" w:rsidTr="00045757">
        <w:tc>
          <w:tcPr>
            <w:tcW w:w="1595" w:type="dxa"/>
          </w:tcPr>
          <w:p w:rsidR="00560AAF" w:rsidRPr="00771A7E" w:rsidRDefault="00560AAF" w:rsidP="00771A7E">
            <w:pPr>
              <w:pStyle w:val="NoSpacing"/>
              <w:jc w:val="center"/>
            </w:pPr>
            <w:r w:rsidRPr="00771A7E">
              <w:t>152</w:t>
            </w:r>
          </w:p>
        </w:tc>
        <w:tc>
          <w:tcPr>
            <w:tcW w:w="1546" w:type="dxa"/>
          </w:tcPr>
          <w:p w:rsidR="00560AAF" w:rsidRDefault="00560AAF" w:rsidP="00771A7E">
            <w:pPr>
              <w:autoSpaceDE w:val="0"/>
              <w:autoSpaceDN w:val="0"/>
              <w:adjustRightInd w:val="0"/>
              <w:rPr>
                <w:rFonts w:cs="AdvCaeciliaRm"/>
              </w:rPr>
            </w:pPr>
            <w:r>
              <w:rPr>
                <w:rFonts w:cs="AdvCaeciliaRm"/>
              </w:rPr>
              <w:t>Nebraska</w:t>
            </w:r>
          </w:p>
        </w:tc>
        <w:tc>
          <w:tcPr>
            <w:tcW w:w="1647" w:type="dxa"/>
          </w:tcPr>
          <w:p w:rsidR="00560AAF" w:rsidRDefault="00560AAF" w:rsidP="00771A7E">
            <w:pPr>
              <w:autoSpaceDE w:val="0"/>
              <w:autoSpaceDN w:val="0"/>
              <w:adjustRightInd w:val="0"/>
              <w:rPr>
                <w:rFonts w:cs="AdvCaeciliaRm"/>
              </w:rPr>
            </w:pPr>
            <w:r>
              <w:rPr>
                <w:rFonts w:cs="AdvCaeciliaRm"/>
              </w:rPr>
              <w:t>2003</w:t>
            </w:r>
          </w:p>
        </w:tc>
        <w:tc>
          <w:tcPr>
            <w:tcW w:w="1641" w:type="dxa"/>
          </w:tcPr>
          <w:p w:rsidR="00560AAF" w:rsidRDefault="00560AAF" w:rsidP="00771A7E">
            <w:pPr>
              <w:autoSpaceDE w:val="0"/>
              <w:autoSpaceDN w:val="0"/>
              <w:adjustRightInd w:val="0"/>
              <w:rPr>
                <w:rFonts w:cs="AdvCaeciliaRm"/>
              </w:rPr>
            </w:pPr>
            <w:r>
              <w:rPr>
                <w:rFonts w:cs="AdvCaeciliaRm"/>
              </w:rPr>
              <w:t>3.9</w:t>
            </w:r>
          </w:p>
        </w:tc>
        <w:tc>
          <w:tcPr>
            <w:tcW w:w="1403" w:type="dxa"/>
          </w:tcPr>
          <w:p w:rsidR="00560AAF" w:rsidRDefault="00560AAF" w:rsidP="00771A7E">
            <w:pPr>
              <w:autoSpaceDE w:val="0"/>
              <w:autoSpaceDN w:val="0"/>
              <w:adjustRightInd w:val="0"/>
              <w:rPr>
                <w:rFonts w:cs="AdvCaeciliaRm"/>
              </w:rPr>
            </w:pPr>
            <w:r>
              <w:rPr>
                <w:rFonts w:cs="AdvCaeciliaRm"/>
              </w:rPr>
              <w:t>4</w:t>
            </w:r>
          </w:p>
        </w:tc>
      </w:tr>
      <w:tr w:rsidR="00560AAF" w:rsidTr="00045757">
        <w:tc>
          <w:tcPr>
            <w:tcW w:w="1595" w:type="dxa"/>
          </w:tcPr>
          <w:p w:rsidR="00560AAF" w:rsidRPr="00771A7E" w:rsidRDefault="00560AAF" w:rsidP="00771A7E">
            <w:pPr>
              <w:pStyle w:val="NoSpacing"/>
              <w:jc w:val="center"/>
            </w:pPr>
            <w:r w:rsidRPr="00771A7E">
              <w:t>462</w:t>
            </w:r>
          </w:p>
        </w:tc>
        <w:tc>
          <w:tcPr>
            <w:tcW w:w="1546" w:type="dxa"/>
          </w:tcPr>
          <w:p w:rsidR="00560AAF" w:rsidRDefault="00560AAF" w:rsidP="00771A7E">
            <w:pPr>
              <w:autoSpaceDE w:val="0"/>
              <w:autoSpaceDN w:val="0"/>
              <w:adjustRightInd w:val="0"/>
              <w:rPr>
                <w:rFonts w:cs="AdvCaeciliaRm"/>
              </w:rPr>
            </w:pPr>
            <w:r>
              <w:rPr>
                <w:rFonts w:cs="AdvCaeciliaRm"/>
              </w:rPr>
              <w:t>Washington</w:t>
            </w:r>
          </w:p>
        </w:tc>
        <w:tc>
          <w:tcPr>
            <w:tcW w:w="1647" w:type="dxa"/>
          </w:tcPr>
          <w:p w:rsidR="00560AAF" w:rsidRDefault="00560AAF" w:rsidP="00771A7E">
            <w:pPr>
              <w:autoSpaceDE w:val="0"/>
              <w:autoSpaceDN w:val="0"/>
              <w:adjustRightInd w:val="0"/>
              <w:rPr>
                <w:rFonts w:cs="AdvCaeciliaRm"/>
              </w:rPr>
            </w:pPr>
            <w:r>
              <w:rPr>
                <w:rFonts w:cs="AdvCaeciliaRm"/>
              </w:rPr>
              <w:t>2003</w:t>
            </w:r>
          </w:p>
        </w:tc>
        <w:tc>
          <w:tcPr>
            <w:tcW w:w="1641" w:type="dxa"/>
          </w:tcPr>
          <w:p w:rsidR="00560AAF" w:rsidRDefault="00560AAF" w:rsidP="00771A7E">
            <w:pPr>
              <w:autoSpaceDE w:val="0"/>
              <w:autoSpaceDN w:val="0"/>
              <w:adjustRightInd w:val="0"/>
              <w:rPr>
                <w:rFonts w:cs="AdvCaeciliaRm"/>
              </w:rPr>
            </w:pPr>
            <w:r>
              <w:rPr>
                <w:rFonts w:cs="AdvCaeciliaRm"/>
              </w:rPr>
              <w:t>4.6</w:t>
            </w:r>
          </w:p>
        </w:tc>
        <w:tc>
          <w:tcPr>
            <w:tcW w:w="1403" w:type="dxa"/>
          </w:tcPr>
          <w:p w:rsidR="00560AAF" w:rsidRDefault="00560AAF" w:rsidP="00771A7E">
            <w:pPr>
              <w:autoSpaceDE w:val="0"/>
              <w:autoSpaceDN w:val="0"/>
              <w:adjustRightInd w:val="0"/>
              <w:rPr>
                <w:rFonts w:cs="AdvCaeciliaRm"/>
              </w:rPr>
            </w:pPr>
            <w:r>
              <w:rPr>
                <w:rFonts w:cs="AdvCaeciliaRm"/>
              </w:rPr>
              <w:t>57</w:t>
            </w:r>
          </w:p>
        </w:tc>
      </w:tr>
      <w:tr w:rsidR="00560AAF" w:rsidTr="00045757">
        <w:tc>
          <w:tcPr>
            <w:tcW w:w="1595" w:type="dxa"/>
          </w:tcPr>
          <w:p w:rsidR="00560AAF" w:rsidRPr="00771A7E" w:rsidRDefault="00560AAF" w:rsidP="00771A7E">
            <w:pPr>
              <w:pStyle w:val="NoSpacing"/>
              <w:jc w:val="center"/>
            </w:pPr>
            <w:r w:rsidRPr="00771A7E">
              <w:t>467</w:t>
            </w:r>
          </w:p>
        </w:tc>
        <w:tc>
          <w:tcPr>
            <w:tcW w:w="1546" w:type="dxa"/>
          </w:tcPr>
          <w:p w:rsidR="00560AAF" w:rsidRDefault="00560AAF" w:rsidP="00771A7E">
            <w:pPr>
              <w:autoSpaceDE w:val="0"/>
              <w:autoSpaceDN w:val="0"/>
              <w:adjustRightInd w:val="0"/>
              <w:rPr>
                <w:rFonts w:cs="AdvCaeciliaRm"/>
              </w:rPr>
            </w:pPr>
            <w:r>
              <w:rPr>
                <w:rFonts w:cs="AdvCaeciliaRm"/>
              </w:rPr>
              <w:t>Colorado</w:t>
            </w:r>
          </w:p>
        </w:tc>
        <w:tc>
          <w:tcPr>
            <w:tcW w:w="1647" w:type="dxa"/>
          </w:tcPr>
          <w:p w:rsidR="00560AAF" w:rsidRDefault="00560AAF" w:rsidP="00771A7E">
            <w:pPr>
              <w:autoSpaceDE w:val="0"/>
              <w:autoSpaceDN w:val="0"/>
              <w:adjustRightInd w:val="0"/>
              <w:rPr>
                <w:rFonts w:cs="AdvCaeciliaRm"/>
              </w:rPr>
            </w:pPr>
            <w:r>
              <w:rPr>
                <w:rFonts w:cs="AdvCaeciliaRm"/>
              </w:rPr>
              <w:t>2003</w:t>
            </w:r>
          </w:p>
        </w:tc>
        <w:tc>
          <w:tcPr>
            <w:tcW w:w="1641" w:type="dxa"/>
          </w:tcPr>
          <w:p w:rsidR="00560AAF" w:rsidRDefault="00560AAF" w:rsidP="00771A7E">
            <w:pPr>
              <w:autoSpaceDE w:val="0"/>
              <w:autoSpaceDN w:val="0"/>
              <w:adjustRightInd w:val="0"/>
              <w:rPr>
                <w:rFonts w:cs="AdvCaeciliaRm"/>
              </w:rPr>
            </w:pPr>
            <w:r>
              <w:rPr>
                <w:rFonts w:cs="AdvCaeciliaRm"/>
              </w:rPr>
              <w:t>4.6</w:t>
            </w:r>
          </w:p>
        </w:tc>
        <w:tc>
          <w:tcPr>
            <w:tcW w:w="1403" w:type="dxa"/>
          </w:tcPr>
          <w:p w:rsidR="00560AAF" w:rsidRDefault="00560AAF" w:rsidP="00771A7E">
            <w:pPr>
              <w:autoSpaceDE w:val="0"/>
              <w:autoSpaceDN w:val="0"/>
              <w:adjustRightInd w:val="0"/>
              <w:rPr>
                <w:rFonts w:cs="AdvCaeciliaRm"/>
              </w:rPr>
            </w:pPr>
            <w:r>
              <w:rPr>
                <w:rFonts w:cs="AdvCaeciliaRm"/>
              </w:rPr>
              <w:t>45</w:t>
            </w:r>
          </w:p>
        </w:tc>
      </w:tr>
      <w:tr w:rsidR="00560AAF" w:rsidTr="00045757">
        <w:tc>
          <w:tcPr>
            <w:tcW w:w="1595" w:type="dxa"/>
          </w:tcPr>
          <w:p w:rsidR="00560AAF" w:rsidRPr="00771A7E" w:rsidRDefault="00560AAF" w:rsidP="00771A7E">
            <w:pPr>
              <w:pStyle w:val="NoSpacing"/>
              <w:jc w:val="center"/>
            </w:pPr>
            <w:r w:rsidRPr="00771A7E">
              <w:t>555</w:t>
            </w:r>
          </w:p>
        </w:tc>
        <w:tc>
          <w:tcPr>
            <w:tcW w:w="1546" w:type="dxa"/>
          </w:tcPr>
          <w:p w:rsidR="00560AAF" w:rsidRDefault="00560AAF" w:rsidP="00771A7E">
            <w:pPr>
              <w:autoSpaceDE w:val="0"/>
              <w:autoSpaceDN w:val="0"/>
              <w:adjustRightInd w:val="0"/>
              <w:rPr>
                <w:rFonts w:cs="AdvCaeciliaRm"/>
              </w:rPr>
            </w:pPr>
            <w:r>
              <w:rPr>
                <w:rFonts w:cs="AdvCaeciliaRm"/>
              </w:rPr>
              <w:t>Minnesota</w:t>
            </w:r>
          </w:p>
        </w:tc>
        <w:tc>
          <w:tcPr>
            <w:tcW w:w="1647" w:type="dxa"/>
          </w:tcPr>
          <w:p w:rsidR="00560AAF" w:rsidRDefault="00560AAF" w:rsidP="00771A7E">
            <w:pPr>
              <w:autoSpaceDE w:val="0"/>
              <w:autoSpaceDN w:val="0"/>
              <w:adjustRightInd w:val="0"/>
              <w:rPr>
                <w:rFonts w:cs="AdvCaeciliaRm"/>
              </w:rPr>
            </w:pPr>
            <w:r>
              <w:rPr>
                <w:rFonts w:cs="AdvCaeciliaRm"/>
              </w:rPr>
              <w:t>2004</w:t>
            </w:r>
          </w:p>
        </w:tc>
        <w:tc>
          <w:tcPr>
            <w:tcW w:w="1641" w:type="dxa"/>
          </w:tcPr>
          <w:p w:rsidR="00560AAF" w:rsidRDefault="00560AAF" w:rsidP="00771A7E">
            <w:pPr>
              <w:autoSpaceDE w:val="0"/>
              <w:autoSpaceDN w:val="0"/>
              <w:adjustRightInd w:val="0"/>
              <w:rPr>
                <w:rFonts w:cs="AdvCaeciliaRm"/>
              </w:rPr>
            </w:pPr>
            <w:r>
              <w:rPr>
                <w:rFonts w:cs="AdvCaeciliaRm"/>
              </w:rPr>
              <w:t>6.4</w:t>
            </w:r>
          </w:p>
        </w:tc>
        <w:tc>
          <w:tcPr>
            <w:tcW w:w="1403" w:type="dxa"/>
          </w:tcPr>
          <w:p w:rsidR="00560AAF" w:rsidRDefault="00560AAF" w:rsidP="00771A7E">
            <w:pPr>
              <w:autoSpaceDE w:val="0"/>
              <w:autoSpaceDN w:val="0"/>
              <w:adjustRightInd w:val="0"/>
              <w:rPr>
                <w:rFonts w:cs="AdvCaeciliaRm"/>
              </w:rPr>
            </w:pPr>
            <w:r>
              <w:rPr>
                <w:rFonts w:cs="AdvCaeciliaRm"/>
              </w:rPr>
              <w:t>44</w:t>
            </w:r>
          </w:p>
        </w:tc>
      </w:tr>
      <w:tr w:rsidR="00560AAF" w:rsidTr="00045757">
        <w:tc>
          <w:tcPr>
            <w:tcW w:w="1595" w:type="dxa"/>
          </w:tcPr>
          <w:p w:rsidR="00560AAF" w:rsidRPr="00771A7E" w:rsidRDefault="00560AAF" w:rsidP="00771A7E">
            <w:pPr>
              <w:pStyle w:val="NoSpacing"/>
              <w:jc w:val="center"/>
            </w:pPr>
            <w:r w:rsidRPr="00771A7E">
              <w:t>587</w:t>
            </w:r>
          </w:p>
        </w:tc>
        <w:tc>
          <w:tcPr>
            <w:tcW w:w="1546" w:type="dxa"/>
          </w:tcPr>
          <w:p w:rsidR="00560AAF" w:rsidRDefault="00560AAF" w:rsidP="00771A7E">
            <w:pPr>
              <w:autoSpaceDE w:val="0"/>
              <w:autoSpaceDN w:val="0"/>
              <w:adjustRightInd w:val="0"/>
              <w:rPr>
                <w:rFonts w:cs="AdvCaeciliaRm"/>
              </w:rPr>
            </w:pPr>
            <w:r>
              <w:rPr>
                <w:rFonts w:cs="AdvCaeciliaRm"/>
              </w:rPr>
              <w:t>Oregon</w:t>
            </w:r>
          </w:p>
        </w:tc>
        <w:tc>
          <w:tcPr>
            <w:tcW w:w="1647" w:type="dxa"/>
          </w:tcPr>
          <w:p w:rsidR="00560AAF" w:rsidRDefault="00560AAF" w:rsidP="00771A7E">
            <w:pPr>
              <w:autoSpaceDE w:val="0"/>
              <w:autoSpaceDN w:val="0"/>
              <w:adjustRightInd w:val="0"/>
              <w:rPr>
                <w:rFonts w:cs="AdvCaeciliaRm"/>
              </w:rPr>
            </w:pPr>
            <w:r>
              <w:rPr>
                <w:rFonts w:cs="AdvCaeciliaRm"/>
              </w:rPr>
              <w:t>2004</w:t>
            </w:r>
          </w:p>
        </w:tc>
        <w:tc>
          <w:tcPr>
            <w:tcW w:w="1641" w:type="dxa"/>
          </w:tcPr>
          <w:p w:rsidR="00560AAF" w:rsidRDefault="00560AAF" w:rsidP="00771A7E">
            <w:pPr>
              <w:autoSpaceDE w:val="0"/>
              <w:autoSpaceDN w:val="0"/>
              <w:adjustRightInd w:val="0"/>
              <w:rPr>
                <w:rFonts w:cs="AdvCaeciliaRm"/>
              </w:rPr>
            </w:pPr>
            <w:r>
              <w:rPr>
                <w:rFonts w:cs="AdvCaeciliaRm"/>
              </w:rPr>
              <w:t>5.5</w:t>
            </w:r>
          </w:p>
        </w:tc>
        <w:tc>
          <w:tcPr>
            <w:tcW w:w="1403" w:type="dxa"/>
          </w:tcPr>
          <w:p w:rsidR="00560AAF" w:rsidRDefault="00560AAF" w:rsidP="00771A7E">
            <w:pPr>
              <w:autoSpaceDE w:val="0"/>
              <w:autoSpaceDN w:val="0"/>
              <w:adjustRightInd w:val="0"/>
              <w:rPr>
                <w:rFonts w:cs="AdvCaeciliaRm"/>
              </w:rPr>
            </w:pPr>
            <w:r>
              <w:rPr>
                <w:rFonts w:cs="AdvCaeciliaRm"/>
              </w:rPr>
              <w:t>5</w:t>
            </w:r>
          </w:p>
        </w:tc>
      </w:tr>
      <w:tr w:rsidR="00560AAF" w:rsidTr="00045757">
        <w:tc>
          <w:tcPr>
            <w:tcW w:w="1595" w:type="dxa"/>
          </w:tcPr>
          <w:p w:rsidR="00560AAF" w:rsidRPr="00771A7E" w:rsidRDefault="00560AAF" w:rsidP="00771A7E">
            <w:pPr>
              <w:pStyle w:val="NoSpacing"/>
              <w:jc w:val="center"/>
            </w:pPr>
            <w:r w:rsidRPr="00771A7E">
              <w:t>588</w:t>
            </w:r>
          </w:p>
        </w:tc>
        <w:tc>
          <w:tcPr>
            <w:tcW w:w="1546" w:type="dxa"/>
          </w:tcPr>
          <w:p w:rsidR="00560AAF" w:rsidRDefault="00560AAF" w:rsidP="00771A7E">
            <w:pPr>
              <w:autoSpaceDE w:val="0"/>
              <w:autoSpaceDN w:val="0"/>
              <w:adjustRightInd w:val="0"/>
              <w:rPr>
                <w:rFonts w:cs="AdvCaeciliaRm"/>
              </w:rPr>
            </w:pPr>
            <w:r>
              <w:rPr>
                <w:rFonts w:cs="AdvCaeciliaRm"/>
              </w:rPr>
              <w:t>Oregon</w:t>
            </w:r>
          </w:p>
        </w:tc>
        <w:tc>
          <w:tcPr>
            <w:tcW w:w="1647" w:type="dxa"/>
          </w:tcPr>
          <w:p w:rsidR="00560AAF" w:rsidRDefault="00560AAF" w:rsidP="00771A7E">
            <w:pPr>
              <w:autoSpaceDE w:val="0"/>
              <w:autoSpaceDN w:val="0"/>
              <w:adjustRightInd w:val="0"/>
              <w:rPr>
                <w:rFonts w:cs="AdvCaeciliaRm"/>
              </w:rPr>
            </w:pPr>
            <w:r>
              <w:rPr>
                <w:rFonts w:cs="AdvCaeciliaRm"/>
              </w:rPr>
              <w:t>2004</w:t>
            </w:r>
          </w:p>
        </w:tc>
        <w:tc>
          <w:tcPr>
            <w:tcW w:w="1641" w:type="dxa"/>
          </w:tcPr>
          <w:p w:rsidR="00560AAF" w:rsidRDefault="00560AAF" w:rsidP="00771A7E">
            <w:pPr>
              <w:autoSpaceDE w:val="0"/>
              <w:autoSpaceDN w:val="0"/>
              <w:adjustRightInd w:val="0"/>
              <w:rPr>
                <w:rFonts w:cs="AdvCaeciliaRm"/>
              </w:rPr>
            </w:pPr>
            <w:r>
              <w:rPr>
                <w:rFonts w:cs="AdvCaeciliaRm"/>
              </w:rPr>
              <w:t>5.3</w:t>
            </w:r>
          </w:p>
        </w:tc>
        <w:tc>
          <w:tcPr>
            <w:tcW w:w="1403" w:type="dxa"/>
          </w:tcPr>
          <w:p w:rsidR="00560AAF" w:rsidRDefault="00560AAF" w:rsidP="00771A7E">
            <w:pPr>
              <w:autoSpaceDE w:val="0"/>
              <w:autoSpaceDN w:val="0"/>
              <w:adjustRightInd w:val="0"/>
              <w:rPr>
                <w:rFonts w:cs="AdvCaeciliaRm"/>
              </w:rPr>
            </w:pPr>
            <w:r>
              <w:rPr>
                <w:rFonts w:cs="AdvCaeciliaRm"/>
              </w:rPr>
              <w:t>4</w:t>
            </w:r>
          </w:p>
        </w:tc>
      </w:tr>
      <w:tr w:rsidR="00560AAF" w:rsidTr="00045757">
        <w:tc>
          <w:tcPr>
            <w:tcW w:w="1595" w:type="dxa"/>
          </w:tcPr>
          <w:p w:rsidR="00560AAF" w:rsidRPr="00771A7E" w:rsidRDefault="00560AAF" w:rsidP="00771A7E">
            <w:pPr>
              <w:jc w:val="center"/>
            </w:pPr>
            <w:r w:rsidRPr="00771A7E">
              <w:t>594</w:t>
            </w:r>
          </w:p>
        </w:tc>
        <w:tc>
          <w:tcPr>
            <w:tcW w:w="1546" w:type="dxa"/>
          </w:tcPr>
          <w:p w:rsidR="00560AAF" w:rsidRDefault="00560AAF" w:rsidP="00771A7E">
            <w:pPr>
              <w:autoSpaceDE w:val="0"/>
              <w:autoSpaceDN w:val="0"/>
              <w:adjustRightInd w:val="0"/>
              <w:rPr>
                <w:rFonts w:cs="AdvCaeciliaRm"/>
              </w:rPr>
            </w:pPr>
            <w:r>
              <w:rPr>
                <w:rFonts w:cs="AdvCaeciliaRm"/>
              </w:rPr>
              <w:t>California</w:t>
            </w:r>
          </w:p>
        </w:tc>
        <w:tc>
          <w:tcPr>
            <w:tcW w:w="1647" w:type="dxa"/>
          </w:tcPr>
          <w:p w:rsidR="00560AAF" w:rsidRDefault="00560AAF" w:rsidP="00771A7E">
            <w:pPr>
              <w:autoSpaceDE w:val="0"/>
              <w:autoSpaceDN w:val="0"/>
              <w:adjustRightInd w:val="0"/>
              <w:rPr>
                <w:rFonts w:cs="AdvCaeciliaRm"/>
              </w:rPr>
            </w:pPr>
            <w:r>
              <w:rPr>
                <w:rFonts w:cs="AdvCaeciliaRm"/>
              </w:rPr>
              <w:t>2004</w:t>
            </w:r>
          </w:p>
        </w:tc>
        <w:tc>
          <w:tcPr>
            <w:tcW w:w="1641" w:type="dxa"/>
          </w:tcPr>
          <w:p w:rsidR="00560AAF" w:rsidRDefault="00560AAF" w:rsidP="00771A7E">
            <w:pPr>
              <w:autoSpaceDE w:val="0"/>
              <w:autoSpaceDN w:val="0"/>
              <w:adjustRightInd w:val="0"/>
              <w:rPr>
                <w:rFonts w:cs="AdvCaeciliaRm"/>
              </w:rPr>
            </w:pPr>
            <w:r>
              <w:rPr>
                <w:rFonts w:cs="AdvCaeciliaRm"/>
              </w:rPr>
              <w:t>4.6</w:t>
            </w:r>
          </w:p>
        </w:tc>
        <w:tc>
          <w:tcPr>
            <w:tcW w:w="1403" w:type="dxa"/>
          </w:tcPr>
          <w:p w:rsidR="00560AAF" w:rsidRDefault="00560AAF" w:rsidP="00771A7E">
            <w:pPr>
              <w:autoSpaceDE w:val="0"/>
              <w:autoSpaceDN w:val="0"/>
              <w:adjustRightInd w:val="0"/>
              <w:rPr>
                <w:rFonts w:cs="AdvCaeciliaRm"/>
              </w:rPr>
            </w:pPr>
            <w:r>
              <w:rPr>
                <w:rFonts w:cs="AdvCaeciliaRm"/>
              </w:rPr>
              <w:t>21</w:t>
            </w:r>
          </w:p>
        </w:tc>
      </w:tr>
      <w:tr w:rsidR="00560AAF" w:rsidTr="00045757">
        <w:tc>
          <w:tcPr>
            <w:tcW w:w="1595" w:type="dxa"/>
          </w:tcPr>
          <w:p w:rsidR="00560AAF" w:rsidRPr="00BA3A8C" w:rsidRDefault="00560AAF" w:rsidP="00771A7E">
            <w:pPr>
              <w:pStyle w:val="NoSpacing"/>
              <w:jc w:val="center"/>
            </w:pPr>
            <w:r>
              <w:t>646</w:t>
            </w:r>
          </w:p>
        </w:tc>
        <w:tc>
          <w:tcPr>
            <w:tcW w:w="1546" w:type="dxa"/>
          </w:tcPr>
          <w:p w:rsidR="00560AAF" w:rsidRDefault="00560AAF" w:rsidP="00771A7E">
            <w:pPr>
              <w:autoSpaceDE w:val="0"/>
              <w:autoSpaceDN w:val="0"/>
              <w:adjustRightInd w:val="0"/>
              <w:rPr>
                <w:rFonts w:cs="AdvCaeciliaRm"/>
              </w:rPr>
            </w:pPr>
            <w:r>
              <w:rPr>
                <w:rFonts w:cs="AdvCaeciliaRm"/>
              </w:rPr>
              <w:t>Washington</w:t>
            </w:r>
          </w:p>
        </w:tc>
        <w:tc>
          <w:tcPr>
            <w:tcW w:w="1647" w:type="dxa"/>
          </w:tcPr>
          <w:p w:rsidR="00560AAF" w:rsidRDefault="00560AAF" w:rsidP="00771A7E">
            <w:pPr>
              <w:autoSpaceDE w:val="0"/>
              <w:autoSpaceDN w:val="0"/>
              <w:adjustRightInd w:val="0"/>
              <w:rPr>
                <w:rFonts w:cs="AdvCaeciliaRm"/>
              </w:rPr>
            </w:pPr>
            <w:r>
              <w:rPr>
                <w:rFonts w:cs="AdvCaeciliaRm"/>
              </w:rPr>
              <w:t>2005</w:t>
            </w:r>
          </w:p>
        </w:tc>
        <w:tc>
          <w:tcPr>
            <w:tcW w:w="1641" w:type="dxa"/>
          </w:tcPr>
          <w:p w:rsidR="00560AAF" w:rsidRDefault="00560AAF" w:rsidP="00771A7E">
            <w:pPr>
              <w:autoSpaceDE w:val="0"/>
              <w:autoSpaceDN w:val="0"/>
              <w:adjustRightInd w:val="0"/>
              <w:rPr>
                <w:rFonts w:cs="AdvCaeciliaRm"/>
              </w:rPr>
            </w:pPr>
            <w:r>
              <w:rPr>
                <w:rFonts w:cs="AdvCaeciliaRm"/>
              </w:rPr>
              <w:t>5.4</w:t>
            </w:r>
          </w:p>
        </w:tc>
        <w:tc>
          <w:tcPr>
            <w:tcW w:w="1403" w:type="dxa"/>
          </w:tcPr>
          <w:p w:rsidR="00560AAF" w:rsidRDefault="00560AAF" w:rsidP="00771A7E">
            <w:pPr>
              <w:autoSpaceDE w:val="0"/>
              <w:autoSpaceDN w:val="0"/>
              <w:adjustRightInd w:val="0"/>
              <w:rPr>
                <w:rFonts w:cs="AdvCaeciliaRm"/>
              </w:rPr>
            </w:pPr>
            <w:r>
              <w:rPr>
                <w:rFonts w:cs="AdvCaeciliaRm"/>
              </w:rPr>
              <w:t>60</w:t>
            </w:r>
          </w:p>
        </w:tc>
      </w:tr>
      <w:tr w:rsidR="00560AAF" w:rsidTr="00045757">
        <w:tc>
          <w:tcPr>
            <w:tcW w:w="1595" w:type="dxa"/>
          </w:tcPr>
          <w:p w:rsidR="00560AAF" w:rsidRDefault="00560AAF" w:rsidP="00771A7E">
            <w:pPr>
              <w:autoSpaceDE w:val="0"/>
              <w:autoSpaceDN w:val="0"/>
              <w:adjustRightInd w:val="0"/>
              <w:jc w:val="center"/>
              <w:rPr>
                <w:rFonts w:cs="AdvCaeciliaRm"/>
              </w:rPr>
            </w:pPr>
            <w:r>
              <w:rPr>
                <w:rFonts w:cs="AdvCaeciliaRm"/>
              </w:rPr>
              <w:t>655</w:t>
            </w:r>
          </w:p>
        </w:tc>
        <w:tc>
          <w:tcPr>
            <w:tcW w:w="1546" w:type="dxa"/>
          </w:tcPr>
          <w:p w:rsidR="00560AAF" w:rsidRDefault="00560AAF" w:rsidP="00713318">
            <w:pPr>
              <w:autoSpaceDE w:val="0"/>
              <w:autoSpaceDN w:val="0"/>
              <w:adjustRightInd w:val="0"/>
              <w:rPr>
                <w:rFonts w:cs="AdvCaeciliaRm"/>
              </w:rPr>
            </w:pPr>
            <w:r>
              <w:rPr>
                <w:rFonts w:cs="AdvCaeciliaRm"/>
              </w:rPr>
              <w:t>North Dakota</w:t>
            </w:r>
          </w:p>
        </w:tc>
        <w:tc>
          <w:tcPr>
            <w:tcW w:w="1647" w:type="dxa"/>
          </w:tcPr>
          <w:p w:rsidR="00560AAF" w:rsidRDefault="00560AAF" w:rsidP="00713318">
            <w:pPr>
              <w:autoSpaceDE w:val="0"/>
              <w:autoSpaceDN w:val="0"/>
              <w:adjustRightInd w:val="0"/>
              <w:rPr>
                <w:rFonts w:cs="AdvCaeciliaRm"/>
              </w:rPr>
            </w:pPr>
            <w:r>
              <w:rPr>
                <w:rFonts w:cs="AdvCaeciliaRm"/>
              </w:rPr>
              <w:t>2005</w:t>
            </w:r>
          </w:p>
        </w:tc>
        <w:tc>
          <w:tcPr>
            <w:tcW w:w="1641" w:type="dxa"/>
          </w:tcPr>
          <w:p w:rsidR="00560AAF" w:rsidRDefault="00560AAF" w:rsidP="00713318">
            <w:pPr>
              <w:autoSpaceDE w:val="0"/>
              <w:autoSpaceDN w:val="0"/>
              <w:adjustRightInd w:val="0"/>
              <w:rPr>
                <w:rFonts w:cs="AdvCaeciliaRm"/>
              </w:rPr>
            </w:pPr>
            <w:r>
              <w:rPr>
                <w:rFonts w:cs="AdvCaeciliaRm"/>
              </w:rPr>
              <w:t>4.0</w:t>
            </w:r>
          </w:p>
        </w:tc>
        <w:tc>
          <w:tcPr>
            <w:tcW w:w="1403" w:type="dxa"/>
          </w:tcPr>
          <w:p w:rsidR="00560AAF" w:rsidRDefault="00560AAF" w:rsidP="00713318">
            <w:pPr>
              <w:autoSpaceDE w:val="0"/>
              <w:autoSpaceDN w:val="0"/>
              <w:adjustRightInd w:val="0"/>
              <w:rPr>
                <w:rFonts w:cs="AdvCaeciliaRm"/>
              </w:rPr>
            </w:pPr>
            <w:r>
              <w:rPr>
                <w:rFonts w:cs="AdvCaeciliaRm"/>
              </w:rPr>
              <w:t>46</w:t>
            </w:r>
          </w:p>
        </w:tc>
      </w:tr>
    </w:tbl>
    <w:p w:rsidR="00FB4DA6" w:rsidRDefault="00045757" w:rsidP="00713318">
      <w:pPr>
        <w:autoSpaceDE w:val="0"/>
        <w:autoSpaceDN w:val="0"/>
        <w:adjustRightInd w:val="0"/>
        <w:spacing w:after="0" w:line="240" w:lineRule="auto"/>
        <w:rPr>
          <w:rFonts w:cs="AdvCaeciliaRm"/>
        </w:rPr>
      </w:pPr>
      <w:r>
        <w:rPr>
          <w:rFonts w:cs="AdvCaeciliaRm"/>
        </w:rPr>
        <w:t xml:space="preserve">*All were </w:t>
      </w:r>
      <w:r w:rsidR="00D04223">
        <w:rPr>
          <w:rFonts w:cs="AdvCaeciliaRm"/>
        </w:rPr>
        <w:t>isolated</w:t>
      </w:r>
      <w:r>
        <w:rPr>
          <w:rFonts w:cs="AdvCaeciliaRm"/>
        </w:rPr>
        <w:t xml:space="preserve"> from different cultivars of dry beans</w:t>
      </w:r>
      <w:r w:rsidR="00500396">
        <w:rPr>
          <w:rFonts w:cs="AdvCaeciliaRm"/>
        </w:rPr>
        <w:t xml:space="preserve">. These </w:t>
      </w:r>
      <w:r w:rsidR="00D04223">
        <w:rPr>
          <w:rFonts w:cs="AdvCaeciliaRm"/>
        </w:rPr>
        <w:t>isolates were</w:t>
      </w:r>
      <w:r w:rsidR="00500396">
        <w:rPr>
          <w:rFonts w:cs="AdvCaeciliaRm"/>
        </w:rPr>
        <w:t xml:space="preserve"> a subset from a pool of 366 characterized isolates.</w:t>
      </w:r>
    </w:p>
    <w:p w:rsidR="00FB4DA6" w:rsidRDefault="00560AAF" w:rsidP="00CB3F14">
      <w:pPr>
        <w:autoSpaceDE w:val="0"/>
        <w:autoSpaceDN w:val="0"/>
        <w:adjustRightInd w:val="0"/>
        <w:spacing w:after="0" w:line="240" w:lineRule="auto"/>
        <w:rPr>
          <w:rFonts w:cs="AdvCaeciliaRm"/>
        </w:rPr>
      </w:pPr>
      <w:r>
        <w:rPr>
          <w:rFonts w:cs="AdvCaeciliaRm"/>
        </w:rPr>
        <w:t xml:space="preserve">**Virulence was rated on a scale of 1-9 </w:t>
      </w:r>
      <w:r w:rsidR="00CB3F14">
        <w:rPr>
          <w:rFonts w:cs="AdvCaeciliaRm"/>
        </w:rPr>
        <w:t>using the straw test method (</w:t>
      </w:r>
      <w:r w:rsidR="00CB3F14" w:rsidRPr="00CB3F14">
        <w:rPr>
          <w:rFonts w:cs="AdvCaeciliaRm"/>
          <w:highlight w:val="cyan"/>
        </w:rPr>
        <w:t>Ref</w:t>
      </w:r>
      <w:r w:rsidR="00CB3F14">
        <w:rPr>
          <w:rFonts w:cs="AdvCaeciliaRm"/>
        </w:rPr>
        <w:t xml:space="preserve">) </w:t>
      </w:r>
      <w:r>
        <w:rPr>
          <w:rFonts w:cs="AdvCaeciliaRm"/>
        </w:rPr>
        <w:t>with increasing numbers representing higher virulence</w:t>
      </w:r>
      <w:r w:rsidR="00CB3F14">
        <w:rPr>
          <w:rFonts w:cs="AdvCaeciliaRm"/>
        </w:rPr>
        <w:t>.</w:t>
      </w:r>
    </w:p>
    <w:p w:rsidR="00FB4DA6" w:rsidRDefault="00560AAF" w:rsidP="00713318">
      <w:pPr>
        <w:autoSpaceDE w:val="0"/>
        <w:autoSpaceDN w:val="0"/>
        <w:adjustRightInd w:val="0"/>
        <w:spacing w:after="0" w:line="240" w:lineRule="auto"/>
        <w:rPr>
          <w:rFonts w:cs="AdvCaeciliaRm"/>
        </w:rPr>
      </w:pPr>
      <w:r>
        <w:rPr>
          <w:rFonts w:cs="AdvCaeciliaRm"/>
        </w:rPr>
        <w:t xml:space="preserve">***MCG: Mycelial compatibility group. </w:t>
      </w:r>
    </w:p>
    <w:p w:rsidR="00FB4DA6" w:rsidRDefault="00FB4DA6" w:rsidP="00713318">
      <w:pPr>
        <w:autoSpaceDE w:val="0"/>
        <w:autoSpaceDN w:val="0"/>
        <w:adjustRightInd w:val="0"/>
        <w:spacing w:after="0" w:line="240" w:lineRule="auto"/>
        <w:rPr>
          <w:rFonts w:cs="AdvCaeciliaRm"/>
        </w:rPr>
      </w:pPr>
    </w:p>
    <w:p w:rsidR="00FB4DA6" w:rsidRDefault="00FB4DA6" w:rsidP="00713318">
      <w:pPr>
        <w:autoSpaceDE w:val="0"/>
        <w:autoSpaceDN w:val="0"/>
        <w:adjustRightInd w:val="0"/>
        <w:spacing w:after="0" w:line="240" w:lineRule="auto"/>
        <w:rPr>
          <w:rFonts w:cs="AdvCaeciliaRm"/>
        </w:rPr>
      </w:pPr>
    </w:p>
    <w:p w:rsidR="00FB4DA6" w:rsidRDefault="00FB4DA6" w:rsidP="00713318">
      <w:pPr>
        <w:autoSpaceDE w:val="0"/>
        <w:autoSpaceDN w:val="0"/>
        <w:adjustRightInd w:val="0"/>
        <w:spacing w:after="0" w:line="240" w:lineRule="auto"/>
        <w:rPr>
          <w:rFonts w:cs="AdvCaeciliaRm"/>
        </w:rPr>
      </w:pPr>
    </w:p>
    <w:p w:rsidR="00CB3F14" w:rsidRDefault="00CB3F14" w:rsidP="00A9519A">
      <w:pPr>
        <w:autoSpaceDE w:val="0"/>
        <w:autoSpaceDN w:val="0"/>
        <w:adjustRightInd w:val="0"/>
        <w:spacing w:after="0" w:line="240" w:lineRule="auto"/>
        <w:rPr>
          <w:rFonts w:cs="AdvCaeciliaRm"/>
        </w:rPr>
      </w:pPr>
      <w:r>
        <w:rPr>
          <w:rFonts w:cs="AdvCaeciliaRm"/>
        </w:rPr>
        <w:t>Table 2</w:t>
      </w:r>
      <w:r w:rsidR="00247F39">
        <w:rPr>
          <w:rFonts w:cs="AdvCaeciliaRm"/>
        </w:rPr>
        <w:t xml:space="preserve"> </w:t>
      </w:r>
      <w:r w:rsidR="00A9519A">
        <w:rPr>
          <w:rFonts w:cs="AdvCaeciliaRm"/>
        </w:rPr>
        <w:t>Fungicide stock solutions used for the spiral plater and concentrations resulted on PDA pales *</w:t>
      </w:r>
      <w:r w:rsidR="00247F39">
        <w:rPr>
          <w:rFonts w:cs="AdvCaeciliaRm"/>
        </w:rPr>
        <w:t xml:space="preserve">  </w:t>
      </w:r>
    </w:p>
    <w:p w:rsidR="00CB3F14" w:rsidRDefault="00CB3F14" w:rsidP="00713318">
      <w:pPr>
        <w:autoSpaceDE w:val="0"/>
        <w:autoSpaceDN w:val="0"/>
        <w:adjustRightInd w:val="0"/>
        <w:spacing w:after="0" w:line="240" w:lineRule="auto"/>
        <w:rPr>
          <w:rFonts w:cs="AdvCaeciliaRm"/>
        </w:rPr>
      </w:pPr>
    </w:p>
    <w:tbl>
      <w:tblPr>
        <w:tblStyle w:val="TableGrid"/>
        <w:tblW w:w="0" w:type="auto"/>
        <w:tblLook w:val="04A0" w:firstRow="1" w:lastRow="0" w:firstColumn="1" w:lastColumn="0" w:noHBand="0" w:noVBand="1"/>
      </w:tblPr>
      <w:tblGrid>
        <w:gridCol w:w="2088"/>
        <w:gridCol w:w="2160"/>
        <w:gridCol w:w="2430"/>
        <w:gridCol w:w="2520"/>
      </w:tblGrid>
      <w:tr w:rsidR="00723D17" w:rsidTr="009A19AD">
        <w:tc>
          <w:tcPr>
            <w:tcW w:w="2088" w:type="dxa"/>
          </w:tcPr>
          <w:p w:rsidR="00723D17" w:rsidRDefault="00723D17" w:rsidP="00713318">
            <w:pPr>
              <w:autoSpaceDE w:val="0"/>
              <w:autoSpaceDN w:val="0"/>
              <w:adjustRightInd w:val="0"/>
              <w:rPr>
                <w:rFonts w:cs="AdvCaeciliaRm"/>
              </w:rPr>
            </w:pPr>
            <w:r>
              <w:rPr>
                <w:rFonts w:cs="AdvCaeciliaRm"/>
              </w:rPr>
              <w:t>Fungicide</w:t>
            </w:r>
          </w:p>
        </w:tc>
        <w:tc>
          <w:tcPr>
            <w:tcW w:w="2160" w:type="dxa"/>
          </w:tcPr>
          <w:p w:rsidR="00723D17" w:rsidRDefault="00247F39" w:rsidP="009A19AD">
            <w:pPr>
              <w:autoSpaceDE w:val="0"/>
              <w:autoSpaceDN w:val="0"/>
              <w:adjustRightInd w:val="0"/>
              <w:rPr>
                <w:rFonts w:cs="AdvCaeciliaRm"/>
              </w:rPr>
            </w:pPr>
            <w:r>
              <w:rPr>
                <w:rFonts w:cs="AdvCaeciliaRm"/>
              </w:rPr>
              <w:t xml:space="preserve">Sample </w:t>
            </w:r>
            <w:r w:rsidR="009A19AD">
              <w:rPr>
                <w:rFonts w:cs="AdvCaeciliaRm"/>
              </w:rPr>
              <w:t>intake c</w:t>
            </w:r>
            <w:r>
              <w:rPr>
                <w:rFonts w:cs="AdvCaeciliaRm"/>
              </w:rPr>
              <w:t xml:space="preserve">oncentration </w:t>
            </w:r>
            <w:r w:rsidR="009A19AD">
              <w:rPr>
                <w:rFonts w:cs="AdvCaeciliaRm"/>
              </w:rPr>
              <w:t>(ppm)</w:t>
            </w:r>
            <w:r w:rsidR="00723D17">
              <w:rPr>
                <w:rFonts w:cs="AdvCaeciliaRm"/>
              </w:rPr>
              <w:t xml:space="preserve"> </w:t>
            </w:r>
          </w:p>
        </w:tc>
        <w:tc>
          <w:tcPr>
            <w:tcW w:w="2430" w:type="dxa"/>
          </w:tcPr>
          <w:p w:rsidR="00723D17" w:rsidRDefault="009A19AD" w:rsidP="0022780C">
            <w:pPr>
              <w:autoSpaceDE w:val="0"/>
              <w:autoSpaceDN w:val="0"/>
              <w:adjustRightInd w:val="0"/>
              <w:rPr>
                <w:rFonts w:cs="AdvCaeciliaRm"/>
              </w:rPr>
            </w:pPr>
            <w:r>
              <w:rPr>
                <w:rFonts w:cs="AdvCaeciliaRm"/>
              </w:rPr>
              <w:t>Concentration (ppm) at center (</w:t>
            </w:r>
            <w:r w:rsidR="0022780C">
              <w:rPr>
                <w:rFonts w:cs="AdvCaeciliaRm"/>
              </w:rPr>
              <w:t xml:space="preserve">20 </w:t>
            </w:r>
            <w:r>
              <w:rPr>
                <w:rFonts w:cs="AdvCaeciliaRm"/>
              </w:rPr>
              <w:t>mm radius)</w:t>
            </w:r>
          </w:p>
        </w:tc>
        <w:tc>
          <w:tcPr>
            <w:tcW w:w="2520" w:type="dxa"/>
          </w:tcPr>
          <w:p w:rsidR="00723D17" w:rsidRDefault="009A19AD" w:rsidP="00713318">
            <w:pPr>
              <w:autoSpaceDE w:val="0"/>
              <w:autoSpaceDN w:val="0"/>
              <w:adjustRightInd w:val="0"/>
              <w:rPr>
                <w:rFonts w:cs="AdvCaeciliaRm"/>
              </w:rPr>
            </w:pPr>
            <w:r>
              <w:rPr>
                <w:rFonts w:cs="AdvCaeciliaRm"/>
              </w:rPr>
              <w:t>Concentration (ppm) at peripher</w:t>
            </w:r>
            <w:r w:rsidR="0022780C">
              <w:rPr>
                <w:rFonts w:cs="AdvCaeciliaRm"/>
              </w:rPr>
              <w:t>y (64</w:t>
            </w:r>
            <w:r>
              <w:rPr>
                <w:rFonts w:cs="AdvCaeciliaRm"/>
              </w:rPr>
              <w:t xml:space="preserve"> mm radius)</w:t>
            </w:r>
          </w:p>
        </w:tc>
      </w:tr>
      <w:tr w:rsidR="00723D17" w:rsidTr="009A19AD">
        <w:tc>
          <w:tcPr>
            <w:tcW w:w="2088" w:type="dxa"/>
          </w:tcPr>
          <w:p w:rsidR="00723D17" w:rsidRDefault="00723D17" w:rsidP="00713318">
            <w:pPr>
              <w:autoSpaceDE w:val="0"/>
              <w:autoSpaceDN w:val="0"/>
              <w:adjustRightInd w:val="0"/>
              <w:rPr>
                <w:rFonts w:cs="AdvCaeciliaRm"/>
              </w:rPr>
            </w:pPr>
            <w:r>
              <w:rPr>
                <w:rFonts w:cs="AdvCaeciliaRm"/>
              </w:rPr>
              <w:t>Boscalid</w:t>
            </w:r>
          </w:p>
        </w:tc>
        <w:tc>
          <w:tcPr>
            <w:tcW w:w="2160" w:type="dxa"/>
          </w:tcPr>
          <w:p w:rsidR="00723D17" w:rsidRDefault="009A19AD" w:rsidP="009A19AD">
            <w:pPr>
              <w:autoSpaceDE w:val="0"/>
              <w:autoSpaceDN w:val="0"/>
              <w:adjustRightInd w:val="0"/>
              <w:jc w:val="center"/>
              <w:rPr>
                <w:rFonts w:cs="AdvCaeciliaRm"/>
              </w:rPr>
            </w:pPr>
            <w:r>
              <w:rPr>
                <w:rFonts w:cs="AdvCaeciliaRm"/>
              </w:rPr>
              <w:t>750</w:t>
            </w:r>
          </w:p>
        </w:tc>
        <w:tc>
          <w:tcPr>
            <w:tcW w:w="2430" w:type="dxa"/>
          </w:tcPr>
          <w:p w:rsidR="00723D17" w:rsidRDefault="00907326" w:rsidP="00A14F88">
            <w:pPr>
              <w:autoSpaceDE w:val="0"/>
              <w:autoSpaceDN w:val="0"/>
              <w:adjustRightInd w:val="0"/>
              <w:jc w:val="center"/>
              <w:rPr>
                <w:rFonts w:cs="AdvCaeciliaRm"/>
              </w:rPr>
            </w:pPr>
            <w:r>
              <w:rPr>
                <w:rFonts w:cs="AdvCaeciliaRm"/>
              </w:rPr>
              <w:t>9.07</w:t>
            </w:r>
          </w:p>
        </w:tc>
        <w:tc>
          <w:tcPr>
            <w:tcW w:w="2520" w:type="dxa"/>
          </w:tcPr>
          <w:p w:rsidR="00723D17" w:rsidRDefault="00907326" w:rsidP="00A14F88">
            <w:pPr>
              <w:autoSpaceDE w:val="0"/>
              <w:autoSpaceDN w:val="0"/>
              <w:adjustRightInd w:val="0"/>
              <w:jc w:val="center"/>
              <w:rPr>
                <w:rFonts w:cs="AdvCaeciliaRm"/>
              </w:rPr>
            </w:pPr>
            <w:r>
              <w:rPr>
                <w:rFonts w:cs="AdvCaeciliaRm"/>
              </w:rPr>
              <w:t>0.05</w:t>
            </w:r>
          </w:p>
        </w:tc>
      </w:tr>
      <w:tr w:rsidR="00723D17" w:rsidTr="009A19AD">
        <w:tc>
          <w:tcPr>
            <w:tcW w:w="2088" w:type="dxa"/>
          </w:tcPr>
          <w:p w:rsidR="00723D17" w:rsidRDefault="00723D17" w:rsidP="00713318">
            <w:pPr>
              <w:autoSpaceDE w:val="0"/>
              <w:autoSpaceDN w:val="0"/>
              <w:adjustRightInd w:val="0"/>
              <w:rPr>
                <w:rFonts w:cs="AdvCaeciliaRm"/>
              </w:rPr>
            </w:pPr>
            <w:r>
              <w:rPr>
                <w:rFonts w:cs="AdvCaeciliaRm"/>
              </w:rPr>
              <w:t>Iprodione</w:t>
            </w:r>
          </w:p>
        </w:tc>
        <w:tc>
          <w:tcPr>
            <w:tcW w:w="2160" w:type="dxa"/>
          </w:tcPr>
          <w:p w:rsidR="00723D17" w:rsidRDefault="00B54DF8" w:rsidP="009A19AD">
            <w:pPr>
              <w:autoSpaceDE w:val="0"/>
              <w:autoSpaceDN w:val="0"/>
              <w:adjustRightInd w:val="0"/>
              <w:jc w:val="center"/>
              <w:rPr>
                <w:rFonts w:cs="AdvCaeciliaRm"/>
              </w:rPr>
            </w:pPr>
            <w:r>
              <w:rPr>
                <w:rFonts w:cs="AdvCaeciliaRm"/>
              </w:rPr>
              <w:t>400</w:t>
            </w:r>
          </w:p>
        </w:tc>
        <w:tc>
          <w:tcPr>
            <w:tcW w:w="2430" w:type="dxa"/>
          </w:tcPr>
          <w:p w:rsidR="00723D17" w:rsidRDefault="00907326" w:rsidP="00A14F88">
            <w:pPr>
              <w:autoSpaceDE w:val="0"/>
              <w:autoSpaceDN w:val="0"/>
              <w:adjustRightInd w:val="0"/>
              <w:jc w:val="center"/>
              <w:rPr>
                <w:rFonts w:cs="AdvCaeciliaRm"/>
              </w:rPr>
            </w:pPr>
            <w:r>
              <w:rPr>
                <w:rFonts w:cs="AdvCaeciliaRm"/>
              </w:rPr>
              <w:t>2.58</w:t>
            </w:r>
          </w:p>
        </w:tc>
        <w:tc>
          <w:tcPr>
            <w:tcW w:w="2520" w:type="dxa"/>
          </w:tcPr>
          <w:p w:rsidR="00723D17" w:rsidRDefault="00907326" w:rsidP="00A14F88">
            <w:pPr>
              <w:autoSpaceDE w:val="0"/>
              <w:autoSpaceDN w:val="0"/>
              <w:adjustRightInd w:val="0"/>
              <w:jc w:val="center"/>
              <w:rPr>
                <w:rFonts w:cs="AdvCaeciliaRm"/>
              </w:rPr>
            </w:pPr>
            <w:r>
              <w:rPr>
                <w:rFonts w:cs="AdvCaeciliaRm"/>
              </w:rPr>
              <w:t>0.807</w:t>
            </w:r>
          </w:p>
        </w:tc>
      </w:tr>
      <w:tr w:rsidR="00723D17" w:rsidTr="009A19AD">
        <w:tc>
          <w:tcPr>
            <w:tcW w:w="2088" w:type="dxa"/>
          </w:tcPr>
          <w:p w:rsidR="00723D17" w:rsidRDefault="00723D17" w:rsidP="00713318">
            <w:pPr>
              <w:autoSpaceDE w:val="0"/>
              <w:autoSpaceDN w:val="0"/>
              <w:adjustRightInd w:val="0"/>
              <w:rPr>
                <w:rFonts w:cs="AdvCaeciliaRm"/>
              </w:rPr>
            </w:pPr>
            <w:r>
              <w:rPr>
                <w:rFonts w:cs="AdvCaeciliaRm"/>
              </w:rPr>
              <w:t>Thiophanate methyl</w:t>
            </w:r>
          </w:p>
        </w:tc>
        <w:tc>
          <w:tcPr>
            <w:tcW w:w="2160" w:type="dxa"/>
          </w:tcPr>
          <w:p w:rsidR="00723D17" w:rsidRDefault="009A19AD" w:rsidP="009A19AD">
            <w:pPr>
              <w:autoSpaceDE w:val="0"/>
              <w:autoSpaceDN w:val="0"/>
              <w:adjustRightInd w:val="0"/>
              <w:jc w:val="center"/>
              <w:rPr>
                <w:rFonts w:cs="AdvCaeciliaRm"/>
              </w:rPr>
            </w:pPr>
            <w:r>
              <w:rPr>
                <w:rFonts w:cs="AdvCaeciliaRm"/>
              </w:rPr>
              <w:t>9000</w:t>
            </w:r>
          </w:p>
        </w:tc>
        <w:tc>
          <w:tcPr>
            <w:tcW w:w="2430" w:type="dxa"/>
          </w:tcPr>
          <w:p w:rsidR="00723D17" w:rsidRDefault="00907326" w:rsidP="00A14F88">
            <w:pPr>
              <w:autoSpaceDE w:val="0"/>
              <w:autoSpaceDN w:val="0"/>
              <w:adjustRightInd w:val="0"/>
              <w:jc w:val="center"/>
              <w:rPr>
                <w:rFonts w:cs="AdvCaeciliaRm"/>
              </w:rPr>
            </w:pPr>
            <w:r>
              <w:rPr>
                <w:rFonts w:cs="AdvCaeciliaRm"/>
              </w:rPr>
              <w:t>108.79</w:t>
            </w:r>
          </w:p>
        </w:tc>
        <w:tc>
          <w:tcPr>
            <w:tcW w:w="2520" w:type="dxa"/>
          </w:tcPr>
          <w:p w:rsidR="00723D17" w:rsidRDefault="00907326" w:rsidP="00A14F88">
            <w:pPr>
              <w:autoSpaceDE w:val="0"/>
              <w:autoSpaceDN w:val="0"/>
              <w:adjustRightInd w:val="0"/>
              <w:jc w:val="center"/>
              <w:rPr>
                <w:rFonts w:cs="AdvCaeciliaRm"/>
              </w:rPr>
            </w:pPr>
            <w:r>
              <w:rPr>
                <w:rFonts w:cs="AdvCaeciliaRm"/>
              </w:rPr>
              <w:t>0.57</w:t>
            </w:r>
          </w:p>
        </w:tc>
      </w:tr>
      <w:tr w:rsidR="00723D17" w:rsidTr="009A19AD">
        <w:tc>
          <w:tcPr>
            <w:tcW w:w="2088" w:type="dxa"/>
          </w:tcPr>
          <w:p w:rsidR="00723D17" w:rsidRDefault="00723D17" w:rsidP="00713318">
            <w:pPr>
              <w:autoSpaceDE w:val="0"/>
              <w:autoSpaceDN w:val="0"/>
              <w:adjustRightInd w:val="0"/>
              <w:rPr>
                <w:rFonts w:cs="AdvCaeciliaRm"/>
              </w:rPr>
            </w:pPr>
            <w:r>
              <w:rPr>
                <w:rFonts w:cs="AdvCaeciliaRm"/>
              </w:rPr>
              <w:t>Azoxystrobin</w:t>
            </w:r>
          </w:p>
        </w:tc>
        <w:tc>
          <w:tcPr>
            <w:tcW w:w="2160" w:type="dxa"/>
          </w:tcPr>
          <w:p w:rsidR="00723D17" w:rsidRDefault="00B54DF8" w:rsidP="009A19AD">
            <w:pPr>
              <w:autoSpaceDE w:val="0"/>
              <w:autoSpaceDN w:val="0"/>
              <w:adjustRightInd w:val="0"/>
              <w:jc w:val="center"/>
              <w:rPr>
                <w:rFonts w:cs="AdvCaeciliaRm"/>
              </w:rPr>
            </w:pPr>
            <w:r>
              <w:rPr>
                <w:rFonts w:cs="AdvCaeciliaRm"/>
              </w:rPr>
              <w:t>250</w:t>
            </w:r>
          </w:p>
        </w:tc>
        <w:tc>
          <w:tcPr>
            <w:tcW w:w="2430" w:type="dxa"/>
          </w:tcPr>
          <w:p w:rsidR="00723D17" w:rsidRDefault="00907326" w:rsidP="00A14F88">
            <w:pPr>
              <w:autoSpaceDE w:val="0"/>
              <w:autoSpaceDN w:val="0"/>
              <w:adjustRightInd w:val="0"/>
              <w:jc w:val="center"/>
              <w:rPr>
                <w:rFonts w:cs="AdvCaeciliaRm"/>
              </w:rPr>
            </w:pPr>
            <w:r>
              <w:rPr>
                <w:rFonts w:cs="AdvCaeciliaRm"/>
              </w:rPr>
              <w:t>2.87</w:t>
            </w:r>
          </w:p>
        </w:tc>
        <w:tc>
          <w:tcPr>
            <w:tcW w:w="2520" w:type="dxa"/>
          </w:tcPr>
          <w:p w:rsidR="00723D17" w:rsidRDefault="00907326" w:rsidP="00A14F88">
            <w:pPr>
              <w:autoSpaceDE w:val="0"/>
              <w:autoSpaceDN w:val="0"/>
              <w:adjustRightInd w:val="0"/>
              <w:jc w:val="center"/>
              <w:rPr>
                <w:rFonts w:cs="AdvCaeciliaRm"/>
              </w:rPr>
            </w:pPr>
            <w:r>
              <w:rPr>
                <w:rFonts w:cs="AdvCaeciliaRm"/>
              </w:rPr>
              <w:t>0.01</w:t>
            </w:r>
          </w:p>
        </w:tc>
      </w:tr>
      <w:tr w:rsidR="00723D17" w:rsidTr="009A19AD">
        <w:tc>
          <w:tcPr>
            <w:tcW w:w="2088" w:type="dxa"/>
          </w:tcPr>
          <w:p w:rsidR="00723D17" w:rsidRDefault="00723D17" w:rsidP="00723D17">
            <w:pPr>
              <w:autoSpaceDE w:val="0"/>
              <w:autoSpaceDN w:val="0"/>
              <w:adjustRightInd w:val="0"/>
              <w:rPr>
                <w:rFonts w:cs="AdvCaeciliaRm"/>
              </w:rPr>
            </w:pPr>
            <w:r>
              <w:rPr>
                <w:rFonts w:cs="AdvCaeciliaRm"/>
              </w:rPr>
              <w:t>Pyraclostrobin</w:t>
            </w:r>
          </w:p>
        </w:tc>
        <w:tc>
          <w:tcPr>
            <w:tcW w:w="2160" w:type="dxa"/>
          </w:tcPr>
          <w:p w:rsidR="00723D17" w:rsidRDefault="009A19AD" w:rsidP="009A19AD">
            <w:pPr>
              <w:autoSpaceDE w:val="0"/>
              <w:autoSpaceDN w:val="0"/>
              <w:adjustRightInd w:val="0"/>
              <w:jc w:val="center"/>
              <w:rPr>
                <w:rFonts w:cs="AdvCaeciliaRm"/>
              </w:rPr>
            </w:pPr>
            <w:r>
              <w:rPr>
                <w:rFonts w:cs="AdvCaeciliaRm"/>
              </w:rPr>
              <w:t>200</w:t>
            </w:r>
          </w:p>
        </w:tc>
        <w:tc>
          <w:tcPr>
            <w:tcW w:w="2430" w:type="dxa"/>
          </w:tcPr>
          <w:p w:rsidR="00723D17" w:rsidRDefault="00BA562D" w:rsidP="00A14F88">
            <w:pPr>
              <w:autoSpaceDE w:val="0"/>
              <w:autoSpaceDN w:val="0"/>
              <w:adjustRightInd w:val="0"/>
              <w:jc w:val="center"/>
              <w:rPr>
                <w:rFonts w:cs="AdvCaeciliaRm"/>
              </w:rPr>
            </w:pPr>
            <w:r>
              <w:rPr>
                <w:rFonts w:cs="AdvCaeciliaRm"/>
              </w:rPr>
              <w:t>2.34</w:t>
            </w:r>
          </w:p>
        </w:tc>
        <w:tc>
          <w:tcPr>
            <w:tcW w:w="2520" w:type="dxa"/>
          </w:tcPr>
          <w:p w:rsidR="00723D17" w:rsidRDefault="00907326" w:rsidP="00A14F88">
            <w:pPr>
              <w:autoSpaceDE w:val="0"/>
              <w:autoSpaceDN w:val="0"/>
              <w:adjustRightInd w:val="0"/>
              <w:jc w:val="center"/>
              <w:rPr>
                <w:rFonts w:cs="AdvCaeciliaRm"/>
              </w:rPr>
            </w:pPr>
            <w:r>
              <w:rPr>
                <w:rFonts w:cs="AdvCaeciliaRm"/>
              </w:rPr>
              <w:t>0.01</w:t>
            </w:r>
          </w:p>
        </w:tc>
      </w:tr>
    </w:tbl>
    <w:p w:rsidR="009D2F4D" w:rsidRDefault="00A9519A" w:rsidP="00A9519A">
      <w:pPr>
        <w:autoSpaceDE w:val="0"/>
        <w:autoSpaceDN w:val="0"/>
        <w:adjustRightInd w:val="0"/>
        <w:spacing w:after="0" w:line="240" w:lineRule="auto"/>
        <w:rPr>
          <w:rFonts w:cs="AdvCaeciliaRm"/>
        </w:rPr>
      </w:pPr>
      <w:r>
        <w:rPr>
          <w:rFonts w:cs="AdvCaeciliaRm"/>
        </w:rPr>
        <w:t xml:space="preserve">*Exponential mode was used for all fungicide depositions except for iprodione for which proportional mode was employed.  </w:t>
      </w:r>
    </w:p>
    <w:p w:rsidR="00D85F25" w:rsidRDefault="00D85F25" w:rsidP="00713318">
      <w:pPr>
        <w:autoSpaceDE w:val="0"/>
        <w:autoSpaceDN w:val="0"/>
        <w:adjustRightInd w:val="0"/>
        <w:spacing w:after="0" w:line="240" w:lineRule="auto"/>
        <w:rPr>
          <w:rFonts w:cs="AdvCaeciliaRm"/>
        </w:rPr>
      </w:pPr>
    </w:p>
    <w:p w:rsidR="00F3000E" w:rsidRDefault="00F3000E" w:rsidP="00713318">
      <w:pPr>
        <w:autoSpaceDE w:val="0"/>
        <w:autoSpaceDN w:val="0"/>
        <w:adjustRightInd w:val="0"/>
        <w:spacing w:after="0" w:line="240" w:lineRule="auto"/>
        <w:rPr>
          <w:rFonts w:cs="AdvCaeciliaRm"/>
        </w:rPr>
      </w:pPr>
    </w:p>
    <w:p w:rsidR="00F3000E" w:rsidRDefault="00594549" w:rsidP="00FF3865">
      <w:pPr>
        <w:autoSpaceDE w:val="0"/>
        <w:autoSpaceDN w:val="0"/>
        <w:adjustRightInd w:val="0"/>
        <w:spacing w:after="0" w:line="240" w:lineRule="auto"/>
        <w:rPr>
          <w:rFonts w:cs="AdvCaeciliaRm"/>
        </w:rPr>
      </w:pPr>
      <w:r>
        <w:rPr>
          <w:rFonts w:cs="AdvCaeciliaRm"/>
        </w:rPr>
        <w:t xml:space="preserve">Table 3 </w:t>
      </w:r>
      <w:r w:rsidR="00151E00">
        <w:rPr>
          <w:rFonts w:cs="AdvCaeciliaRm"/>
        </w:rPr>
        <w:t xml:space="preserve">Number of mutations </w:t>
      </w:r>
      <w:r w:rsidR="00FF3865">
        <w:rPr>
          <w:rFonts w:cs="AdvCaeciliaRm"/>
        </w:rPr>
        <w:t xml:space="preserve">at six microsatellite loci </w:t>
      </w:r>
      <w:r w:rsidR="00151E00">
        <w:rPr>
          <w:rFonts w:cs="AdvCaeciliaRm"/>
        </w:rPr>
        <w:t xml:space="preserve">observed in </w:t>
      </w:r>
      <w:r w:rsidR="008563F9">
        <w:rPr>
          <w:rFonts w:cs="AdvCaeciliaRm"/>
        </w:rPr>
        <w:t xml:space="preserve">eight </w:t>
      </w:r>
      <w:r w:rsidR="00151E00" w:rsidRPr="00FF3865">
        <w:rPr>
          <w:rFonts w:cs="AdvCaeciliaRm"/>
          <w:i/>
          <w:iCs/>
        </w:rPr>
        <w:t>Sclerotinia</w:t>
      </w:r>
      <w:r w:rsidR="00151E00">
        <w:rPr>
          <w:rFonts w:cs="AdvCaeciliaRm"/>
        </w:rPr>
        <w:t xml:space="preserve"> isolates exposed to </w:t>
      </w:r>
      <w:proofErr w:type="spellStart"/>
      <w:r w:rsidR="00151E00">
        <w:rPr>
          <w:rFonts w:cs="AdvCaeciliaRm"/>
        </w:rPr>
        <w:t>sublethal</w:t>
      </w:r>
      <w:proofErr w:type="spellEnd"/>
      <w:r w:rsidR="008563F9">
        <w:rPr>
          <w:rFonts w:cs="AdvCaeciliaRm"/>
        </w:rPr>
        <w:t xml:space="preserve"> doses of </w:t>
      </w:r>
      <w:r w:rsidR="00151E00">
        <w:rPr>
          <w:rFonts w:cs="AdvCaeciliaRm"/>
        </w:rPr>
        <w:t>fungicide</w:t>
      </w:r>
      <w:r w:rsidR="008563F9">
        <w:rPr>
          <w:rFonts w:cs="AdvCaeciliaRm"/>
        </w:rPr>
        <w:t>. Six microsatellite loci were characterized prior to fungicide exposure</w:t>
      </w:r>
      <w:r w:rsidR="00A77C34">
        <w:rPr>
          <w:rFonts w:cs="AdvCaeciliaRm"/>
        </w:rPr>
        <w:t xml:space="preserve"> (G0)</w:t>
      </w:r>
      <w:r w:rsidR="008563F9">
        <w:rPr>
          <w:rFonts w:cs="AdvCaeciliaRm"/>
        </w:rPr>
        <w:t xml:space="preserve"> and after continuously challenging with fungicides for 12 generations</w:t>
      </w:r>
      <w:r w:rsidR="00A77C34">
        <w:rPr>
          <w:rFonts w:cs="AdvCaeciliaRm"/>
        </w:rPr>
        <w:t xml:space="preserve"> (G12)</w:t>
      </w:r>
      <w:r w:rsidR="008563F9">
        <w:rPr>
          <w:rFonts w:cs="AdvCaeciliaRm"/>
        </w:rPr>
        <w:t>. The total mutations resulted from two studies as well as the nature of mutation</w:t>
      </w:r>
      <w:r w:rsidR="003F1558">
        <w:rPr>
          <w:rFonts w:cs="AdvCaeciliaRm"/>
        </w:rPr>
        <w:t>s</w:t>
      </w:r>
      <w:r w:rsidR="008563F9">
        <w:rPr>
          <w:rFonts w:cs="AdvCaeciliaRm"/>
        </w:rPr>
        <w:t xml:space="preserve"> in terms of deletion or insertion are given. </w:t>
      </w:r>
      <w:r w:rsidR="00A77C34">
        <w:rPr>
          <w:rFonts w:cs="AdvCaeciliaRm"/>
        </w:rPr>
        <w:t>Isolates not challenged with fungicides did not show any mutations for G12 compared to G0.</w:t>
      </w:r>
    </w:p>
    <w:p w:rsidR="00594549" w:rsidRDefault="00594549" w:rsidP="00713318">
      <w:pPr>
        <w:autoSpaceDE w:val="0"/>
        <w:autoSpaceDN w:val="0"/>
        <w:adjustRightInd w:val="0"/>
        <w:spacing w:after="0" w:line="240" w:lineRule="auto"/>
        <w:rPr>
          <w:rFonts w:cs="AdvCaeciliaRm"/>
        </w:rPr>
      </w:pPr>
    </w:p>
    <w:tbl>
      <w:tblPr>
        <w:tblStyle w:val="TableGrid"/>
        <w:tblW w:w="0" w:type="auto"/>
        <w:tblLook w:val="04A0" w:firstRow="1" w:lastRow="0" w:firstColumn="1" w:lastColumn="0" w:noHBand="0" w:noVBand="1"/>
      </w:tblPr>
      <w:tblGrid>
        <w:gridCol w:w="1596"/>
        <w:gridCol w:w="852"/>
        <w:gridCol w:w="900"/>
        <w:gridCol w:w="1260"/>
        <w:gridCol w:w="1170"/>
        <w:gridCol w:w="1080"/>
      </w:tblGrid>
      <w:tr w:rsidR="00594549" w:rsidTr="00594549">
        <w:tc>
          <w:tcPr>
            <w:tcW w:w="1596" w:type="dxa"/>
          </w:tcPr>
          <w:p w:rsidR="00594549" w:rsidRDefault="00594549" w:rsidP="00713318">
            <w:pPr>
              <w:autoSpaceDE w:val="0"/>
              <w:autoSpaceDN w:val="0"/>
              <w:adjustRightInd w:val="0"/>
              <w:rPr>
                <w:rFonts w:cs="AdvCaeciliaRm"/>
              </w:rPr>
            </w:pPr>
            <w:r>
              <w:rPr>
                <w:rFonts w:cs="AdvCaeciliaRm"/>
              </w:rPr>
              <w:t>Fungicide</w:t>
            </w:r>
          </w:p>
        </w:tc>
        <w:tc>
          <w:tcPr>
            <w:tcW w:w="852" w:type="dxa"/>
          </w:tcPr>
          <w:p w:rsidR="00594549" w:rsidRDefault="00594549" w:rsidP="00594549">
            <w:pPr>
              <w:autoSpaceDE w:val="0"/>
              <w:autoSpaceDN w:val="0"/>
              <w:adjustRightInd w:val="0"/>
              <w:rPr>
                <w:rFonts w:cs="AdvCaeciliaRm"/>
              </w:rPr>
            </w:pPr>
            <w:r>
              <w:rPr>
                <w:rFonts w:cs="AdvCaeciliaRm"/>
              </w:rPr>
              <w:t>Exp. 1</w:t>
            </w:r>
          </w:p>
        </w:tc>
        <w:tc>
          <w:tcPr>
            <w:tcW w:w="900" w:type="dxa"/>
          </w:tcPr>
          <w:p w:rsidR="00594549" w:rsidRDefault="00594549" w:rsidP="00594549">
            <w:pPr>
              <w:autoSpaceDE w:val="0"/>
              <w:autoSpaceDN w:val="0"/>
              <w:adjustRightInd w:val="0"/>
              <w:rPr>
                <w:rFonts w:cs="AdvCaeciliaRm"/>
              </w:rPr>
            </w:pPr>
            <w:r>
              <w:rPr>
                <w:rFonts w:cs="AdvCaeciliaRm"/>
              </w:rPr>
              <w:t>Exp. 2</w:t>
            </w:r>
          </w:p>
        </w:tc>
        <w:tc>
          <w:tcPr>
            <w:tcW w:w="1260" w:type="dxa"/>
          </w:tcPr>
          <w:p w:rsidR="00594549" w:rsidRDefault="00594549" w:rsidP="00713318">
            <w:pPr>
              <w:autoSpaceDE w:val="0"/>
              <w:autoSpaceDN w:val="0"/>
              <w:adjustRightInd w:val="0"/>
              <w:rPr>
                <w:rFonts w:cs="AdvCaeciliaRm"/>
              </w:rPr>
            </w:pPr>
            <w:r>
              <w:rPr>
                <w:rFonts w:cs="AdvCaeciliaRm"/>
              </w:rPr>
              <w:t>Total mutations</w:t>
            </w:r>
          </w:p>
        </w:tc>
        <w:tc>
          <w:tcPr>
            <w:tcW w:w="1170" w:type="dxa"/>
          </w:tcPr>
          <w:p w:rsidR="00594549" w:rsidRDefault="00594549" w:rsidP="00713318">
            <w:pPr>
              <w:autoSpaceDE w:val="0"/>
              <w:autoSpaceDN w:val="0"/>
              <w:adjustRightInd w:val="0"/>
              <w:rPr>
                <w:rFonts w:cs="AdvCaeciliaRm"/>
              </w:rPr>
            </w:pPr>
            <w:r>
              <w:rPr>
                <w:rFonts w:cs="AdvCaeciliaRm"/>
              </w:rPr>
              <w:t>Insertions</w:t>
            </w:r>
          </w:p>
        </w:tc>
        <w:tc>
          <w:tcPr>
            <w:tcW w:w="1080" w:type="dxa"/>
          </w:tcPr>
          <w:p w:rsidR="00594549" w:rsidRDefault="00594549" w:rsidP="00713318">
            <w:pPr>
              <w:autoSpaceDE w:val="0"/>
              <w:autoSpaceDN w:val="0"/>
              <w:adjustRightInd w:val="0"/>
              <w:rPr>
                <w:rFonts w:cs="AdvCaeciliaRm"/>
              </w:rPr>
            </w:pPr>
            <w:r>
              <w:rPr>
                <w:rFonts w:cs="AdvCaeciliaRm"/>
              </w:rPr>
              <w:t>Deletions</w:t>
            </w:r>
          </w:p>
        </w:tc>
      </w:tr>
      <w:tr w:rsidR="00594549" w:rsidTr="00594549">
        <w:tc>
          <w:tcPr>
            <w:tcW w:w="1596" w:type="dxa"/>
          </w:tcPr>
          <w:p w:rsidR="00594549" w:rsidRDefault="00594549" w:rsidP="00713318">
            <w:pPr>
              <w:autoSpaceDE w:val="0"/>
              <w:autoSpaceDN w:val="0"/>
              <w:adjustRightInd w:val="0"/>
              <w:rPr>
                <w:rFonts w:cs="AdvCaeciliaRm"/>
              </w:rPr>
            </w:pPr>
            <w:r>
              <w:rPr>
                <w:rFonts w:cs="AdvCaeciliaRm"/>
              </w:rPr>
              <w:t>Boscalid</w:t>
            </w:r>
          </w:p>
        </w:tc>
        <w:tc>
          <w:tcPr>
            <w:tcW w:w="852" w:type="dxa"/>
          </w:tcPr>
          <w:p w:rsidR="00594549" w:rsidRDefault="00594549" w:rsidP="00713318">
            <w:pPr>
              <w:autoSpaceDE w:val="0"/>
              <w:autoSpaceDN w:val="0"/>
              <w:adjustRightInd w:val="0"/>
              <w:rPr>
                <w:rFonts w:cs="AdvCaeciliaRm"/>
              </w:rPr>
            </w:pPr>
            <w:r>
              <w:rPr>
                <w:rFonts w:cs="AdvCaeciliaRm"/>
              </w:rPr>
              <w:t>1</w:t>
            </w:r>
          </w:p>
        </w:tc>
        <w:tc>
          <w:tcPr>
            <w:tcW w:w="900" w:type="dxa"/>
          </w:tcPr>
          <w:p w:rsidR="00594549" w:rsidRDefault="00594549" w:rsidP="00713318">
            <w:pPr>
              <w:autoSpaceDE w:val="0"/>
              <w:autoSpaceDN w:val="0"/>
              <w:adjustRightInd w:val="0"/>
              <w:rPr>
                <w:rFonts w:cs="AdvCaeciliaRm"/>
              </w:rPr>
            </w:pPr>
            <w:r>
              <w:rPr>
                <w:rFonts w:cs="AdvCaeciliaRm"/>
              </w:rPr>
              <w:t>0</w:t>
            </w:r>
          </w:p>
        </w:tc>
        <w:tc>
          <w:tcPr>
            <w:tcW w:w="1260" w:type="dxa"/>
          </w:tcPr>
          <w:p w:rsidR="00594549" w:rsidRDefault="00594549" w:rsidP="00713318">
            <w:pPr>
              <w:autoSpaceDE w:val="0"/>
              <w:autoSpaceDN w:val="0"/>
              <w:adjustRightInd w:val="0"/>
              <w:rPr>
                <w:rFonts w:cs="AdvCaeciliaRm"/>
              </w:rPr>
            </w:pPr>
            <w:r>
              <w:rPr>
                <w:rFonts w:cs="AdvCaeciliaRm"/>
              </w:rPr>
              <w:t>1</w:t>
            </w:r>
          </w:p>
        </w:tc>
        <w:tc>
          <w:tcPr>
            <w:tcW w:w="1170" w:type="dxa"/>
          </w:tcPr>
          <w:p w:rsidR="00594549" w:rsidRDefault="00594549" w:rsidP="00713318">
            <w:pPr>
              <w:autoSpaceDE w:val="0"/>
              <w:autoSpaceDN w:val="0"/>
              <w:adjustRightInd w:val="0"/>
              <w:rPr>
                <w:rFonts w:cs="AdvCaeciliaRm"/>
              </w:rPr>
            </w:pPr>
            <w:r>
              <w:rPr>
                <w:rFonts w:cs="AdvCaeciliaRm"/>
              </w:rPr>
              <w:t>0</w:t>
            </w:r>
          </w:p>
        </w:tc>
        <w:tc>
          <w:tcPr>
            <w:tcW w:w="1080" w:type="dxa"/>
          </w:tcPr>
          <w:p w:rsidR="00594549" w:rsidRDefault="00594549" w:rsidP="00713318">
            <w:pPr>
              <w:autoSpaceDE w:val="0"/>
              <w:autoSpaceDN w:val="0"/>
              <w:adjustRightInd w:val="0"/>
              <w:rPr>
                <w:rFonts w:cs="AdvCaeciliaRm"/>
              </w:rPr>
            </w:pPr>
            <w:r>
              <w:rPr>
                <w:rFonts w:cs="AdvCaeciliaRm"/>
              </w:rPr>
              <w:t>1</w:t>
            </w:r>
          </w:p>
        </w:tc>
      </w:tr>
      <w:tr w:rsidR="00594549" w:rsidTr="00594549">
        <w:tc>
          <w:tcPr>
            <w:tcW w:w="1596" w:type="dxa"/>
          </w:tcPr>
          <w:p w:rsidR="00594549" w:rsidRDefault="00594549" w:rsidP="00713318">
            <w:pPr>
              <w:autoSpaceDE w:val="0"/>
              <w:autoSpaceDN w:val="0"/>
              <w:adjustRightInd w:val="0"/>
              <w:rPr>
                <w:rFonts w:cs="AdvCaeciliaRm"/>
              </w:rPr>
            </w:pPr>
            <w:r>
              <w:rPr>
                <w:rFonts w:cs="AdvCaeciliaRm"/>
              </w:rPr>
              <w:t>Iprodione</w:t>
            </w:r>
          </w:p>
        </w:tc>
        <w:tc>
          <w:tcPr>
            <w:tcW w:w="852" w:type="dxa"/>
          </w:tcPr>
          <w:p w:rsidR="00594549" w:rsidRDefault="00594549" w:rsidP="00713318">
            <w:pPr>
              <w:autoSpaceDE w:val="0"/>
              <w:autoSpaceDN w:val="0"/>
              <w:adjustRightInd w:val="0"/>
              <w:rPr>
                <w:rFonts w:cs="AdvCaeciliaRm"/>
              </w:rPr>
            </w:pPr>
            <w:r>
              <w:rPr>
                <w:rFonts w:cs="AdvCaeciliaRm"/>
              </w:rPr>
              <w:t>3</w:t>
            </w:r>
          </w:p>
        </w:tc>
        <w:tc>
          <w:tcPr>
            <w:tcW w:w="900" w:type="dxa"/>
          </w:tcPr>
          <w:p w:rsidR="00594549" w:rsidRDefault="00594549" w:rsidP="00713318">
            <w:pPr>
              <w:autoSpaceDE w:val="0"/>
              <w:autoSpaceDN w:val="0"/>
              <w:adjustRightInd w:val="0"/>
              <w:rPr>
                <w:rFonts w:cs="AdvCaeciliaRm"/>
              </w:rPr>
            </w:pPr>
            <w:r>
              <w:rPr>
                <w:rFonts w:cs="AdvCaeciliaRm"/>
              </w:rPr>
              <w:t>2</w:t>
            </w:r>
          </w:p>
        </w:tc>
        <w:tc>
          <w:tcPr>
            <w:tcW w:w="1260" w:type="dxa"/>
          </w:tcPr>
          <w:p w:rsidR="00594549" w:rsidRDefault="00594549" w:rsidP="00713318">
            <w:pPr>
              <w:autoSpaceDE w:val="0"/>
              <w:autoSpaceDN w:val="0"/>
              <w:adjustRightInd w:val="0"/>
              <w:rPr>
                <w:rFonts w:cs="AdvCaeciliaRm"/>
              </w:rPr>
            </w:pPr>
            <w:r>
              <w:rPr>
                <w:rFonts w:cs="AdvCaeciliaRm"/>
              </w:rPr>
              <w:t>5</w:t>
            </w:r>
          </w:p>
        </w:tc>
        <w:tc>
          <w:tcPr>
            <w:tcW w:w="1170" w:type="dxa"/>
          </w:tcPr>
          <w:p w:rsidR="00594549" w:rsidRDefault="00594549" w:rsidP="00713318">
            <w:pPr>
              <w:autoSpaceDE w:val="0"/>
              <w:autoSpaceDN w:val="0"/>
              <w:adjustRightInd w:val="0"/>
              <w:rPr>
                <w:rFonts w:cs="AdvCaeciliaRm"/>
              </w:rPr>
            </w:pPr>
            <w:r>
              <w:rPr>
                <w:rFonts w:cs="AdvCaeciliaRm"/>
              </w:rPr>
              <w:t>1</w:t>
            </w:r>
          </w:p>
        </w:tc>
        <w:tc>
          <w:tcPr>
            <w:tcW w:w="1080" w:type="dxa"/>
          </w:tcPr>
          <w:p w:rsidR="00594549" w:rsidRDefault="00594549" w:rsidP="00713318">
            <w:pPr>
              <w:autoSpaceDE w:val="0"/>
              <w:autoSpaceDN w:val="0"/>
              <w:adjustRightInd w:val="0"/>
              <w:rPr>
                <w:rFonts w:cs="AdvCaeciliaRm"/>
              </w:rPr>
            </w:pPr>
            <w:r>
              <w:rPr>
                <w:rFonts w:cs="AdvCaeciliaRm"/>
              </w:rPr>
              <w:t>4</w:t>
            </w:r>
          </w:p>
        </w:tc>
      </w:tr>
      <w:tr w:rsidR="00594549" w:rsidTr="00594549">
        <w:tc>
          <w:tcPr>
            <w:tcW w:w="1596" w:type="dxa"/>
          </w:tcPr>
          <w:p w:rsidR="00594549" w:rsidRDefault="00594549" w:rsidP="00713318">
            <w:pPr>
              <w:autoSpaceDE w:val="0"/>
              <w:autoSpaceDN w:val="0"/>
              <w:adjustRightInd w:val="0"/>
              <w:rPr>
                <w:rFonts w:cs="AdvCaeciliaRm"/>
              </w:rPr>
            </w:pPr>
            <w:r>
              <w:rPr>
                <w:rFonts w:cs="AdvCaeciliaRm"/>
              </w:rPr>
              <w:t>Thiophanate methyl</w:t>
            </w:r>
          </w:p>
        </w:tc>
        <w:tc>
          <w:tcPr>
            <w:tcW w:w="852" w:type="dxa"/>
          </w:tcPr>
          <w:p w:rsidR="00594549" w:rsidRDefault="00594549" w:rsidP="00713318">
            <w:pPr>
              <w:autoSpaceDE w:val="0"/>
              <w:autoSpaceDN w:val="0"/>
              <w:adjustRightInd w:val="0"/>
              <w:rPr>
                <w:rFonts w:cs="AdvCaeciliaRm"/>
              </w:rPr>
            </w:pPr>
            <w:r>
              <w:rPr>
                <w:rFonts w:cs="AdvCaeciliaRm"/>
              </w:rPr>
              <w:t>4</w:t>
            </w:r>
          </w:p>
        </w:tc>
        <w:tc>
          <w:tcPr>
            <w:tcW w:w="900" w:type="dxa"/>
          </w:tcPr>
          <w:p w:rsidR="00594549" w:rsidRDefault="00594549" w:rsidP="00713318">
            <w:pPr>
              <w:autoSpaceDE w:val="0"/>
              <w:autoSpaceDN w:val="0"/>
              <w:adjustRightInd w:val="0"/>
              <w:rPr>
                <w:rFonts w:cs="AdvCaeciliaRm"/>
              </w:rPr>
            </w:pPr>
            <w:r>
              <w:rPr>
                <w:rFonts w:cs="AdvCaeciliaRm"/>
              </w:rPr>
              <w:t>2</w:t>
            </w:r>
          </w:p>
        </w:tc>
        <w:tc>
          <w:tcPr>
            <w:tcW w:w="1260" w:type="dxa"/>
          </w:tcPr>
          <w:p w:rsidR="00594549" w:rsidRDefault="00594549" w:rsidP="00713318">
            <w:pPr>
              <w:autoSpaceDE w:val="0"/>
              <w:autoSpaceDN w:val="0"/>
              <w:adjustRightInd w:val="0"/>
              <w:rPr>
                <w:rFonts w:cs="AdvCaeciliaRm"/>
              </w:rPr>
            </w:pPr>
            <w:r>
              <w:rPr>
                <w:rFonts w:cs="AdvCaeciliaRm"/>
              </w:rPr>
              <w:t>6</w:t>
            </w:r>
          </w:p>
        </w:tc>
        <w:tc>
          <w:tcPr>
            <w:tcW w:w="1170" w:type="dxa"/>
          </w:tcPr>
          <w:p w:rsidR="00594549" w:rsidRDefault="00594549" w:rsidP="00713318">
            <w:pPr>
              <w:autoSpaceDE w:val="0"/>
              <w:autoSpaceDN w:val="0"/>
              <w:adjustRightInd w:val="0"/>
              <w:rPr>
                <w:rFonts w:cs="AdvCaeciliaRm"/>
              </w:rPr>
            </w:pPr>
            <w:r>
              <w:rPr>
                <w:rFonts w:cs="AdvCaeciliaRm"/>
              </w:rPr>
              <w:t>5</w:t>
            </w:r>
          </w:p>
        </w:tc>
        <w:tc>
          <w:tcPr>
            <w:tcW w:w="1080" w:type="dxa"/>
          </w:tcPr>
          <w:p w:rsidR="00594549" w:rsidRDefault="00594549" w:rsidP="00713318">
            <w:pPr>
              <w:autoSpaceDE w:val="0"/>
              <w:autoSpaceDN w:val="0"/>
              <w:adjustRightInd w:val="0"/>
              <w:rPr>
                <w:rFonts w:cs="AdvCaeciliaRm"/>
              </w:rPr>
            </w:pPr>
            <w:r>
              <w:rPr>
                <w:rFonts w:cs="AdvCaeciliaRm"/>
              </w:rPr>
              <w:t>1</w:t>
            </w:r>
          </w:p>
        </w:tc>
      </w:tr>
      <w:tr w:rsidR="00594549" w:rsidTr="00594549">
        <w:tc>
          <w:tcPr>
            <w:tcW w:w="1596" w:type="dxa"/>
          </w:tcPr>
          <w:p w:rsidR="00594549" w:rsidRDefault="00594549" w:rsidP="00713318">
            <w:pPr>
              <w:autoSpaceDE w:val="0"/>
              <w:autoSpaceDN w:val="0"/>
              <w:adjustRightInd w:val="0"/>
              <w:rPr>
                <w:rFonts w:cs="AdvCaeciliaRm"/>
              </w:rPr>
            </w:pPr>
            <w:r>
              <w:rPr>
                <w:rFonts w:cs="AdvCaeciliaRm"/>
              </w:rPr>
              <w:t>Azoxystrobin</w:t>
            </w:r>
          </w:p>
        </w:tc>
        <w:tc>
          <w:tcPr>
            <w:tcW w:w="852" w:type="dxa"/>
          </w:tcPr>
          <w:p w:rsidR="00594549" w:rsidRDefault="00594549" w:rsidP="00713318">
            <w:pPr>
              <w:autoSpaceDE w:val="0"/>
              <w:autoSpaceDN w:val="0"/>
              <w:adjustRightInd w:val="0"/>
              <w:rPr>
                <w:rFonts w:cs="AdvCaeciliaRm"/>
              </w:rPr>
            </w:pPr>
            <w:r>
              <w:rPr>
                <w:rFonts w:cs="AdvCaeciliaRm"/>
              </w:rPr>
              <w:t>1</w:t>
            </w:r>
          </w:p>
        </w:tc>
        <w:tc>
          <w:tcPr>
            <w:tcW w:w="900" w:type="dxa"/>
          </w:tcPr>
          <w:p w:rsidR="00594549" w:rsidRDefault="00594549" w:rsidP="00713318">
            <w:pPr>
              <w:autoSpaceDE w:val="0"/>
              <w:autoSpaceDN w:val="0"/>
              <w:adjustRightInd w:val="0"/>
              <w:rPr>
                <w:rFonts w:cs="AdvCaeciliaRm"/>
              </w:rPr>
            </w:pPr>
            <w:r>
              <w:rPr>
                <w:rFonts w:cs="AdvCaeciliaRm"/>
              </w:rPr>
              <w:t>2</w:t>
            </w:r>
          </w:p>
        </w:tc>
        <w:tc>
          <w:tcPr>
            <w:tcW w:w="1260" w:type="dxa"/>
          </w:tcPr>
          <w:p w:rsidR="00594549" w:rsidRDefault="00594549" w:rsidP="00713318">
            <w:pPr>
              <w:autoSpaceDE w:val="0"/>
              <w:autoSpaceDN w:val="0"/>
              <w:adjustRightInd w:val="0"/>
              <w:rPr>
                <w:rFonts w:cs="AdvCaeciliaRm"/>
              </w:rPr>
            </w:pPr>
            <w:r>
              <w:rPr>
                <w:rFonts w:cs="AdvCaeciliaRm"/>
              </w:rPr>
              <w:t>3</w:t>
            </w:r>
          </w:p>
        </w:tc>
        <w:tc>
          <w:tcPr>
            <w:tcW w:w="1170" w:type="dxa"/>
          </w:tcPr>
          <w:p w:rsidR="00594549" w:rsidRDefault="00594549" w:rsidP="00713318">
            <w:pPr>
              <w:autoSpaceDE w:val="0"/>
              <w:autoSpaceDN w:val="0"/>
              <w:adjustRightInd w:val="0"/>
              <w:rPr>
                <w:rFonts w:cs="AdvCaeciliaRm"/>
              </w:rPr>
            </w:pPr>
            <w:r>
              <w:rPr>
                <w:rFonts w:cs="AdvCaeciliaRm"/>
              </w:rPr>
              <w:t>2</w:t>
            </w:r>
          </w:p>
        </w:tc>
        <w:tc>
          <w:tcPr>
            <w:tcW w:w="1080" w:type="dxa"/>
          </w:tcPr>
          <w:p w:rsidR="00594549" w:rsidRDefault="00594549" w:rsidP="00713318">
            <w:pPr>
              <w:autoSpaceDE w:val="0"/>
              <w:autoSpaceDN w:val="0"/>
              <w:adjustRightInd w:val="0"/>
              <w:rPr>
                <w:rFonts w:cs="AdvCaeciliaRm"/>
              </w:rPr>
            </w:pPr>
            <w:r>
              <w:rPr>
                <w:rFonts w:cs="AdvCaeciliaRm"/>
              </w:rPr>
              <w:t>1</w:t>
            </w:r>
          </w:p>
        </w:tc>
      </w:tr>
      <w:tr w:rsidR="00594549" w:rsidTr="00594549">
        <w:tc>
          <w:tcPr>
            <w:tcW w:w="1596" w:type="dxa"/>
          </w:tcPr>
          <w:p w:rsidR="00594549" w:rsidRDefault="00594549" w:rsidP="00713318">
            <w:pPr>
              <w:autoSpaceDE w:val="0"/>
              <w:autoSpaceDN w:val="0"/>
              <w:adjustRightInd w:val="0"/>
              <w:rPr>
                <w:rFonts w:cs="AdvCaeciliaRm"/>
              </w:rPr>
            </w:pPr>
            <w:r>
              <w:rPr>
                <w:rFonts w:cs="AdvCaeciliaRm"/>
              </w:rPr>
              <w:t>Pyraclostrobin</w:t>
            </w:r>
          </w:p>
        </w:tc>
        <w:tc>
          <w:tcPr>
            <w:tcW w:w="852" w:type="dxa"/>
          </w:tcPr>
          <w:p w:rsidR="00594549" w:rsidRDefault="00594549" w:rsidP="00713318">
            <w:pPr>
              <w:autoSpaceDE w:val="0"/>
              <w:autoSpaceDN w:val="0"/>
              <w:adjustRightInd w:val="0"/>
              <w:rPr>
                <w:rFonts w:cs="AdvCaeciliaRm"/>
              </w:rPr>
            </w:pPr>
            <w:r>
              <w:rPr>
                <w:rFonts w:cs="AdvCaeciliaRm"/>
              </w:rPr>
              <w:t>2</w:t>
            </w:r>
          </w:p>
        </w:tc>
        <w:tc>
          <w:tcPr>
            <w:tcW w:w="900" w:type="dxa"/>
          </w:tcPr>
          <w:p w:rsidR="00594549" w:rsidRDefault="00594549" w:rsidP="00713318">
            <w:pPr>
              <w:autoSpaceDE w:val="0"/>
              <w:autoSpaceDN w:val="0"/>
              <w:adjustRightInd w:val="0"/>
              <w:rPr>
                <w:rFonts w:cs="AdvCaeciliaRm"/>
              </w:rPr>
            </w:pPr>
            <w:r>
              <w:rPr>
                <w:rFonts w:cs="AdvCaeciliaRm"/>
              </w:rPr>
              <w:t>0</w:t>
            </w:r>
          </w:p>
        </w:tc>
        <w:tc>
          <w:tcPr>
            <w:tcW w:w="1260" w:type="dxa"/>
          </w:tcPr>
          <w:p w:rsidR="00594549" w:rsidRDefault="00594549" w:rsidP="00713318">
            <w:pPr>
              <w:autoSpaceDE w:val="0"/>
              <w:autoSpaceDN w:val="0"/>
              <w:adjustRightInd w:val="0"/>
              <w:rPr>
                <w:rFonts w:cs="AdvCaeciliaRm"/>
              </w:rPr>
            </w:pPr>
            <w:r>
              <w:rPr>
                <w:rFonts w:cs="AdvCaeciliaRm"/>
              </w:rPr>
              <w:t>2</w:t>
            </w:r>
          </w:p>
        </w:tc>
        <w:tc>
          <w:tcPr>
            <w:tcW w:w="1170" w:type="dxa"/>
          </w:tcPr>
          <w:p w:rsidR="00594549" w:rsidRDefault="00594549" w:rsidP="00713318">
            <w:pPr>
              <w:autoSpaceDE w:val="0"/>
              <w:autoSpaceDN w:val="0"/>
              <w:adjustRightInd w:val="0"/>
              <w:rPr>
                <w:rFonts w:cs="AdvCaeciliaRm"/>
              </w:rPr>
            </w:pPr>
            <w:r>
              <w:rPr>
                <w:rFonts w:cs="AdvCaeciliaRm"/>
              </w:rPr>
              <w:t>2</w:t>
            </w:r>
          </w:p>
        </w:tc>
        <w:tc>
          <w:tcPr>
            <w:tcW w:w="1080" w:type="dxa"/>
          </w:tcPr>
          <w:p w:rsidR="00594549" w:rsidRDefault="00594549" w:rsidP="00713318">
            <w:pPr>
              <w:autoSpaceDE w:val="0"/>
              <w:autoSpaceDN w:val="0"/>
              <w:adjustRightInd w:val="0"/>
              <w:rPr>
                <w:rFonts w:cs="AdvCaeciliaRm"/>
              </w:rPr>
            </w:pPr>
            <w:r>
              <w:rPr>
                <w:rFonts w:cs="AdvCaeciliaRm"/>
              </w:rPr>
              <w:t>0</w:t>
            </w:r>
          </w:p>
        </w:tc>
      </w:tr>
    </w:tbl>
    <w:p w:rsidR="00594549" w:rsidRDefault="00594549" w:rsidP="00713318">
      <w:pPr>
        <w:autoSpaceDE w:val="0"/>
        <w:autoSpaceDN w:val="0"/>
        <w:adjustRightInd w:val="0"/>
        <w:spacing w:after="0" w:line="240" w:lineRule="auto"/>
        <w:rPr>
          <w:rFonts w:cs="AdvCaeciliaRm"/>
        </w:rPr>
      </w:pPr>
    </w:p>
    <w:p w:rsidR="00F3000E" w:rsidRDefault="00F3000E" w:rsidP="00713318">
      <w:pPr>
        <w:autoSpaceDE w:val="0"/>
        <w:autoSpaceDN w:val="0"/>
        <w:adjustRightInd w:val="0"/>
        <w:spacing w:after="0" w:line="240" w:lineRule="auto"/>
        <w:rPr>
          <w:rFonts w:cs="AdvCaeciliaRm"/>
        </w:rPr>
      </w:pPr>
    </w:p>
    <w:p w:rsidR="00F3000E" w:rsidRDefault="00F3000E" w:rsidP="00713318">
      <w:pPr>
        <w:autoSpaceDE w:val="0"/>
        <w:autoSpaceDN w:val="0"/>
        <w:adjustRightInd w:val="0"/>
        <w:spacing w:after="0" w:line="240" w:lineRule="auto"/>
        <w:rPr>
          <w:rFonts w:cs="AdvCaeciliaRm"/>
        </w:rPr>
      </w:pPr>
    </w:p>
    <w:p w:rsidR="00D85F25" w:rsidRDefault="00D85F25" w:rsidP="00713318">
      <w:pPr>
        <w:autoSpaceDE w:val="0"/>
        <w:autoSpaceDN w:val="0"/>
        <w:adjustRightInd w:val="0"/>
        <w:spacing w:after="0" w:line="240" w:lineRule="auto"/>
        <w:rPr>
          <w:rFonts w:cs="AdvCaeciliaRm"/>
        </w:rPr>
      </w:pPr>
      <w:r>
        <w:rPr>
          <w:rFonts w:cs="AdvCaeciliaRm"/>
        </w:rPr>
        <w:t>References</w:t>
      </w:r>
    </w:p>
    <w:p w:rsidR="006973A6" w:rsidRDefault="006973A6" w:rsidP="00713318">
      <w:pPr>
        <w:autoSpaceDE w:val="0"/>
        <w:autoSpaceDN w:val="0"/>
        <w:adjustRightInd w:val="0"/>
        <w:spacing w:after="0" w:line="240" w:lineRule="auto"/>
        <w:rPr>
          <w:rFonts w:cs="AdvCaeciliaRm"/>
        </w:rPr>
      </w:pPr>
    </w:p>
    <w:p w:rsidR="00FB6EF0" w:rsidRDefault="00FB6EF0" w:rsidP="00FB6EF0">
      <w:pPr>
        <w:pStyle w:val="NoSpacing"/>
        <w:rPr>
          <w:noProof/>
        </w:rPr>
      </w:pPr>
      <w:bookmarkStart w:id="1" w:name="_ENREF_33"/>
      <w:r>
        <w:rPr>
          <w:noProof/>
        </w:rPr>
        <w:t>Bartlett, D.W., Clough, J.M., Godwin, J.R., Hall, A.A., Hamer, M and Parr-Dobrzanski B. 2002. The strobilurin fungicides. Pest Manag Sci 58:649-662. DOI:10.1002/ps.520</w:t>
      </w:r>
    </w:p>
    <w:p w:rsidR="00FB6EF0" w:rsidRDefault="00FB6EF0" w:rsidP="00FB6EF0">
      <w:pPr>
        <w:pStyle w:val="NoSpacing"/>
        <w:rPr>
          <w:noProof/>
        </w:rPr>
      </w:pPr>
    </w:p>
    <w:p w:rsidR="000E1912" w:rsidRDefault="000E1912" w:rsidP="0082625E">
      <w:pPr>
        <w:pStyle w:val="NoSpacing"/>
        <w:rPr>
          <w:noProof/>
        </w:rPr>
      </w:pPr>
      <w:r w:rsidRPr="000E1912">
        <w:rPr>
          <w:noProof/>
        </w:rPr>
        <w:t>Avenot HF, Michailides TJ 2010. Progress in understanding molecular mechanisms and evolution of resistance to succinate dehydrogenase inhibiting (SDHI) fungicides in phytopathogenic fungi. Crop Protection 29:643-651.</w:t>
      </w:r>
    </w:p>
    <w:p w:rsidR="000E1912" w:rsidRDefault="000E1912" w:rsidP="0082625E">
      <w:pPr>
        <w:pStyle w:val="NoSpacing"/>
        <w:rPr>
          <w:noProof/>
        </w:rPr>
      </w:pPr>
    </w:p>
    <w:p w:rsidR="00601A2F" w:rsidRDefault="00601A2F" w:rsidP="0082625E">
      <w:pPr>
        <w:pStyle w:val="NoSpacing"/>
        <w:rPr>
          <w:noProof/>
        </w:rPr>
      </w:pPr>
      <w:r w:rsidRPr="00601A2F">
        <w:rPr>
          <w:noProof/>
        </w:rPr>
        <w:t>Ma, Z and Michailides, T. J.(2005).Advances in understanding molecular mechanisms of fungicide resistance and molecular detection of resistant genotypes in phytopathogenic fungi. Crop Protection 24, 853–863</w:t>
      </w:r>
    </w:p>
    <w:p w:rsidR="00601A2F" w:rsidRDefault="00601A2F" w:rsidP="0082625E">
      <w:pPr>
        <w:pStyle w:val="NoSpacing"/>
        <w:rPr>
          <w:noProof/>
        </w:rPr>
      </w:pPr>
    </w:p>
    <w:p w:rsidR="008D2537" w:rsidRDefault="008D2537" w:rsidP="0082625E">
      <w:pPr>
        <w:pStyle w:val="NoSpacing"/>
        <w:rPr>
          <w:noProof/>
        </w:rPr>
      </w:pPr>
      <w:r w:rsidRPr="008D2537">
        <w:rPr>
          <w:noProof/>
        </w:rPr>
        <w:t>Davidse, L. C. 1986.BENZIMIDAZOLE FUNGICIDES: MECHANISM OF ACTION AND BIOLOGICAL IMPACT. Ann. Rev. Phytopathol. 1986. 24:43-65</w:t>
      </w:r>
    </w:p>
    <w:p w:rsidR="008D2537" w:rsidRDefault="008D2537" w:rsidP="0082625E">
      <w:pPr>
        <w:pStyle w:val="NoSpacing"/>
        <w:rPr>
          <w:noProof/>
        </w:rPr>
      </w:pPr>
    </w:p>
    <w:p w:rsidR="0082625E" w:rsidRDefault="0082625E" w:rsidP="0082625E">
      <w:pPr>
        <w:pStyle w:val="NoSpacing"/>
        <w:rPr>
          <w:noProof/>
        </w:rPr>
      </w:pPr>
      <w:r w:rsidRPr="00BF4845">
        <w:rPr>
          <w:noProof/>
        </w:rPr>
        <w:t>33. Wright S (1978) Evolution and the Genetics of Populations. Variability within and among natural populations. Vol 4. The University of Chicago Press, Chicago.</w:t>
      </w:r>
      <w:bookmarkEnd w:id="1"/>
    </w:p>
    <w:p w:rsidR="0082625E" w:rsidRPr="00BF4845" w:rsidRDefault="0082625E" w:rsidP="0082625E">
      <w:pPr>
        <w:pStyle w:val="NoSpacing"/>
        <w:rPr>
          <w:noProof/>
        </w:rPr>
      </w:pPr>
    </w:p>
    <w:p w:rsidR="0082625E" w:rsidRPr="00BF4845" w:rsidRDefault="0082625E" w:rsidP="0082625E">
      <w:pPr>
        <w:rPr>
          <w:noProof/>
        </w:rPr>
      </w:pPr>
      <w:bookmarkStart w:id="2" w:name="_ENREF_34"/>
      <w:r w:rsidRPr="00BF4845">
        <w:rPr>
          <w:noProof/>
        </w:rPr>
        <w:t xml:space="preserve">34. Balloux F, Ugon-Moulin N (2002) The estimation of population differentiation with microsatellite markers. </w:t>
      </w:r>
      <w:r w:rsidRPr="00BF4845">
        <w:t>Molecular Ecology</w:t>
      </w:r>
      <w:r w:rsidRPr="00BF4845">
        <w:rPr>
          <w:noProof/>
        </w:rPr>
        <w:t xml:space="preserve"> 11: 155-165.</w:t>
      </w:r>
      <w:bookmarkEnd w:id="2"/>
    </w:p>
    <w:p w:rsidR="00E93FF4" w:rsidRDefault="00E93FF4" w:rsidP="00E93FF4">
      <w:pPr>
        <w:autoSpaceDE w:val="0"/>
        <w:autoSpaceDN w:val="0"/>
        <w:adjustRightInd w:val="0"/>
        <w:spacing w:after="0" w:line="240" w:lineRule="auto"/>
        <w:rPr>
          <w:rFonts w:cs="AdvCaeciliaRm"/>
        </w:rPr>
      </w:pPr>
      <w:r w:rsidRPr="00E93FF4">
        <w:rPr>
          <w:rFonts w:cs="AdvCaeciliaRm"/>
        </w:rPr>
        <w:t xml:space="preserve">R. R. </w:t>
      </w:r>
      <w:proofErr w:type="spellStart"/>
      <w:r w:rsidRPr="00E93FF4">
        <w:rPr>
          <w:rFonts w:cs="AdvCaeciliaRm"/>
        </w:rPr>
        <w:t>Sokal</w:t>
      </w:r>
      <w:proofErr w:type="spellEnd"/>
      <w:r w:rsidRPr="00E93FF4">
        <w:rPr>
          <w:rFonts w:cs="AdvCaeciliaRm"/>
        </w:rPr>
        <w:t>, C. D. Michener, A statistical method for evaluating systematic</w:t>
      </w:r>
      <w:r>
        <w:rPr>
          <w:rFonts w:cs="AdvCaeciliaRm"/>
        </w:rPr>
        <w:t xml:space="preserve"> </w:t>
      </w:r>
      <w:r w:rsidRPr="00E93FF4">
        <w:rPr>
          <w:rFonts w:cs="AdvCaeciliaRm"/>
        </w:rPr>
        <w:t>relationships, Univ. Kansas. Sci. Bull. 38 (1958) 1409-1438.</w:t>
      </w:r>
    </w:p>
    <w:p w:rsidR="00E93FF4" w:rsidRDefault="00E93FF4" w:rsidP="00E93FF4">
      <w:pPr>
        <w:autoSpaceDE w:val="0"/>
        <w:autoSpaceDN w:val="0"/>
        <w:adjustRightInd w:val="0"/>
        <w:spacing w:after="0" w:line="240" w:lineRule="auto"/>
        <w:rPr>
          <w:rFonts w:cs="AdvCaeciliaRm"/>
        </w:rPr>
      </w:pPr>
    </w:p>
    <w:p w:rsidR="000152D2" w:rsidRDefault="000152D2" w:rsidP="00713318">
      <w:pPr>
        <w:autoSpaceDE w:val="0"/>
        <w:autoSpaceDN w:val="0"/>
        <w:adjustRightInd w:val="0"/>
        <w:spacing w:after="0" w:line="240" w:lineRule="auto"/>
        <w:rPr>
          <w:rFonts w:cs="AdvCaeciliaRm"/>
        </w:rPr>
      </w:pPr>
      <w:r w:rsidRPr="000152D2">
        <w:rPr>
          <w:rFonts w:cs="AdvCaeciliaRm"/>
        </w:rPr>
        <w:t>Rogers, J.S. (1972) Measures of genetic similarity and genetic distances. Studies in Genetics, Univ. Texas Publ., 7213, 145-153.</w:t>
      </w:r>
    </w:p>
    <w:p w:rsidR="000152D2" w:rsidRDefault="000152D2" w:rsidP="00713318">
      <w:pPr>
        <w:autoSpaceDE w:val="0"/>
        <w:autoSpaceDN w:val="0"/>
        <w:adjustRightInd w:val="0"/>
        <w:spacing w:after="0" w:line="240" w:lineRule="auto"/>
        <w:rPr>
          <w:rFonts w:cs="AdvCaeciliaRm"/>
        </w:rPr>
      </w:pPr>
    </w:p>
    <w:p w:rsidR="00330E3A" w:rsidRDefault="006973A6" w:rsidP="00713318">
      <w:pPr>
        <w:autoSpaceDE w:val="0"/>
        <w:autoSpaceDN w:val="0"/>
        <w:adjustRightInd w:val="0"/>
        <w:spacing w:after="0" w:line="240" w:lineRule="auto"/>
        <w:rPr>
          <w:rFonts w:cs="AdvCaeciliaRm"/>
        </w:rPr>
      </w:pPr>
      <w:proofErr w:type="spellStart"/>
      <w:r w:rsidRPr="006973A6">
        <w:rPr>
          <w:rFonts w:cs="AdvCaeciliaRm"/>
        </w:rPr>
        <w:t>Jombart</w:t>
      </w:r>
      <w:proofErr w:type="spellEnd"/>
      <w:r w:rsidRPr="006973A6">
        <w:rPr>
          <w:rFonts w:cs="AdvCaeciliaRm"/>
        </w:rPr>
        <w:t xml:space="preserve">, T, </w:t>
      </w:r>
      <w:proofErr w:type="spellStart"/>
      <w:r w:rsidRPr="006973A6">
        <w:rPr>
          <w:rFonts w:cs="AdvCaeciliaRm"/>
        </w:rPr>
        <w:t>Devillard</w:t>
      </w:r>
      <w:proofErr w:type="spellEnd"/>
      <w:r w:rsidRPr="006973A6">
        <w:rPr>
          <w:rFonts w:cs="AdvCaeciliaRm"/>
        </w:rPr>
        <w:t xml:space="preserve"> S, and </w:t>
      </w:r>
      <w:proofErr w:type="spellStart"/>
      <w:r w:rsidRPr="006973A6">
        <w:rPr>
          <w:rFonts w:cs="AdvCaeciliaRm"/>
        </w:rPr>
        <w:t>Balloux</w:t>
      </w:r>
      <w:proofErr w:type="spellEnd"/>
      <w:r w:rsidRPr="006973A6">
        <w:rPr>
          <w:rFonts w:cs="AdvCaeciliaRm"/>
        </w:rPr>
        <w:t xml:space="preserve"> F. 2010. Discriminant analysis of principal components: a new method for the analysis of genetically structured populations. BMC Genetics. 11:94. DOI: 10.1186/1471-2156-11-94</w:t>
      </w:r>
    </w:p>
    <w:p w:rsidR="006973A6" w:rsidRDefault="006973A6" w:rsidP="00713318">
      <w:pPr>
        <w:autoSpaceDE w:val="0"/>
        <w:autoSpaceDN w:val="0"/>
        <w:adjustRightInd w:val="0"/>
        <w:spacing w:after="0" w:line="240" w:lineRule="auto"/>
        <w:rPr>
          <w:rFonts w:cs="AdvCaeciliaRm"/>
        </w:rPr>
      </w:pPr>
    </w:p>
    <w:p w:rsidR="00FB4D39" w:rsidRDefault="00392732" w:rsidP="00713318">
      <w:pPr>
        <w:autoSpaceDE w:val="0"/>
        <w:autoSpaceDN w:val="0"/>
        <w:adjustRightInd w:val="0"/>
        <w:spacing w:after="0" w:line="240" w:lineRule="auto"/>
        <w:rPr>
          <w:rFonts w:cs="AdvCaeciliaRm"/>
        </w:rPr>
      </w:pPr>
      <w:proofErr w:type="spellStart"/>
      <w:r>
        <w:rPr>
          <w:rFonts w:cs="AdvCaeciliaRm"/>
        </w:rPr>
        <w:t>Zuur</w:t>
      </w:r>
      <w:proofErr w:type="spellEnd"/>
      <w:r>
        <w:rPr>
          <w:rFonts w:cs="AdvCaeciliaRm"/>
        </w:rPr>
        <w:t xml:space="preserve"> AF, Leno EN, Smith GM. </w:t>
      </w:r>
      <w:proofErr w:type="spellStart"/>
      <w:r w:rsidR="00C51DEA">
        <w:rPr>
          <w:rFonts w:cs="AdvCaeciliaRm"/>
        </w:rPr>
        <w:t>Analysing</w:t>
      </w:r>
      <w:proofErr w:type="spellEnd"/>
      <w:r w:rsidR="00C51DEA">
        <w:rPr>
          <w:rFonts w:cs="AdvCaeciliaRm"/>
        </w:rPr>
        <w:t xml:space="preserve"> Ecological data. (2007)</w:t>
      </w:r>
      <w:r>
        <w:rPr>
          <w:rFonts w:cs="AdvCaeciliaRm"/>
        </w:rPr>
        <w:t>.</w:t>
      </w:r>
      <w:r w:rsidR="00C51DEA">
        <w:rPr>
          <w:rFonts w:cs="AdvCaeciliaRm"/>
        </w:rPr>
        <w:t xml:space="preserve"> pp 259-264. Springer, New York</w:t>
      </w:r>
      <w:r w:rsidR="00D9031F">
        <w:rPr>
          <w:rFonts w:cs="AdvCaeciliaRm"/>
        </w:rPr>
        <w:t xml:space="preserve">. </w:t>
      </w:r>
      <w:r w:rsidR="00D9031F">
        <w:t xml:space="preserve">ISBN: </w:t>
      </w:r>
      <w:r w:rsidR="00D9031F">
        <w:rPr>
          <w:rStyle w:val="pissn"/>
        </w:rPr>
        <w:t xml:space="preserve">978-0-387-45967-7 (Print) </w:t>
      </w:r>
      <w:r w:rsidR="00D9031F">
        <w:rPr>
          <w:rStyle w:val="eissn"/>
        </w:rPr>
        <w:t>978-0-387-45972-1 (Online)</w:t>
      </w:r>
    </w:p>
    <w:p w:rsidR="00C51DEA" w:rsidRDefault="00C51DEA" w:rsidP="009D323F">
      <w:pPr>
        <w:autoSpaceDE w:val="0"/>
        <w:autoSpaceDN w:val="0"/>
        <w:adjustRightInd w:val="0"/>
        <w:spacing w:after="0" w:line="240" w:lineRule="auto"/>
        <w:rPr>
          <w:rFonts w:cs="AdvCaeciliaRm"/>
        </w:rPr>
      </w:pPr>
    </w:p>
    <w:p w:rsidR="009D323F" w:rsidRPr="009D323F" w:rsidRDefault="009D323F" w:rsidP="009D323F">
      <w:pPr>
        <w:autoSpaceDE w:val="0"/>
        <w:autoSpaceDN w:val="0"/>
        <w:adjustRightInd w:val="0"/>
        <w:spacing w:after="0" w:line="240" w:lineRule="auto"/>
        <w:rPr>
          <w:rFonts w:cs="AdvCaeciliaRm"/>
        </w:rPr>
      </w:pPr>
      <w:proofErr w:type="spellStart"/>
      <w:r w:rsidRPr="009D323F">
        <w:rPr>
          <w:rFonts w:cs="AdvCaeciliaRm"/>
        </w:rPr>
        <w:t>Jombart</w:t>
      </w:r>
      <w:proofErr w:type="spellEnd"/>
      <w:r w:rsidRPr="009D323F">
        <w:rPr>
          <w:rFonts w:cs="AdvCaeciliaRm"/>
        </w:rPr>
        <w:t xml:space="preserve">, T. (2008) </w:t>
      </w:r>
      <w:proofErr w:type="spellStart"/>
      <w:r w:rsidRPr="009D323F">
        <w:rPr>
          <w:rFonts w:cs="AdvCaeciliaRm"/>
        </w:rPr>
        <w:t>adegenet</w:t>
      </w:r>
      <w:proofErr w:type="spellEnd"/>
      <w:r w:rsidRPr="009D323F">
        <w:rPr>
          <w:rFonts w:cs="AdvCaeciliaRm"/>
        </w:rPr>
        <w:t xml:space="preserve">: </w:t>
      </w:r>
      <w:proofErr w:type="gramStart"/>
      <w:r w:rsidRPr="009D323F">
        <w:rPr>
          <w:rFonts w:cs="AdvCaeciliaRm"/>
        </w:rPr>
        <w:t>a</w:t>
      </w:r>
      <w:proofErr w:type="gramEnd"/>
      <w:r w:rsidRPr="009D323F">
        <w:rPr>
          <w:rFonts w:cs="AdvCaeciliaRm"/>
        </w:rPr>
        <w:t xml:space="preserve"> R package for the multivariate analysis of genetic markers.</w:t>
      </w:r>
    </w:p>
    <w:p w:rsidR="009D323F" w:rsidRDefault="009D323F" w:rsidP="009D323F">
      <w:pPr>
        <w:autoSpaceDE w:val="0"/>
        <w:autoSpaceDN w:val="0"/>
        <w:adjustRightInd w:val="0"/>
        <w:spacing w:after="0" w:line="240" w:lineRule="auto"/>
        <w:rPr>
          <w:rFonts w:cs="AdvCaeciliaRm"/>
        </w:rPr>
      </w:pPr>
      <w:r w:rsidRPr="009D323F">
        <w:rPr>
          <w:rFonts w:cs="AdvCaeciliaRm"/>
        </w:rPr>
        <w:t xml:space="preserve">Bioinformatics 24: 1403-1405. </w:t>
      </w:r>
      <w:proofErr w:type="spellStart"/>
      <w:proofErr w:type="gramStart"/>
      <w:r w:rsidRPr="009D323F">
        <w:rPr>
          <w:rFonts w:cs="AdvCaeciliaRm"/>
        </w:rPr>
        <w:t>doi</w:t>
      </w:r>
      <w:proofErr w:type="spellEnd"/>
      <w:proofErr w:type="gramEnd"/>
      <w:r w:rsidRPr="009D323F">
        <w:rPr>
          <w:rFonts w:cs="AdvCaeciliaRm"/>
        </w:rPr>
        <w:t>: 10.1093/bioinformatics/btn129</w:t>
      </w:r>
    </w:p>
    <w:p w:rsidR="009D323F" w:rsidRDefault="009D323F" w:rsidP="009D323F">
      <w:pPr>
        <w:autoSpaceDE w:val="0"/>
        <w:autoSpaceDN w:val="0"/>
        <w:adjustRightInd w:val="0"/>
        <w:spacing w:after="0" w:line="240" w:lineRule="auto"/>
        <w:rPr>
          <w:rFonts w:cs="AdvCaeciliaRm"/>
        </w:rPr>
      </w:pPr>
    </w:p>
    <w:p w:rsidR="009D323F" w:rsidRDefault="009D323F" w:rsidP="009D323F">
      <w:pPr>
        <w:autoSpaceDE w:val="0"/>
        <w:autoSpaceDN w:val="0"/>
        <w:adjustRightInd w:val="0"/>
        <w:spacing w:after="0" w:line="240" w:lineRule="auto"/>
        <w:rPr>
          <w:rFonts w:cs="AdvCaeciliaRm"/>
        </w:rPr>
      </w:pPr>
      <w:proofErr w:type="spellStart"/>
      <w:r w:rsidRPr="009D323F">
        <w:rPr>
          <w:rFonts w:cs="AdvCaeciliaRm"/>
        </w:rPr>
        <w:t>Kamvar</w:t>
      </w:r>
      <w:proofErr w:type="spellEnd"/>
      <w:r w:rsidRPr="009D323F">
        <w:rPr>
          <w:rFonts w:cs="AdvCaeciliaRm"/>
        </w:rPr>
        <w:t xml:space="preserve"> ZN, </w:t>
      </w:r>
      <w:proofErr w:type="spellStart"/>
      <w:r w:rsidRPr="009D323F">
        <w:rPr>
          <w:rFonts w:cs="AdvCaeciliaRm"/>
        </w:rPr>
        <w:t>Tabima</w:t>
      </w:r>
      <w:proofErr w:type="spellEnd"/>
      <w:r w:rsidRPr="009D323F">
        <w:rPr>
          <w:rFonts w:cs="AdvCaeciliaRm"/>
        </w:rPr>
        <w:t xml:space="preserve"> JF, </w:t>
      </w:r>
      <w:proofErr w:type="spellStart"/>
      <w:r w:rsidRPr="009D323F">
        <w:rPr>
          <w:rFonts w:cs="AdvCaeciliaRm"/>
        </w:rPr>
        <w:t>Grünwald</w:t>
      </w:r>
      <w:proofErr w:type="spellEnd"/>
      <w:r w:rsidRPr="009D323F">
        <w:rPr>
          <w:rFonts w:cs="AdvCaeciliaRm"/>
        </w:rPr>
        <w:t xml:space="preserve"> NJ. (2014) </w:t>
      </w:r>
      <w:proofErr w:type="spellStart"/>
      <w:r w:rsidRPr="009D323F">
        <w:rPr>
          <w:rFonts w:cs="AdvCaeciliaRm"/>
        </w:rPr>
        <w:t>Poppr</w:t>
      </w:r>
      <w:proofErr w:type="spellEnd"/>
      <w:r w:rsidRPr="009D323F">
        <w:rPr>
          <w:rFonts w:cs="AdvCaeciliaRm"/>
        </w:rPr>
        <w:t>: an R package for genetic analysis of populations with</w:t>
      </w:r>
      <w:r>
        <w:rPr>
          <w:rFonts w:cs="AdvCaeciliaRm"/>
        </w:rPr>
        <w:t xml:space="preserve"> </w:t>
      </w:r>
      <w:r w:rsidRPr="009D323F">
        <w:rPr>
          <w:rFonts w:cs="AdvCaeciliaRm"/>
        </w:rPr>
        <w:t xml:space="preserve">clonal, partially clonal, and/or sexual reproduction. </w:t>
      </w:r>
      <w:proofErr w:type="spellStart"/>
      <w:r w:rsidRPr="009D323F">
        <w:rPr>
          <w:rFonts w:cs="AdvCaeciliaRm"/>
        </w:rPr>
        <w:t>PeerJ</w:t>
      </w:r>
      <w:proofErr w:type="spellEnd"/>
      <w:r w:rsidRPr="009D323F">
        <w:rPr>
          <w:rFonts w:cs="AdvCaeciliaRm"/>
        </w:rPr>
        <w:t xml:space="preserve"> 2:e281. </w:t>
      </w:r>
      <w:proofErr w:type="spellStart"/>
      <w:proofErr w:type="gramStart"/>
      <w:r w:rsidRPr="009D323F">
        <w:rPr>
          <w:rFonts w:cs="AdvCaeciliaRm"/>
        </w:rPr>
        <w:t>doi</w:t>
      </w:r>
      <w:proofErr w:type="spellEnd"/>
      <w:proofErr w:type="gramEnd"/>
      <w:r w:rsidRPr="009D323F">
        <w:rPr>
          <w:rFonts w:cs="AdvCaeciliaRm"/>
        </w:rPr>
        <w:t>: 10.7717/peerj.281</w:t>
      </w:r>
    </w:p>
    <w:p w:rsidR="009D323F" w:rsidRDefault="009D323F" w:rsidP="009D323F">
      <w:pPr>
        <w:autoSpaceDE w:val="0"/>
        <w:autoSpaceDN w:val="0"/>
        <w:adjustRightInd w:val="0"/>
        <w:spacing w:after="0" w:line="240" w:lineRule="auto"/>
        <w:rPr>
          <w:rFonts w:cs="AdvCaeciliaRm"/>
        </w:rPr>
      </w:pPr>
    </w:p>
    <w:p w:rsidR="00E8252B" w:rsidRDefault="00E8252B" w:rsidP="00E8252B">
      <w:pPr>
        <w:autoSpaceDE w:val="0"/>
        <w:autoSpaceDN w:val="0"/>
        <w:adjustRightInd w:val="0"/>
        <w:spacing w:after="0" w:line="240" w:lineRule="auto"/>
        <w:rPr>
          <w:rFonts w:cs="AdvCaeciliaRm"/>
        </w:rPr>
      </w:pPr>
      <w:proofErr w:type="spellStart"/>
      <w:r w:rsidRPr="00E8252B">
        <w:rPr>
          <w:rFonts w:cs="AdvCaeciliaRm"/>
        </w:rPr>
        <w:t>Sirjusingh</w:t>
      </w:r>
      <w:proofErr w:type="spellEnd"/>
      <w:r>
        <w:rPr>
          <w:rFonts w:cs="AdvCaeciliaRm"/>
        </w:rPr>
        <w:t>, C a</w:t>
      </w:r>
      <w:r w:rsidRPr="00E8252B">
        <w:rPr>
          <w:rFonts w:cs="AdvCaeciliaRm"/>
        </w:rPr>
        <w:t>nd Kohn</w:t>
      </w:r>
      <w:r>
        <w:rPr>
          <w:rFonts w:cs="AdvCaeciliaRm"/>
        </w:rPr>
        <w:t>, L. M.</w:t>
      </w:r>
      <w:r w:rsidRPr="00E8252B">
        <w:rPr>
          <w:rFonts w:cs="AdvCaeciliaRm"/>
        </w:rPr>
        <w:t xml:space="preserve"> Characterization of microsatellites in the fungal plant</w:t>
      </w:r>
      <w:r>
        <w:rPr>
          <w:rFonts w:cs="AdvCaeciliaRm"/>
        </w:rPr>
        <w:t xml:space="preserve"> </w:t>
      </w:r>
      <w:r w:rsidRPr="00E8252B">
        <w:rPr>
          <w:rFonts w:cs="AdvCaeciliaRm"/>
        </w:rPr>
        <w:t>pathogen,</w:t>
      </w:r>
      <w:r>
        <w:rPr>
          <w:rFonts w:cs="AdvCaeciliaRm"/>
        </w:rPr>
        <w:t xml:space="preserve"> </w:t>
      </w:r>
      <w:r w:rsidRPr="00E8252B">
        <w:rPr>
          <w:rFonts w:cs="AdvCaeciliaRm"/>
          <w:i/>
          <w:iCs/>
        </w:rPr>
        <w:t>Sclerotinia sclerotiorum</w:t>
      </w:r>
      <w:r>
        <w:rPr>
          <w:rFonts w:cs="AdvCaeciliaRm"/>
        </w:rPr>
        <w:t>. 2001.</w:t>
      </w:r>
      <w:r w:rsidRPr="00E8252B">
        <w:rPr>
          <w:rFonts w:cs="AdvCaeciliaRm"/>
        </w:rPr>
        <w:t xml:space="preserve"> Molecular Ecology Notes</w:t>
      </w:r>
      <w:r>
        <w:rPr>
          <w:rFonts w:cs="AdvCaeciliaRm"/>
        </w:rPr>
        <w:t>.</w:t>
      </w:r>
      <w:r w:rsidRPr="00E8252B">
        <w:rPr>
          <w:rFonts w:cs="AdvCaeciliaRm"/>
        </w:rPr>
        <w:t xml:space="preserve"> 1</w:t>
      </w:r>
      <w:r>
        <w:rPr>
          <w:rFonts w:cs="AdvCaeciliaRm"/>
        </w:rPr>
        <w:t>: 267-</w:t>
      </w:r>
      <w:r w:rsidRPr="00E8252B">
        <w:rPr>
          <w:rFonts w:cs="AdvCaeciliaRm"/>
        </w:rPr>
        <w:t>269</w:t>
      </w:r>
    </w:p>
    <w:p w:rsidR="00E8252B" w:rsidRDefault="00E8252B" w:rsidP="001D2C4D">
      <w:pPr>
        <w:autoSpaceDE w:val="0"/>
        <w:autoSpaceDN w:val="0"/>
        <w:adjustRightInd w:val="0"/>
        <w:spacing w:after="0" w:line="240" w:lineRule="auto"/>
        <w:rPr>
          <w:rFonts w:cs="AdvCaeciliaRm"/>
        </w:rPr>
      </w:pPr>
    </w:p>
    <w:p w:rsidR="001D2C4D" w:rsidRDefault="001D2C4D" w:rsidP="001D2C4D">
      <w:pPr>
        <w:autoSpaceDE w:val="0"/>
        <w:autoSpaceDN w:val="0"/>
        <w:adjustRightInd w:val="0"/>
        <w:spacing w:after="0" w:line="240" w:lineRule="auto"/>
        <w:rPr>
          <w:rFonts w:cs="AdvCaeciliaRm"/>
        </w:rPr>
      </w:pPr>
      <w:r w:rsidRPr="001D2C4D">
        <w:rPr>
          <w:rFonts w:cs="AdvCaeciliaRm"/>
        </w:rPr>
        <w:t xml:space="preserve">Wise, K.A., C.A. Bradley, J.S. </w:t>
      </w:r>
      <w:proofErr w:type="spellStart"/>
      <w:r w:rsidRPr="001D2C4D">
        <w:rPr>
          <w:rFonts w:cs="AdvCaeciliaRm"/>
        </w:rPr>
        <w:t>Pasche</w:t>
      </w:r>
      <w:proofErr w:type="spellEnd"/>
      <w:r w:rsidRPr="001D2C4D">
        <w:rPr>
          <w:rFonts w:cs="AdvCaeciliaRm"/>
        </w:rPr>
        <w:t xml:space="preserve">, N.C. </w:t>
      </w:r>
      <w:proofErr w:type="spellStart"/>
      <w:r w:rsidRPr="001D2C4D">
        <w:rPr>
          <w:rFonts w:cs="AdvCaeciliaRm"/>
        </w:rPr>
        <w:t>Gudmestad</w:t>
      </w:r>
      <w:proofErr w:type="spellEnd"/>
      <w:r w:rsidRPr="001D2C4D">
        <w:rPr>
          <w:rFonts w:cs="AdvCaeciliaRm"/>
        </w:rPr>
        <w:t>, F.M.</w:t>
      </w:r>
      <w:r>
        <w:rPr>
          <w:rFonts w:cs="AdvCaeciliaRm"/>
        </w:rPr>
        <w:t xml:space="preserve"> </w:t>
      </w:r>
      <w:r w:rsidRPr="001D2C4D">
        <w:rPr>
          <w:rFonts w:cs="AdvCaeciliaRm"/>
        </w:rPr>
        <w:t xml:space="preserve">Dugan, and W. Chen. 2008. Baseline sensitivity of </w:t>
      </w:r>
      <w:proofErr w:type="spellStart"/>
      <w:r w:rsidRPr="001D2C4D">
        <w:rPr>
          <w:rFonts w:cs="AdvCaeciliaRm"/>
        </w:rPr>
        <w:t>Ascochyta</w:t>
      </w:r>
      <w:proofErr w:type="spellEnd"/>
      <w:r w:rsidRPr="001D2C4D">
        <w:rPr>
          <w:rFonts w:cs="AdvCaeciliaRm"/>
        </w:rPr>
        <w:t xml:space="preserve"> </w:t>
      </w:r>
      <w:proofErr w:type="spellStart"/>
      <w:r w:rsidRPr="001D2C4D">
        <w:rPr>
          <w:rFonts w:cs="AdvCaeciliaRm"/>
        </w:rPr>
        <w:t>rabiei</w:t>
      </w:r>
      <w:proofErr w:type="spellEnd"/>
      <w:r w:rsidRPr="001D2C4D">
        <w:rPr>
          <w:rFonts w:cs="AdvCaeciliaRm"/>
        </w:rPr>
        <w:t xml:space="preserve"> to</w:t>
      </w:r>
      <w:r>
        <w:rPr>
          <w:rFonts w:cs="AdvCaeciliaRm"/>
        </w:rPr>
        <w:t xml:space="preserve"> </w:t>
      </w:r>
      <w:r w:rsidRPr="001D2C4D">
        <w:rPr>
          <w:rFonts w:cs="AdvCaeciliaRm"/>
        </w:rPr>
        <w:t>azoxystrobin, pyraclostrobin, and boscalid. Plant Dis. 92:295–300.</w:t>
      </w:r>
    </w:p>
    <w:p w:rsidR="001D2C4D" w:rsidRDefault="001D2C4D" w:rsidP="00713318">
      <w:pPr>
        <w:autoSpaceDE w:val="0"/>
        <w:autoSpaceDN w:val="0"/>
        <w:adjustRightInd w:val="0"/>
        <w:spacing w:after="0" w:line="240" w:lineRule="auto"/>
        <w:rPr>
          <w:rFonts w:cs="AdvCaeciliaRm"/>
        </w:rPr>
      </w:pPr>
    </w:p>
    <w:p w:rsidR="00330E3A" w:rsidRPr="00330E3A" w:rsidRDefault="00330E3A" w:rsidP="00330E3A">
      <w:pPr>
        <w:autoSpaceDE w:val="0"/>
        <w:autoSpaceDN w:val="0"/>
        <w:adjustRightInd w:val="0"/>
        <w:spacing w:after="0" w:line="240" w:lineRule="auto"/>
        <w:rPr>
          <w:rFonts w:cs="AdvCaeciliaRm"/>
        </w:rPr>
      </w:pPr>
      <w:proofErr w:type="spellStart"/>
      <w:r w:rsidRPr="00330E3A">
        <w:rPr>
          <w:rFonts w:cs="Times-Roman"/>
        </w:rPr>
        <w:t>Förster</w:t>
      </w:r>
      <w:proofErr w:type="spellEnd"/>
      <w:r w:rsidRPr="00330E3A">
        <w:rPr>
          <w:rFonts w:cs="Times-Roman"/>
        </w:rPr>
        <w:t xml:space="preserve">, H., </w:t>
      </w:r>
      <w:proofErr w:type="spellStart"/>
      <w:r w:rsidRPr="00330E3A">
        <w:rPr>
          <w:rFonts w:cs="Times-Roman"/>
        </w:rPr>
        <w:t>Kanetis</w:t>
      </w:r>
      <w:proofErr w:type="spellEnd"/>
      <w:r w:rsidRPr="00330E3A">
        <w:rPr>
          <w:rFonts w:cs="Times-Roman"/>
        </w:rPr>
        <w:t xml:space="preserve">, L., and </w:t>
      </w:r>
      <w:proofErr w:type="spellStart"/>
      <w:r w:rsidRPr="00330E3A">
        <w:rPr>
          <w:rFonts w:cs="Times-Roman"/>
        </w:rPr>
        <w:t>Adaskaveg</w:t>
      </w:r>
      <w:proofErr w:type="spellEnd"/>
      <w:r w:rsidRPr="00330E3A">
        <w:rPr>
          <w:rFonts w:cs="Times-Roman"/>
        </w:rPr>
        <w:t>, J. E. 2004. Spiral gradient dilution,</w:t>
      </w:r>
      <w:r>
        <w:rPr>
          <w:rFonts w:cs="Times-Roman"/>
        </w:rPr>
        <w:t xml:space="preserve"> </w:t>
      </w:r>
      <w:r w:rsidRPr="00330E3A">
        <w:rPr>
          <w:rFonts w:cs="Times-Roman"/>
        </w:rPr>
        <w:t xml:space="preserve">a rapid method for </w:t>
      </w:r>
      <w:r>
        <w:rPr>
          <w:rFonts w:cs="Times-Roman"/>
        </w:rPr>
        <w:t>d</w:t>
      </w:r>
      <w:r w:rsidRPr="00330E3A">
        <w:rPr>
          <w:rFonts w:cs="Times-Roman"/>
        </w:rPr>
        <w:t>etermining growth responses and 50% effective</w:t>
      </w:r>
      <w:r>
        <w:rPr>
          <w:rFonts w:cs="Times-Roman"/>
        </w:rPr>
        <w:t xml:space="preserve"> </w:t>
      </w:r>
      <w:r w:rsidRPr="00330E3A">
        <w:rPr>
          <w:rFonts w:cs="Times-Roman"/>
        </w:rPr>
        <w:t>concentration values in fungus–fungicide interactions. Phytopathology</w:t>
      </w:r>
      <w:r>
        <w:rPr>
          <w:rFonts w:cs="Times-Roman"/>
        </w:rPr>
        <w:t xml:space="preserve"> </w:t>
      </w:r>
      <w:r w:rsidRPr="00330E3A">
        <w:rPr>
          <w:rFonts w:cs="Times-Roman"/>
        </w:rPr>
        <w:t>94:163-170.</w:t>
      </w:r>
    </w:p>
    <w:p w:rsidR="00330E3A" w:rsidRPr="00330E3A" w:rsidRDefault="00330E3A" w:rsidP="00713318">
      <w:pPr>
        <w:autoSpaceDE w:val="0"/>
        <w:autoSpaceDN w:val="0"/>
        <w:adjustRightInd w:val="0"/>
        <w:spacing w:after="0" w:line="240" w:lineRule="auto"/>
        <w:rPr>
          <w:rFonts w:cs="AdvCaeciliaRm"/>
        </w:rPr>
      </w:pPr>
    </w:p>
    <w:p w:rsidR="00800424" w:rsidRDefault="00713318" w:rsidP="00713318">
      <w:pPr>
        <w:autoSpaceDE w:val="0"/>
        <w:autoSpaceDN w:val="0"/>
        <w:adjustRightInd w:val="0"/>
        <w:spacing w:after="0" w:line="240" w:lineRule="auto"/>
        <w:rPr>
          <w:rFonts w:cs="ArialMT"/>
        </w:rPr>
      </w:pPr>
      <w:proofErr w:type="spellStart"/>
      <w:r w:rsidRPr="00713318">
        <w:rPr>
          <w:rFonts w:cs="AdvCaeciliaRm"/>
        </w:rPr>
        <w:t>Wierdl</w:t>
      </w:r>
      <w:proofErr w:type="spellEnd"/>
      <w:r w:rsidRPr="00713318">
        <w:rPr>
          <w:rFonts w:cs="AdvCaeciliaRm"/>
        </w:rPr>
        <w:t xml:space="preserve"> M, </w:t>
      </w:r>
      <w:proofErr w:type="spellStart"/>
      <w:r w:rsidRPr="00713318">
        <w:rPr>
          <w:rFonts w:cs="AdvCaeciliaRm"/>
        </w:rPr>
        <w:t>Dominska</w:t>
      </w:r>
      <w:proofErr w:type="spellEnd"/>
      <w:r w:rsidRPr="00713318">
        <w:rPr>
          <w:rFonts w:cs="AdvCaeciliaRm"/>
        </w:rPr>
        <w:t xml:space="preserve"> M, </w:t>
      </w:r>
      <w:proofErr w:type="spellStart"/>
      <w:r w:rsidRPr="00713318">
        <w:rPr>
          <w:rFonts w:cs="AdvCaeciliaRm"/>
        </w:rPr>
        <w:t>Petes</w:t>
      </w:r>
      <w:proofErr w:type="spellEnd"/>
      <w:r w:rsidRPr="00713318">
        <w:rPr>
          <w:rFonts w:cs="AdvCaeciliaRm"/>
        </w:rPr>
        <w:t xml:space="preserve"> TD, 1997. Microsatellite instability</w:t>
      </w:r>
      <w:r>
        <w:rPr>
          <w:rFonts w:cs="AdvCaeciliaRm"/>
        </w:rPr>
        <w:t xml:space="preserve"> </w:t>
      </w:r>
      <w:r w:rsidRPr="00713318">
        <w:rPr>
          <w:rFonts w:cs="AdvCaeciliaRm"/>
        </w:rPr>
        <w:t>in yeast: dependence on the length of the microsatellite.</w:t>
      </w:r>
      <w:r>
        <w:rPr>
          <w:rFonts w:cs="AdvCaeciliaRm"/>
        </w:rPr>
        <w:t xml:space="preserve"> </w:t>
      </w:r>
      <w:r w:rsidRPr="00713318">
        <w:rPr>
          <w:rFonts w:cs="AdvCaeciliaIt"/>
        </w:rPr>
        <w:t xml:space="preserve">Genetics </w:t>
      </w:r>
      <w:r w:rsidRPr="00713318">
        <w:rPr>
          <w:rFonts w:cs="AdvCaeciliaBd"/>
        </w:rPr>
        <w:t>146</w:t>
      </w:r>
      <w:r w:rsidRPr="00713318">
        <w:rPr>
          <w:rFonts w:cs="AdvCaeciliaRm"/>
        </w:rPr>
        <w:t>: 769</w:t>
      </w:r>
      <w:r w:rsidRPr="00713318">
        <w:rPr>
          <w:rFonts w:cs="AdvPS44A44B"/>
        </w:rPr>
        <w:t>e</w:t>
      </w:r>
      <w:r w:rsidRPr="00713318">
        <w:rPr>
          <w:rFonts w:cs="AdvCaeciliaRm"/>
        </w:rPr>
        <w:t>779</w:t>
      </w:r>
      <w:r>
        <w:rPr>
          <w:rFonts w:ascii="AdvCaeciliaRm" w:hAnsi="AdvCaeciliaRm" w:cs="AdvCaeciliaRm"/>
          <w:sz w:val="15"/>
          <w:szCs w:val="15"/>
        </w:rPr>
        <w:t>.</w:t>
      </w:r>
    </w:p>
    <w:p w:rsidR="00713318" w:rsidRDefault="00713318" w:rsidP="00F219EF">
      <w:pPr>
        <w:autoSpaceDE w:val="0"/>
        <w:autoSpaceDN w:val="0"/>
        <w:adjustRightInd w:val="0"/>
        <w:spacing w:after="0" w:line="240" w:lineRule="auto"/>
        <w:rPr>
          <w:rFonts w:cs="ArialMT"/>
        </w:rPr>
      </w:pPr>
    </w:p>
    <w:p w:rsidR="00800424" w:rsidRDefault="00800424" w:rsidP="00800424">
      <w:pPr>
        <w:autoSpaceDE w:val="0"/>
        <w:autoSpaceDN w:val="0"/>
        <w:adjustRightInd w:val="0"/>
        <w:spacing w:after="0" w:line="240" w:lineRule="auto"/>
        <w:rPr>
          <w:rFonts w:cs="ArialMT"/>
        </w:rPr>
      </w:pPr>
      <w:proofErr w:type="spellStart"/>
      <w:r w:rsidRPr="00800424">
        <w:rPr>
          <w:rFonts w:cs="ArialMT"/>
        </w:rPr>
        <w:t>Vos</w:t>
      </w:r>
      <w:proofErr w:type="spellEnd"/>
      <w:r w:rsidRPr="00800424">
        <w:rPr>
          <w:rFonts w:cs="ArialMT"/>
        </w:rPr>
        <w:t xml:space="preserve"> P, </w:t>
      </w:r>
      <w:proofErr w:type="spellStart"/>
      <w:r w:rsidRPr="00800424">
        <w:rPr>
          <w:rFonts w:cs="ArialMT"/>
        </w:rPr>
        <w:t>Hogers</w:t>
      </w:r>
      <w:proofErr w:type="spellEnd"/>
      <w:r w:rsidRPr="00800424">
        <w:rPr>
          <w:rFonts w:cs="ArialMT"/>
        </w:rPr>
        <w:t xml:space="preserve"> R, </w:t>
      </w:r>
      <w:proofErr w:type="spellStart"/>
      <w:r w:rsidRPr="00800424">
        <w:rPr>
          <w:rFonts w:cs="ArialMT"/>
        </w:rPr>
        <w:t>Bleeker</w:t>
      </w:r>
      <w:proofErr w:type="spellEnd"/>
      <w:r w:rsidRPr="00800424">
        <w:rPr>
          <w:rFonts w:cs="ArialMT"/>
        </w:rPr>
        <w:t xml:space="preserve"> M, </w:t>
      </w:r>
      <w:proofErr w:type="spellStart"/>
      <w:r w:rsidRPr="00800424">
        <w:rPr>
          <w:rFonts w:cs="ArialMT"/>
        </w:rPr>
        <w:t>Reijans</w:t>
      </w:r>
      <w:proofErr w:type="spellEnd"/>
      <w:r w:rsidRPr="00800424">
        <w:rPr>
          <w:rFonts w:cs="ArialMT"/>
        </w:rPr>
        <w:t xml:space="preserve"> M, van de Lee T, et al. (1995) AFLP: a</w:t>
      </w:r>
      <w:r>
        <w:rPr>
          <w:rFonts w:cs="ArialMT"/>
        </w:rPr>
        <w:t xml:space="preserve"> </w:t>
      </w:r>
      <w:r w:rsidRPr="00800424">
        <w:rPr>
          <w:rFonts w:cs="ArialMT"/>
        </w:rPr>
        <w:t>new technique for DNA fingerprinting. Nucleic Acids Res 23: 4407-4414.</w:t>
      </w:r>
    </w:p>
    <w:p w:rsidR="00800424" w:rsidRPr="00800424" w:rsidRDefault="00800424" w:rsidP="00800424">
      <w:pPr>
        <w:autoSpaceDE w:val="0"/>
        <w:autoSpaceDN w:val="0"/>
        <w:adjustRightInd w:val="0"/>
        <w:spacing w:after="0" w:line="240" w:lineRule="auto"/>
        <w:rPr>
          <w:rFonts w:cs="ArialMT"/>
        </w:rPr>
      </w:pPr>
    </w:p>
    <w:p w:rsidR="00F219EF" w:rsidRPr="00F219EF" w:rsidRDefault="00F219EF" w:rsidP="00F219EF">
      <w:pPr>
        <w:autoSpaceDE w:val="0"/>
        <w:autoSpaceDN w:val="0"/>
        <w:adjustRightInd w:val="0"/>
        <w:spacing w:after="0" w:line="240" w:lineRule="auto"/>
      </w:pPr>
      <w:r w:rsidRPr="00F219EF">
        <w:rPr>
          <w:rFonts w:cs="ArialMT"/>
        </w:rPr>
        <w:t xml:space="preserve">Mueller UG, </w:t>
      </w:r>
      <w:proofErr w:type="spellStart"/>
      <w:r w:rsidRPr="00F219EF">
        <w:rPr>
          <w:rFonts w:cs="ArialMT"/>
        </w:rPr>
        <w:t>Wolfenbarger</w:t>
      </w:r>
      <w:proofErr w:type="spellEnd"/>
      <w:r w:rsidRPr="00F219EF">
        <w:rPr>
          <w:rFonts w:cs="ArialMT"/>
        </w:rPr>
        <w:t xml:space="preserve"> LL (1999)</w:t>
      </w:r>
      <w:r>
        <w:rPr>
          <w:rFonts w:cs="ArialMT"/>
        </w:rPr>
        <w:t>.</w:t>
      </w:r>
      <w:r w:rsidRPr="00F219EF">
        <w:rPr>
          <w:rFonts w:cs="ArialMT"/>
        </w:rPr>
        <w:t xml:space="preserve"> AFLP genotyping and fingerprinting.</w:t>
      </w:r>
      <w:r>
        <w:rPr>
          <w:rFonts w:cs="ArialMT"/>
        </w:rPr>
        <w:t xml:space="preserve"> </w:t>
      </w:r>
      <w:r w:rsidRPr="00F219EF">
        <w:rPr>
          <w:rFonts w:cs="ArialMT"/>
        </w:rPr>
        <w:t xml:space="preserve">Trends </w:t>
      </w:r>
      <w:proofErr w:type="spellStart"/>
      <w:r w:rsidRPr="00F219EF">
        <w:rPr>
          <w:rFonts w:cs="ArialMT"/>
        </w:rPr>
        <w:t>Ecol</w:t>
      </w:r>
      <w:proofErr w:type="spellEnd"/>
      <w:r w:rsidRPr="00F219EF">
        <w:rPr>
          <w:rFonts w:cs="ArialMT"/>
        </w:rPr>
        <w:t xml:space="preserve"> </w:t>
      </w:r>
      <w:proofErr w:type="spellStart"/>
      <w:r w:rsidRPr="00F219EF">
        <w:rPr>
          <w:rFonts w:cs="ArialMT"/>
        </w:rPr>
        <w:t>Evol</w:t>
      </w:r>
      <w:proofErr w:type="spellEnd"/>
      <w:r w:rsidRPr="00F219EF">
        <w:rPr>
          <w:rFonts w:cs="ArialMT"/>
        </w:rPr>
        <w:t xml:space="preserve"> 14: 389-394.</w:t>
      </w:r>
    </w:p>
    <w:p w:rsidR="00F219EF" w:rsidRDefault="00F219EF" w:rsidP="00511EBC">
      <w:pPr>
        <w:pStyle w:val="NoSpacing"/>
      </w:pPr>
    </w:p>
    <w:p w:rsidR="00AB71A1" w:rsidRDefault="00511EBC" w:rsidP="00511EBC">
      <w:pPr>
        <w:pStyle w:val="NoSpacing"/>
      </w:pPr>
      <w:r>
        <w:t xml:space="preserve">Kohn LM, Schaffer MR, Anderson JB, </w:t>
      </w:r>
      <w:proofErr w:type="spellStart"/>
      <w:r>
        <w:t>Grunwald</w:t>
      </w:r>
      <w:proofErr w:type="spellEnd"/>
      <w:r>
        <w:t xml:space="preserve"> NJ, 2008. Marker stability throughout 400 days of in vitro hyphal growth in the filamentous ascomycete, Sclerotinia sclerotiorum. Fungal Genetics and Biology 45: 613-617.</w:t>
      </w:r>
    </w:p>
    <w:p w:rsidR="00D85F25" w:rsidRDefault="00D85F25" w:rsidP="00511EBC">
      <w:pPr>
        <w:pStyle w:val="NoSpacing"/>
      </w:pPr>
    </w:p>
    <w:p w:rsidR="00AB71A1" w:rsidRDefault="00AB71A1" w:rsidP="00831870">
      <w:r w:rsidRPr="00AB71A1">
        <w:t xml:space="preserve">Sweet MJ1, </w:t>
      </w:r>
      <w:proofErr w:type="spellStart"/>
      <w:r w:rsidRPr="00AB71A1">
        <w:t>Scriven</w:t>
      </w:r>
      <w:proofErr w:type="spellEnd"/>
      <w:r w:rsidRPr="00AB71A1">
        <w:t xml:space="preserve"> LA, Singleton I. Microsatellites for microbiologists.2012. </w:t>
      </w:r>
      <w:proofErr w:type="spellStart"/>
      <w:r w:rsidRPr="00AB71A1">
        <w:t>Adv</w:t>
      </w:r>
      <w:proofErr w:type="spellEnd"/>
      <w:r w:rsidRPr="00AB71A1">
        <w:t xml:space="preserve"> </w:t>
      </w:r>
      <w:proofErr w:type="spellStart"/>
      <w:r w:rsidRPr="00AB71A1">
        <w:t>Appl</w:t>
      </w:r>
      <w:proofErr w:type="spellEnd"/>
      <w:r w:rsidRPr="00AB71A1">
        <w:t xml:space="preserve"> </w:t>
      </w:r>
      <w:proofErr w:type="spellStart"/>
      <w:r w:rsidRPr="00AB71A1">
        <w:t>Microbiol</w:t>
      </w:r>
      <w:proofErr w:type="spellEnd"/>
      <w:r w:rsidRPr="00AB71A1">
        <w:t xml:space="preserve">. 81:169-207. </w:t>
      </w:r>
      <w:proofErr w:type="spellStart"/>
      <w:r w:rsidRPr="00AB71A1">
        <w:t>doi</w:t>
      </w:r>
      <w:proofErr w:type="spellEnd"/>
      <w:r w:rsidRPr="00AB71A1">
        <w:t>: 10.1016/B978-0-12-394382-8.00005-8.</w:t>
      </w:r>
    </w:p>
    <w:p w:rsidR="00E23C62" w:rsidRDefault="00831870" w:rsidP="00831870">
      <w:proofErr w:type="spellStart"/>
      <w:r>
        <w:lastRenderedPageBreak/>
        <w:t>Sakhr</w:t>
      </w:r>
      <w:proofErr w:type="spellEnd"/>
      <w:r>
        <w:t xml:space="preserve"> </w:t>
      </w:r>
      <w:proofErr w:type="spellStart"/>
      <w:r>
        <w:t>Ajouz</w:t>
      </w:r>
      <w:proofErr w:type="spellEnd"/>
      <w:r>
        <w:t>, Ver</w:t>
      </w:r>
      <w:r w:rsidRPr="00E01FA4">
        <w:t xml:space="preserve">onique </w:t>
      </w:r>
      <w:proofErr w:type="spellStart"/>
      <w:r w:rsidRPr="00E01FA4">
        <w:t>Decognet</w:t>
      </w:r>
      <w:proofErr w:type="spellEnd"/>
      <w:r w:rsidRPr="00E01FA4">
        <w:t xml:space="preserve">, Philippe C. </w:t>
      </w:r>
      <w:proofErr w:type="spellStart"/>
      <w:r w:rsidRPr="00E01FA4">
        <w:t>Nicot</w:t>
      </w:r>
      <w:proofErr w:type="spellEnd"/>
      <w:r w:rsidRPr="00E01FA4">
        <w:t>, Marc Bardin</w:t>
      </w:r>
      <w:r>
        <w:t xml:space="preserve">. 2010. </w:t>
      </w:r>
      <w:r w:rsidR="00E01FA4">
        <w:t xml:space="preserve">Microsatellite stability in the plant pathogen Botrytis </w:t>
      </w:r>
      <w:proofErr w:type="spellStart"/>
      <w:r w:rsidR="00E01FA4">
        <w:t>cinerea</w:t>
      </w:r>
      <w:proofErr w:type="spellEnd"/>
      <w:r w:rsidR="00E01FA4">
        <w:t xml:space="preserve"> after exposure to different selective pressures. Fungal Biology 114: 949 -954</w:t>
      </w:r>
    </w:p>
    <w:p w:rsidR="00E23C62" w:rsidRDefault="00BF7B6D" w:rsidP="007E432B">
      <w:r w:rsidRPr="00BF7B6D">
        <w:t>Feng Zhou, Hong-</w:t>
      </w:r>
      <w:proofErr w:type="spellStart"/>
      <w:r w:rsidRPr="00BF7B6D">
        <w:t>Jie</w:t>
      </w:r>
      <w:proofErr w:type="spellEnd"/>
      <w:r w:rsidRPr="00BF7B6D">
        <w:t xml:space="preserve"> Liang, </w:t>
      </w:r>
      <w:proofErr w:type="spellStart"/>
      <w:r w:rsidRPr="00BF7B6D">
        <w:t>Ya</w:t>
      </w:r>
      <w:proofErr w:type="spellEnd"/>
      <w:r w:rsidRPr="00BF7B6D">
        <w:t xml:space="preserve">-Li Di, Hong You, and Fu-Xing Zhu. 2014. Stimulatory Effects of </w:t>
      </w:r>
      <w:proofErr w:type="spellStart"/>
      <w:r w:rsidRPr="00BF7B6D">
        <w:t>Sublethal</w:t>
      </w:r>
      <w:proofErr w:type="spellEnd"/>
      <w:r w:rsidRPr="00BF7B6D">
        <w:t xml:space="preserve"> Doses of </w:t>
      </w:r>
      <w:proofErr w:type="spellStart"/>
      <w:r w:rsidRPr="00BF7B6D">
        <w:t>Dimethachlon</w:t>
      </w:r>
      <w:proofErr w:type="spellEnd"/>
      <w:r w:rsidRPr="00BF7B6D">
        <w:t xml:space="preserve"> on Sclerotinia sclerotiorum. Plant Dis. 98:1364-1370</w:t>
      </w:r>
    </w:p>
    <w:p w:rsidR="00C87351" w:rsidRDefault="00C87351" w:rsidP="00C87351">
      <w:r>
        <w:t xml:space="preserve">Bolton MD, </w:t>
      </w:r>
      <w:proofErr w:type="spellStart"/>
      <w:r>
        <w:t>Thomma</w:t>
      </w:r>
      <w:proofErr w:type="spellEnd"/>
      <w:r>
        <w:t xml:space="preserve"> BPHJ, Nelson BD (2006) Sclerotinia sclerotiorum (Lib.) de </w:t>
      </w:r>
      <w:proofErr w:type="spellStart"/>
      <w:r>
        <w:t>Bary</w:t>
      </w:r>
      <w:proofErr w:type="spellEnd"/>
      <w:r>
        <w:t xml:space="preserve">: biology and molecular traits of a cosmopolitan pathogen. </w:t>
      </w:r>
      <w:proofErr w:type="spellStart"/>
      <w:r>
        <w:t>Mol</w:t>
      </w:r>
      <w:proofErr w:type="spellEnd"/>
      <w:r>
        <w:t xml:space="preserve"> Plant </w:t>
      </w:r>
      <w:proofErr w:type="spellStart"/>
      <w:r>
        <w:t>Pathol</w:t>
      </w:r>
      <w:proofErr w:type="spellEnd"/>
      <w:r>
        <w:t xml:space="preserve"> 7: 1-16.</w:t>
      </w:r>
    </w:p>
    <w:p w:rsidR="00E23C62" w:rsidRDefault="00C87351" w:rsidP="00C87351">
      <w:r>
        <w:t xml:space="preserve">Boland GJ, Hall R (1994) Index of plant hosts of Sclerotinia sclerotiorum. Can J Plant </w:t>
      </w:r>
      <w:proofErr w:type="spellStart"/>
      <w:r>
        <w:t>Pathol</w:t>
      </w:r>
      <w:proofErr w:type="spellEnd"/>
      <w:r>
        <w:t xml:space="preserve"> 16: 93–108.</w:t>
      </w:r>
    </w:p>
    <w:p w:rsidR="00BF7B6D" w:rsidRDefault="00831870" w:rsidP="007E432B">
      <w:r w:rsidRPr="00831870">
        <w:t>Steadman JR (1983) White Mold - A Serious Yield-Limiting Disease of Bean. Plant Dis 67: 346-350.</w:t>
      </w:r>
    </w:p>
    <w:p w:rsidR="00C44D37" w:rsidRDefault="00C44D37" w:rsidP="00C44D37">
      <w:pPr>
        <w:autoSpaceDE w:val="0"/>
        <w:autoSpaceDN w:val="0"/>
        <w:adjustRightInd w:val="0"/>
        <w:spacing w:after="0" w:line="240" w:lineRule="auto"/>
        <w:rPr>
          <w:rFonts w:ascii="AdvOT82c4f4c4" w:hAnsi="AdvOT82c4f4c4" w:cs="AdvOT82c4f4c4"/>
          <w:color w:val="000000"/>
          <w:sz w:val="16"/>
          <w:szCs w:val="16"/>
        </w:rPr>
      </w:pPr>
      <w:proofErr w:type="spellStart"/>
      <w:r>
        <w:rPr>
          <w:rFonts w:ascii="AdvOT82c4f4c4" w:hAnsi="AdvOT82c4f4c4" w:cs="AdvOT82c4f4c4"/>
          <w:color w:val="000000"/>
          <w:sz w:val="16"/>
          <w:szCs w:val="16"/>
        </w:rPr>
        <w:t>Selmecki</w:t>
      </w:r>
      <w:proofErr w:type="spellEnd"/>
      <w:r>
        <w:rPr>
          <w:rFonts w:ascii="AdvOT82c4f4c4" w:hAnsi="AdvOT82c4f4c4" w:cs="AdvOT82c4f4c4"/>
          <w:color w:val="000000"/>
          <w:sz w:val="16"/>
          <w:szCs w:val="16"/>
        </w:rPr>
        <w:t xml:space="preserve"> AM, </w:t>
      </w:r>
      <w:proofErr w:type="spellStart"/>
      <w:r>
        <w:rPr>
          <w:rFonts w:ascii="AdvOT82c4f4c4" w:hAnsi="AdvOT82c4f4c4" w:cs="AdvOT82c4f4c4"/>
          <w:color w:val="000000"/>
          <w:sz w:val="16"/>
          <w:szCs w:val="16"/>
        </w:rPr>
        <w:t>Dulmage</w:t>
      </w:r>
      <w:proofErr w:type="spellEnd"/>
      <w:r>
        <w:rPr>
          <w:rFonts w:ascii="AdvOT82c4f4c4" w:hAnsi="AdvOT82c4f4c4" w:cs="AdvOT82c4f4c4"/>
          <w:color w:val="000000"/>
          <w:sz w:val="16"/>
          <w:szCs w:val="16"/>
        </w:rPr>
        <w:t xml:space="preserve"> K, Cowen LE, Anderson JB, Berman J (2009) Acquisition of aneuploidy provides</w:t>
      </w:r>
      <w:r w:rsidR="00D85F25">
        <w:rPr>
          <w:rFonts w:ascii="AdvOT82c4f4c4" w:hAnsi="AdvOT82c4f4c4" w:cs="AdvOT82c4f4c4"/>
          <w:color w:val="000000"/>
          <w:sz w:val="16"/>
          <w:szCs w:val="16"/>
        </w:rPr>
        <w:t xml:space="preserve"> </w:t>
      </w:r>
      <w:r>
        <w:rPr>
          <w:rFonts w:ascii="AdvOT82c4f4c4" w:hAnsi="AdvOT82c4f4c4" w:cs="AdvOT82c4f4c4"/>
          <w:color w:val="000000"/>
          <w:sz w:val="16"/>
          <w:szCs w:val="16"/>
        </w:rPr>
        <w:t xml:space="preserve">increased fitness during the evolution of antifungal drug resistance. </w:t>
      </w:r>
      <w:proofErr w:type="spellStart"/>
      <w:r>
        <w:rPr>
          <w:rFonts w:ascii="AdvOT82c4f4c4" w:hAnsi="AdvOT82c4f4c4" w:cs="AdvOT82c4f4c4"/>
          <w:color w:val="000000"/>
          <w:sz w:val="16"/>
          <w:szCs w:val="16"/>
        </w:rPr>
        <w:t>PLoS</w:t>
      </w:r>
      <w:proofErr w:type="spellEnd"/>
      <w:r>
        <w:rPr>
          <w:rFonts w:ascii="AdvOT82c4f4c4" w:hAnsi="AdvOT82c4f4c4" w:cs="AdvOT82c4f4c4"/>
          <w:color w:val="000000"/>
          <w:sz w:val="16"/>
          <w:szCs w:val="16"/>
        </w:rPr>
        <w:t xml:space="preserve"> Genet 5: e1000705.</w:t>
      </w:r>
      <w:r w:rsidR="00D85F25">
        <w:rPr>
          <w:rFonts w:ascii="AdvOT82c4f4c4" w:hAnsi="AdvOT82c4f4c4" w:cs="AdvOT82c4f4c4"/>
          <w:color w:val="000000"/>
          <w:sz w:val="16"/>
          <w:szCs w:val="16"/>
        </w:rPr>
        <w:t xml:space="preserve"> </w:t>
      </w:r>
      <w:proofErr w:type="spellStart"/>
      <w:proofErr w:type="gramStart"/>
      <w:r>
        <w:rPr>
          <w:rFonts w:ascii="AdvOT82c4f4c4" w:hAnsi="AdvOT82c4f4c4" w:cs="AdvOT82c4f4c4"/>
          <w:color w:val="000000"/>
          <w:sz w:val="16"/>
          <w:szCs w:val="16"/>
        </w:rPr>
        <w:t>doi</w:t>
      </w:r>
      <w:proofErr w:type="spellEnd"/>
      <w:proofErr w:type="gramEnd"/>
      <w:r>
        <w:rPr>
          <w:rFonts w:ascii="AdvOT82c4f4c4" w:hAnsi="AdvOT82c4f4c4" w:cs="AdvOT82c4f4c4"/>
          <w:color w:val="000000"/>
          <w:sz w:val="16"/>
          <w:szCs w:val="16"/>
        </w:rPr>
        <w:t xml:space="preserve">: </w:t>
      </w:r>
      <w:r>
        <w:rPr>
          <w:rFonts w:ascii="AdvOT82c4f4c4" w:hAnsi="AdvOT82c4f4c4" w:cs="AdvOT82c4f4c4"/>
          <w:color w:val="2C5CFB"/>
          <w:sz w:val="16"/>
          <w:szCs w:val="16"/>
        </w:rPr>
        <w:t xml:space="preserve">10.1371/journal.pgen.1000705 </w:t>
      </w:r>
      <w:r>
        <w:rPr>
          <w:rFonts w:ascii="AdvOT82c4f4c4" w:hAnsi="AdvOT82c4f4c4" w:cs="AdvOT82c4f4c4"/>
          <w:color w:val="000000"/>
          <w:sz w:val="16"/>
          <w:szCs w:val="16"/>
        </w:rPr>
        <w:t xml:space="preserve">PMID: </w:t>
      </w:r>
      <w:r>
        <w:rPr>
          <w:rFonts w:ascii="AdvOT82c4f4c4" w:hAnsi="AdvOT82c4f4c4" w:cs="AdvOT82c4f4c4"/>
          <w:color w:val="2C5CFB"/>
          <w:sz w:val="16"/>
          <w:szCs w:val="16"/>
        </w:rPr>
        <w:t>19876375</w:t>
      </w:r>
    </w:p>
    <w:p w:rsidR="00C44D37" w:rsidRDefault="00C44D37" w:rsidP="00C24F0A">
      <w:pPr>
        <w:autoSpaceDE w:val="0"/>
        <w:autoSpaceDN w:val="0"/>
        <w:adjustRightInd w:val="0"/>
        <w:spacing w:after="0" w:line="240" w:lineRule="auto"/>
        <w:rPr>
          <w:rFonts w:ascii="AdvOT82c4f4c4" w:hAnsi="AdvOT82c4f4c4" w:cs="AdvOT82c4f4c4"/>
          <w:color w:val="000000"/>
          <w:sz w:val="16"/>
          <w:szCs w:val="16"/>
        </w:rPr>
      </w:pPr>
    </w:p>
    <w:p w:rsidR="00C24F0A" w:rsidRDefault="00C24F0A" w:rsidP="00C24F0A">
      <w:pPr>
        <w:autoSpaceDE w:val="0"/>
        <w:autoSpaceDN w:val="0"/>
        <w:adjustRightInd w:val="0"/>
        <w:spacing w:after="0" w:line="240" w:lineRule="auto"/>
        <w:rPr>
          <w:rFonts w:ascii="AdvOT82c4f4c4" w:hAnsi="AdvOT82c4f4c4" w:cs="AdvOT82c4f4c4"/>
          <w:color w:val="000000"/>
          <w:sz w:val="16"/>
          <w:szCs w:val="16"/>
        </w:rPr>
      </w:pPr>
      <w:proofErr w:type="spellStart"/>
      <w:r>
        <w:rPr>
          <w:rFonts w:ascii="AdvOT82c4f4c4" w:hAnsi="AdvOT82c4f4c4" w:cs="AdvOT82c4f4c4"/>
          <w:color w:val="000000"/>
          <w:sz w:val="16"/>
          <w:szCs w:val="16"/>
        </w:rPr>
        <w:t>Sionov</w:t>
      </w:r>
      <w:proofErr w:type="spellEnd"/>
      <w:r>
        <w:rPr>
          <w:rFonts w:ascii="AdvOT82c4f4c4" w:hAnsi="AdvOT82c4f4c4" w:cs="AdvOT82c4f4c4"/>
          <w:color w:val="000000"/>
          <w:sz w:val="16"/>
          <w:szCs w:val="16"/>
        </w:rPr>
        <w:t xml:space="preserve"> E, Lee H, Chang YC, Kwon-Chung KJ (2010) Cryptococcus </w:t>
      </w:r>
      <w:proofErr w:type="spellStart"/>
      <w:r>
        <w:rPr>
          <w:rFonts w:ascii="AdvOT82c4f4c4" w:hAnsi="AdvOT82c4f4c4" w:cs="AdvOT82c4f4c4"/>
          <w:color w:val="000000"/>
          <w:sz w:val="16"/>
          <w:szCs w:val="16"/>
        </w:rPr>
        <w:t>neoformans</w:t>
      </w:r>
      <w:proofErr w:type="spellEnd"/>
      <w:r>
        <w:rPr>
          <w:rFonts w:ascii="AdvOT82c4f4c4" w:hAnsi="AdvOT82c4f4c4" w:cs="AdvOT82c4f4c4"/>
          <w:color w:val="000000"/>
          <w:sz w:val="16"/>
          <w:szCs w:val="16"/>
        </w:rPr>
        <w:t xml:space="preserve"> overcomes stress of</w:t>
      </w:r>
      <w:r w:rsidR="00D85F25">
        <w:rPr>
          <w:rFonts w:ascii="AdvOT82c4f4c4" w:hAnsi="AdvOT82c4f4c4" w:cs="AdvOT82c4f4c4"/>
          <w:color w:val="000000"/>
          <w:sz w:val="16"/>
          <w:szCs w:val="16"/>
        </w:rPr>
        <w:t xml:space="preserve"> </w:t>
      </w:r>
      <w:r>
        <w:rPr>
          <w:rFonts w:ascii="AdvOT82c4f4c4" w:hAnsi="AdvOT82c4f4c4" w:cs="AdvOT82c4f4c4"/>
          <w:color w:val="000000"/>
          <w:sz w:val="16"/>
          <w:szCs w:val="16"/>
        </w:rPr>
        <w:t xml:space="preserve">azole drugs by formation of </w:t>
      </w:r>
      <w:proofErr w:type="spellStart"/>
      <w:r>
        <w:rPr>
          <w:rFonts w:ascii="AdvOT82c4f4c4" w:hAnsi="AdvOT82c4f4c4" w:cs="AdvOT82c4f4c4"/>
          <w:color w:val="000000"/>
          <w:sz w:val="16"/>
          <w:szCs w:val="16"/>
        </w:rPr>
        <w:t>disomy</w:t>
      </w:r>
      <w:proofErr w:type="spellEnd"/>
      <w:r>
        <w:rPr>
          <w:rFonts w:ascii="AdvOT82c4f4c4" w:hAnsi="AdvOT82c4f4c4" w:cs="AdvOT82c4f4c4"/>
          <w:color w:val="000000"/>
          <w:sz w:val="16"/>
          <w:szCs w:val="16"/>
        </w:rPr>
        <w:t xml:space="preserve"> in specific multiple chromosomes. </w:t>
      </w:r>
      <w:proofErr w:type="spellStart"/>
      <w:r>
        <w:rPr>
          <w:rFonts w:ascii="AdvOT82c4f4c4" w:hAnsi="AdvOT82c4f4c4" w:cs="AdvOT82c4f4c4"/>
          <w:color w:val="000000"/>
          <w:sz w:val="16"/>
          <w:szCs w:val="16"/>
        </w:rPr>
        <w:t>PLoS</w:t>
      </w:r>
      <w:proofErr w:type="spellEnd"/>
      <w:r>
        <w:rPr>
          <w:rFonts w:ascii="AdvOT82c4f4c4" w:hAnsi="AdvOT82c4f4c4" w:cs="AdvOT82c4f4c4"/>
          <w:color w:val="000000"/>
          <w:sz w:val="16"/>
          <w:szCs w:val="16"/>
        </w:rPr>
        <w:t xml:space="preserve"> pathogens 6: e1000848.</w:t>
      </w:r>
      <w:r w:rsidR="00D85F25">
        <w:rPr>
          <w:rFonts w:ascii="AdvOT82c4f4c4" w:hAnsi="AdvOT82c4f4c4" w:cs="AdvOT82c4f4c4"/>
          <w:color w:val="000000"/>
          <w:sz w:val="16"/>
          <w:szCs w:val="16"/>
        </w:rPr>
        <w:t xml:space="preserve"> </w:t>
      </w:r>
      <w:proofErr w:type="spellStart"/>
      <w:proofErr w:type="gramStart"/>
      <w:r>
        <w:rPr>
          <w:rFonts w:ascii="AdvOT82c4f4c4" w:hAnsi="AdvOT82c4f4c4" w:cs="AdvOT82c4f4c4"/>
          <w:color w:val="000000"/>
          <w:sz w:val="16"/>
          <w:szCs w:val="16"/>
        </w:rPr>
        <w:t>doi</w:t>
      </w:r>
      <w:proofErr w:type="spellEnd"/>
      <w:proofErr w:type="gramEnd"/>
      <w:r>
        <w:rPr>
          <w:rFonts w:ascii="AdvOT82c4f4c4" w:hAnsi="AdvOT82c4f4c4" w:cs="AdvOT82c4f4c4"/>
          <w:color w:val="000000"/>
          <w:sz w:val="16"/>
          <w:szCs w:val="16"/>
        </w:rPr>
        <w:t xml:space="preserve">: </w:t>
      </w:r>
      <w:r>
        <w:rPr>
          <w:rFonts w:ascii="AdvOT82c4f4c4" w:hAnsi="AdvOT82c4f4c4" w:cs="AdvOT82c4f4c4"/>
          <w:color w:val="2C5CFB"/>
          <w:sz w:val="16"/>
          <w:szCs w:val="16"/>
        </w:rPr>
        <w:t xml:space="preserve">10.1371/journal.ppat.1000848 </w:t>
      </w:r>
      <w:r>
        <w:rPr>
          <w:rFonts w:ascii="AdvOT82c4f4c4" w:hAnsi="AdvOT82c4f4c4" w:cs="AdvOT82c4f4c4"/>
          <w:color w:val="000000"/>
          <w:sz w:val="16"/>
          <w:szCs w:val="16"/>
        </w:rPr>
        <w:t xml:space="preserve">PMID: </w:t>
      </w:r>
      <w:r>
        <w:rPr>
          <w:rFonts w:ascii="AdvOT82c4f4c4" w:hAnsi="AdvOT82c4f4c4" w:cs="AdvOT82c4f4c4"/>
          <w:color w:val="2C5CFB"/>
          <w:sz w:val="16"/>
          <w:szCs w:val="16"/>
        </w:rPr>
        <w:t>20368972</w:t>
      </w:r>
    </w:p>
    <w:p w:rsidR="00C44D37" w:rsidRDefault="00C44D37" w:rsidP="00C24F0A">
      <w:pPr>
        <w:autoSpaceDE w:val="0"/>
        <w:autoSpaceDN w:val="0"/>
        <w:adjustRightInd w:val="0"/>
        <w:spacing w:after="0" w:line="240" w:lineRule="auto"/>
        <w:rPr>
          <w:rFonts w:ascii="AdvOT82c4f4c4" w:hAnsi="AdvOT82c4f4c4" w:cs="AdvOT82c4f4c4"/>
          <w:color w:val="000000"/>
          <w:sz w:val="16"/>
          <w:szCs w:val="16"/>
        </w:rPr>
      </w:pPr>
    </w:p>
    <w:p w:rsidR="007E432B" w:rsidRDefault="00C24F0A" w:rsidP="00D85F25">
      <w:pPr>
        <w:autoSpaceDE w:val="0"/>
        <w:autoSpaceDN w:val="0"/>
        <w:adjustRightInd w:val="0"/>
        <w:spacing w:after="0" w:line="240" w:lineRule="auto"/>
        <w:rPr>
          <w:rFonts w:ascii="AdvOT82c4f4c4" w:hAnsi="AdvOT82c4f4c4" w:cs="AdvOT82c4f4c4"/>
          <w:color w:val="2C5CFB"/>
          <w:sz w:val="16"/>
          <w:szCs w:val="16"/>
        </w:rPr>
      </w:pPr>
      <w:proofErr w:type="spellStart"/>
      <w:r>
        <w:rPr>
          <w:rFonts w:ascii="AdvOT82c4f4c4" w:hAnsi="AdvOT82c4f4c4" w:cs="AdvOT82c4f4c4"/>
          <w:color w:val="000000"/>
          <w:sz w:val="16"/>
          <w:szCs w:val="16"/>
        </w:rPr>
        <w:t>Selmecki</w:t>
      </w:r>
      <w:proofErr w:type="spellEnd"/>
      <w:r>
        <w:rPr>
          <w:rFonts w:ascii="AdvOT82c4f4c4" w:hAnsi="AdvOT82c4f4c4" w:cs="AdvOT82c4f4c4"/>
          <w:color w:val="000000"/>
          <w:sz w:val="16"/>
          <w:szCs w:val="16"/>
        </w:rPr>
        <w:t xml:space="preserve"> A, </w:t>
      </w:r>
      <w:proofErr w:type="spellStart"/>
      <w:r>
        <w:rPr>
          <w:rFonts w:ascii="AdvOT82c4f4c4" w:hAnsi="AdvOT82c4f4c4" w:cs="AdvOT82c4f4c4"/>
          <w:color w:val="000000"/>
          <w:sz w:val="16"/>
          <w:szCs w:val="16"/>
        </w:rPr>
        <w:t>Forche</w:t>
      </w:r>
      <w:proofErr w:type="spellEnd"/>
      <w:r>
        <w:rPr>
          <w:rFonts w:ascii="AdvOT82c4f4c4" w:hAnsi="AdvOT82c4f4c4" w:cs="AdvOT82c4f4c4"/>
          <w:color w:val="000000"/>
          <w:sz w:val="16"/>
          <w:szCs w:val="16"/>
        </w:rPr>
        <w:t xml:space="preserve"> A, Berman J (2010) Genomic plasticity of the human fungal pathogen Candida </w:t>
      </w:r>
      <w:proofErr w:type="spellStart"/>
      <w:r>
        <w:rPr>
          <w:rFonts w:ascii="AdvOT82c4f4c4" w:hAnsi="AdvOT82c4f4c4" w:cs="AdvOT82c4f4c4"/>
          <w:color w:val="000000"/>
          <w:sz w:val="16"/>
          <w:szCs w:val="16"/>
        </w:rPr>
        <w:t>albicans</w:t>
      </w:r>
      <w:proofErr w:type="spellEnd"/>
      <w:r>
        <w:rPr>
          <w:rFonts w:ascii="AdvOT82c4f4c4" w:hAnsi="AdvOT82c4f4c4" w:cs="AdvOT82c4f4c4"/>
          <w:color w:val="000000"/>
          <w:sz w:val="16"/>
          <w:szCs w:val="16"/>
        </w:rPr>
        <w:t>.</w:t>
      </w:r>
      <w:r w:rsidR="00D85F25">
        <w:rPr>
          <w:rFonts w:ascii="AdvOT82c4f4c4" w:hAnsi="AdvOT82c4f4c4" w:cs="AdvOT82c4f4c4"/>
          <w:color w:val="000000"/>
          <w:sz w:val="16"/>
          <w:szCs w:val="16"/>
        </w:rPr>
        <w:t xml:space="preserve"> </w:t>
      </w:r>
      <w:r>
        <w:rPr>
          <w:rFonts w:ascii="AdvOT82c4f4c4" w:hAnsi="AdvOT82c4f4c4" w:cs="AdvOT82c4f4c4"/>
          <w:color w:val="000000"/>
          <w:sz w:val="16"/>
          <w:szCs w:val="16"/>
        </w:rPr>
        <w:t>Eukaryotic cell 9: 991</w:t>
      </w:r>
      <w:r>
        <w:rPr>
          <w:rFonts w:ascii="AdvOT82c4f4c4+20" w:hAnsi="AdvOT82c4f4c4+20" w:cs="AdvOT82c4f4c4+20"/>
          <w:color w:val="000000"/>
          <w:sz w:val="16"/>
          <w:szCs w:val="16"/>
        </w:rPr>
        <w:t>–</w:t>
      </w:r>
      <w:r>
        <w:rPr>
          <w:rFonts w:ascii="AdvOT82c4f4c4" w:hAnsi="AdvOT82c4f4c4" w:cs="AdvOT82c4f4c4"/>
          <w:color w:val="000000"/>
          <w:sz w:val="16"/>
          <w:szCs w:val="16"/>
        </w:rPr>
        <w:t xml:space="preserve">1008. </w:t>
      </w:r>
      <w:proofErr w:type="spellStart"/>
      <w:proofErr w:type="gramStart"/>
      <w:r>
        <w:rPr>
          <w:rFonts w:ascii="AdvOT82c4f4c4" w:hAnsi="AdvOT82c4f4c4" w:cs="AdvOT82c4f4c4"/>
          <w:color w:val="000000"/>
          <w:sz w:val="16"/>
          <w:szCs w:val="16"/>
        </w:rPr>
        <w:t>doi</w:t>
      </w:r>
      <w:proofErr w:type="spellEnd"/>
      <w:proofErr w:type="gramEnd"/>
      <w:r>
        <w:rPr>
          <w:rFonts w:ascii="AdvOT82c4f4c4" w:hAnsi="AdvOT82c4f4c4" w:cs="AdvOT82c4f4c4"/>
          <w:color w:val="000000"/>
          <w:sz w:val="16"/>
          <w:szCs w:val="16"/>
        </w:rPr>
        <w:t xml:space="preserve">: </w:t>
      </w:r>
      <w:r>
        <w:rPr>
          <w:rFonts w:ascii="AdvOT82c4f4c4" w:hAnsi="AdvOT82c4f4c4" w:cs="AdvOT82c4f4c4"/>
          <w:color w:val="2C5CFB"/>
          <w:sz w:val="16"/>
          <w:szCs w:val="16"/>
        </w:rPr>
        <w:t xml:space="preserve">10.1128/EC.00060-10 </w:t>
      </w:r>
      <w:r>
        <w:rPr>
          <w:rFonts w:ascii="AdvOT82c4f4c4" w:hAnsi="AdvOT82c4f4c4" w:cs="AdvOT82c4f4c4"/>
          <w:color w:val="000000"/>
          <w:sz w:val="16"/>
          <w:szCs w:val="16"/>
        </w:rPr>
        <w:t xml:space="preserve">PMID: </w:t>
      </w:r>
      <w:r>
        <w:rPr>
          <w:rFonts w:ascii="AdvOT82c4f4c4" w:hAnsi="AdvOT82c4f4c4" w:cs="AdvOT82c4f4c4"/>
          <w:color w:val="2C5CFB"/>
          <w:sz w:val="16"/>
          <w:szCs w:val="16"/>
        </w:rPr>
        <w:t>20495058</w:t>
      </w:r>
    </w:p>
    <w:p w:rsidR="00D85F25" w:rsidRDefault="00D85F25" w:rsidP="00D85F25">
      <w:pPr>
        <w:autoSpaceDE w:val="0"/>
        <w:autoSpaceDN w:val="0"/>
        <w:adjustRightInd w:val="0"/>
        <w:spacing w:after="0" w:line="240" w:lineRule="auto"/>
      </w:pPr>
    </w:p>
    <w:p w:rsidR="007E432B" w:rsidRDefault="00074B21" w:rsidP="00074B21">
      <w:pPr>
        <w:autoSpaceDE w:val="0"/>
        <w:autoSpaceDN w:val="0"/>
        <w:adjustRightInd w:val="0"/>
        <w:spacing w:after="0" w:line="240" w:lineRule="auto"/>
        <w:rPr>
          <w:rFonts w:ascii="AdvOT82c4f4c4" w:hAnsi="AdvOT82c4f4c4" w:cs="AdvOT82c4f4c4"/>
          <w:color w:val="000000"/>
          <w:sz w:val="16"/>
          <w:szCs w:val="16"/>
        </w:rPr>
      </w:pPr>
      <w:r>
        <w:rPr>
          <w:rFonts w:ascii="AdvOT82c4f4c4" w:hAnsi="AdvOT82c4f4c4" w:cs="AdvOT82c4f4c4"/>
          <w:color w:val="000000"/>
          <w:sz w:val="16"/>
          <w:szCs w:val="16"/>
        </w:rPr>
        <w:t xml:space="preserve">Shor E, Fox CA, Broach JR (2013) </w:t>
      </w:r>
      <w:proofErr w:type="gramStart"/>
      <w:r>
        <w:rPr>
          <w:rFonts w:ascii="AdvOT82c4f4c4" w:hAnsi="AdvOT82c4f4c4" w:cs="AdvOT82c4f4c4"/>
          <w:color w:val="000000"/>
          <w:sz w:val="16"/>
          <w:szCs w:val="16"/>
        </w:rPr>
        <w:t>The</w:t>
      </w:r>
      <w:proofErr w:type="gramEnd"/>
      <w:r>
        <w:rPr>
          <w:rFonts w:ascii="AdvOT82c4f4c4" w:hAnsi="AdvOT82c4f4c4" w:cs="AdvOT82c4f4c4"/>
          <w:color w:val="000000"/>
          <w:sz w:val="16"/>
          <w:szCs w:val="16"/>
        </w:rPr>
        <w:t xml:space="preserve"> yeast environmental stress response regulates mutagenesis induced</w:t>
      </w:r>
      <w:r w:rsidR="00D85F25">
        <w:rPr>
          <w:rFonts w:ascii="AdvOT82c4f4c4" w:hAnsi="AdvOT82c4f4c4" w:cs="AdvOT82c4f4c4"/>
          <w:color w:val="000000"/>
          <w:sz w:val="16"/>
          <w:szCs w:val="16"/>
        </w:rPr>
        <w:t xml:space="preserve"> </w:t>
      </w:r>
      <w:r>
        <w:rPr>
          <w:rFonts w:ascii="AdvOT82c4f4c4" w:hAnsi="AdvOT82c4f4c4" w:cs="AdvOT82c4f4c4"/>
          <w:color w:val="000000"/>
          <w:sz w:val="16"/>
          <w:szCs w:val="16"/>
        </w:rPr>
        <w:t xml:space="preserve">by </w:t>
      </w:r>
      <w:proofErr w:type="spellStart"/>
      <w:r>
        <w:rPr>
          <w:rFonts w:ascii="AdvOT82c4f4c4" w:hAnsi="AdvOT82c4f4c4" w:cs="AdvOT82c4f4c4"/>
          <w:color w:val="000000"/>
          <w:sz w:val="16"/>
          <w:szCs w:val="16"/>
        </w:rPr>
        <w:t>proteotoxic</w:t>
      </w:r>
      <w:proofErr w:type="spellEnd"/>
      <w:r>
        <w:rPr>
          <w:rFonts w:ascii="AdvOT82c4f4c4" w:hAnsi="AdvOT82c4f4c4" w:cs="AdvOT82c4f4c4"/>
          <w:color w:val="000000"/>
          <w:sz w:val="16"/>
          <w:szCs w:val="16"/>
        </w:rPr>
        <w:t xml:space="preserve"> stress. </w:t>
      </w:r>
      <w:proofErr w:type="spellStart"/>
      <w:r>
        <w:rPr>
          <w:rFonts w:ascii="AdvOT82c4f4c4" w:hAnsi="AdvOT82c4f4c4" w:cs="AdvOT82c4f4c4"/>
          <w:color w:val="000000"/>
          <w:sz w:val="16"/>
          <w:szCs w:val="16"/>
        </w:rPr>
        <w:t>PLoS</w:t>
      </w:r>
      <w:proofErr w:type="spellEnd"/>
      <w:r>
        <w:rPr>
          <w:rFonts w:ascii="AdvOT82c4f4c4" w:hAnsi="AdvOT82c4f4c4" w:cs="AdvOT82c4f4c4"/>
          <w:color w:val="000000"/>
          <w:sz w:val="16"/>
          <w:szCs w:val="16"/>
        </w:rPr>
        <w:t xml:space="preserve"> Genet 9: e1003680. </w:t>
      </w:r>
      <w:proofErr w:type="spellStart"/>
      <w:proofErr w:type="gramStart"/>
      <w:r>
        <w:rPr>
          <w:rFonts w:ascii="AdvOT82c4f4c4" w:hAnsi="AdvOT82c4f4c4" w:cs="AdvOT82c4f4c4"/>
          <w:color w:val="000000"/>
          <w:sz w:val="16"/>
          <w:szCs w:val="16"/>
        </w:rPr>
        <w:t>doi</w:t>
      </w:r>
      <w:proofErr w:type="spellEnd"/>
      <w:proofErr w:type="gramEnd"/>
      <w:r>
        <w:rPr>
          <w:rFonts w:ascii="AdvOT82c4f4c4" w:hAnsi="AdvOT82c4f4c4" w:cs="AdvOT82c4f4c4"/>
          <w:color w:val="000000"/>
          <w:sz w:val="16"/>
          <w:szCs w:val="16"/>
        </w:rPr>
        <w:t xml:space="preserve">: </w:t>
      </w:r>
      <w:r>
        <w:rPr>
          <w:rFonts w:ascii="AdvOT82c4f4c4" w:hAnsi="AdvOT82c4f4c4" w:cs="AdvOT82c4f4c4"/>
          <w:color w:val="2C5CFB"/>
          <w:sz w:val="16"/>
          <w:szCs w:val="16"/>
        </w:rPr>
        <w:t xml:space="preserve">10.1371/journal.pgen.1003680 </w:t>
      </w:r>
      <w:r>
        <w:rPr>
          <w:rFonts w:ascii="AdvOT82c4f4c4" w:hAnsi="AdvOT82c4f4c4" w:cs="AdvOT82c4f4c4"/>
          <w:color w:val="000000"/>
          <w:sz w:val="16"/>
          <w:szCs w:val="16"/>
        </w:rPr>
        <w:t>PMID:</w:t>
      </w:r>
      <w:r>
        <w:rPr>
          <w:rFonts w:ascii="AdvOT82c4f4c4" w:hAnsi="AdvOT82c4f4c4" w:cs="AdvOT82c4f4c4"/>
          <w:color w:val="2C5CFB"/>
          <w:sz w:val="16"/>
          <w:szCs w:val="16"/>
        </w:rPr>
        <w:t>23935537</w:t>
      </w:r>
    </w:p>
    <w:p w:rsidR="00074B21" w:rsidRDefault="00074B21" w:rsidP="000F0F37">
      <w:pPr>
        <w:autoSpaceDE w:val="0"/>
        <w:autoSpaceDN w:val="0"/>
        <w:adjustRightInd w:val="0"/>
        <w:spacing w:after="0" w:line="240" w:lineRule="auto"/>
        <w:rPr>
          <w:rFonts w:ascii="AdvOT82c4f4c4" w:hAnsi="AdvOT82c4f4c4" w:cs="AdvOT82c4f4c4"/>
          <w:color w:val="000000"/>
          <w:sz w:val="16"/>
          <w:szCs w:val="16"/>
        </w:rPr>
      </w:pPr>
    </w:p>
    <w:p w:rsidR="007E432B" w:rsidRDefault="007E432B" w:rsidP="007E432B">
      <w:pPr>
        <w:autoSpaceDE w:val="0"/>
        <w:autoSpaceDN w:val="0"/>
        <w:adjustRightInd w:val="0"/>
        <w:spacing w:after="0" w:line="240" w:lineRule="auto"/>
        <w:rPr>
          <w:rFonts w:ascii="AdvOT82c4f4c4" w:hAnsi="AdvOT82c4f4c4" w:cs="AdvOT82c4f4c4"/>
          <w:color w:val="2C5CFB"/>
          <w:sz w:val="16"/>
          <w:szCs w:val="16"/>
        </w:rPr>
      </w:pPr>
      <w:proofErr w:type="spellStart"/>
      <w:r>
        <w:rPr>
          <w:rFonts w:ascii="AdvOT82c4f4c4" w:hAnsi="AdvOT82c4f4c4" w:cs="AdvOT82c4f4c4"/>
          <w:color w:val="000000"/>
          <w:sz w:val="16"/>
          <w:szCs w:val="16"/>
        </w:rPr>
        <w:t>Boiteux</w:t>
      </w:r>
      <w:proofErr w:type="spellEnd"/>
      <w:r>
        <w:rPr>
          <w:rFonts w:ascii="AdvOT82c4f4c4" w:hAnsi="AdvOT82c4f4c4" w:cs="AdvOT82c4f4c4"/>
          <w:color w:val="000000"/>
          <w:sz w:val="16"/>
          <w:szCs w:val="16"/>
        </w:rPr>
        <w:t xml:space="preserve"> S, </w:t>
      </w:r>
      <w:proofErr w:type="spellStart"/>
      <w:r>
        <w:rPr>
          <w:rFonts w:ascii="AdvOT82c4f4c4" w:hAnsi="AdvOT82c4f4c4" w:cs="AdvOT82c4f4c4"/>
          <w:color w:val="000000"/>
          <w:sz w:val="16"/>
          <w:szCs w:val="16"/>
        </w:rPr>
        <w:t>Jinks</w:t>
      </w:r>
      <w:proofErr w:type="spellEnd"/>
      <w:r>
        <w:rPr>
          <w:rFonts w:ascii="AdvOT82c4f4c4" w:hAnsi="AdvOT82c4f4c4" w:cs="AdvOT82c4f4c4"/>
          <w:color w:val="000000"/>
          <w:sz w:val="16"/>
          <w:szCs w:val="16"/>
        </w:rPr>
        <w:t>-Robertson S (2013) DNA repair mechanisms and the bypass of DNA damage in Saccharomyces</w:t>
      </w:r>
      <w:r w:rsidR="00D85F25">
        <w:rPr>
          <w:rFonts w:ascii="AdvOT82c4f4c4" w:hAnsi="AdvOT82c4f4c4" w:cs="AdvOT82c4f4c4"/>
          <w:color w:val="000000"/>
          <w:sz w:val="16"/>
          <w:szCs w:val="16"/>
        </w:rPr>
        <w:t xml:space="preserve"> </w:t>
      </w:r>
      <w:r>
        <w:rPr>
          <w:rFonts w:ascii="AdvOT82c4f4c4" w:hAnsi="AdvOT82c4f4c4" w:cs="AdvOT82c4f4c4"/>
          <w:color w:val="000000"/>
          <w:sz w:val="16"/>
          <w:szCs w:val="16"/>
        </w:rPr>
        <w:t>cerevisiae. Genetics 193: 1025</w:t>
      </w:r>
      <w:r>
        <w:rPr>
          <w:rFonts w:ascii="AdvOT82c4f4c4+20" w:hAnsi="AdvOT82c4f4c4+20" w:cs="AdvOT82c4f4c4+20"/>
          <w:color w:val="000000"/>
          <w:sz w:val="16"/>
          <w:szCs w:val="16"/>
        </w:rPr>
        <w:t>–</w:t>
      </w:r>
      <w:r>
        <w:rPr>
          <w:rFonts w:ascii="AdvOT82c4f4c4" w:hAnsi="AdvOT82c4f4c4" w:cs="AdvOT82c4f4c4"/>
          <w:color w:val="000000"/>
          <w:sz w:val="16"/>
          <w:szCs w:val="16"/>
        </w:rPr>
        <w:t xml:space="preserve">1064. </w:t>
      </w:r>
      <w:proofErr w:type="spellStart"/>
      <w:proofErr w:type="gramStart"/>
      <w:r>
        <w:rPr>
          <w:rFonts w:ascii="AdvOT82c4f4c4" w:hAnsi="AdvOT82c4f4c4" w:cs="AdvOT82c4f4c4"/>
          <w:color w:val="000000"/>
          <w:sz w:val="16"/>
          <w:szCs w:val="16"/>
        </w:rPr>
        <w:t>doi</w:t>
      </w:r>
      <w:proofErr w:type="spellEnd"/>
      <w:proofErr w:type="gramEnd"/>
      <w:r>
        <w:rPr>
          <w:rFonts w:ascii="AdvOT82c4f4c4" w:hAnsi="AdvOT82c4f4c4" w:cs="AdvOT82c4f4c4"/>
          <w:color w:val="000000"/>
          <w:sz w:val="16"/>
          <w:szCs w:val="16"/>
        </w:rPr>
        <w:t xml:space="preserve">: </w:t>
      </w:r>
      <w:r>
        <w:rPr>
          <w:rFonts w:ascii="AdvOT82c4f4c4" w:hAnsi="AdvOT82c4f4c4" w:cs="AdvOT82c4f4c4"/>
          <w:color w:val="2C5CFB"/>
          <w:sz w:val="16"/>
          <w:szCs w:val="16"/>
        </w:rPr>
        <w:t xml:space="preserve">10.1534/genetics.112.145219 </w:t>
      </w:r>
      <w:r>
        <w:rPr>
          <w:rFonts w:ascii="AdvOT82c4f4c4" w:hAnsi="AdvOT82c4f4c4" w:cs="AdvOT82c4f4c4"/>
          <w:color w:val="000000"/>
          <w:sz w:val="16"/>
          <w:szCs w:val="16"/>
        </w:rPr>
        <w:t>PMID:</w:t>
      </w:r>
      <w:r w:rsidR="00D85F25">
        <w:rPr>
          <w:rFonts w:ascii="AdvOT82c4f4c4" w:hAnsi="AdvOT82c4f4c4" w:cs="AdvOT82c4f4c4"/>
          <w:color w:val="000000"/>
          <w:sz w:val="16"/>
          <w:szCs w:val="16"/>
        </w:rPr>
        <w:t xml:space="preserve"> </w:t>
      </w:r>
      <w:r>
        <w:rPr>
          <w:rFonts w:ascii="AdvOT82c4f4c4" w:hAnsi="AdvOT82c4f4c4" w:cs="AdvOT82c4f4c4"/>
          <w:color w:val="2C5CFB"/>
          <w:sz w:val="16"/>
          <w:szCs w:val="16"/>
        </w:rPr>
        <w:t>23547164</w:t>
      </w:r>
    </w:p>
    <w:p w:rsidR="007E432B" w:rsidRDefault="007E432B" w:rsidP="007E432B">
      <w:pPr>
        <w:autoSpaceDE w:val="0"/>
        <w:autoSpaceDN w:val="0"/>
        <w:adjustRightInd w:val="0"/>
        <w:spacing w:after="0" w:line="240" w:lineRule="auto"/>
        <w:rPr>
          <w:rFonts w:ascii="AdvOT82c4f4c4" w:hAnsi="AdvOT82c4f4c4" w:cs="AdvOT82c4f4c4"/>
          <w:color w:val="000000"/>
          <w:sz w:val="16"/>
          <w:szCs w:val="16"/>
        </w:rPr>
      </w:pPr>
    </w:p>
    <w:p w:rsidR="00DC6B17" w:rsidRDefault="000F0F37" w:rsidP="00D85F25">
      <w:pPr>
        <w:autoSpaceDE w:val="0"/>
        <w:autoSpaceDN w:val="0"/>
        <w:adjustRightInd w:val="0"/>
        <w:spacing w:after="0" w:line="240" w:lineRule="auto"/>
      </w:pPr>
      <w:r>
        <w:rPr>
          <w:rFonts w:ascii="AdvOT82c4f4c4" w:hAnsi="AdvOT82c4f4c4" w:cs="AdvOT82c4f4c4"/>
          <w:color w:val="000000"/>
          <w:sz w:val="16"/>
          <w:szCs w:val="16"/>
        </w:rPr>
        <w:t xml:space="preserve">Gutierrez A, </w:t>
      </w:r>
      <w:proofErr w:type="spellStart"/>
      <w:r>
        <w:rPr>
          <w:rFonts w:ascii="AdvOT82c4f4c4" w:hAnsi="AdvOT82c4f4c4" w:cs="AdvOT82c4f4c4"/>
          <w:color w:val="000000"/>
          <w:sz w:val="16"/>
          <w:szCs w:val="16"/>
        </w:rPr>
        <w:t>Laureti</w:t>
      </w:r>
      <w:proofErr w:type="spellEnd"/>
      <w:r>
        <w:rPr>
          <w:rFonts w:ascii="AdvOT82c4f4c4" w:hAnsi="AdvOT82c4f4c4" w:cs="AdvOT82c4f4c4"/>
          <w:color w:val="000000"/>
          <w:sz w:val="16"/>
          <w:szCs w:val="16"/>
        </w:rPr>
        <w:t xml:space="preserve"> L, </w:t>
      </w:r>
      <w:proofErr w:type="spellStart"/>
      <w:r>
        <w:rPr>
          <w:rFonts w:ascii="AdvOT82c4f4c4" w:hAnsi="AdvOT82c4f4c4" w:cs="AdvOT82c4f4c4"/>
          <w:color w:val="000000"/>
          <w:sz w:val="16"/>
          <w:szCs w:val="16"/>
        </w:rPr>
        <w:t>Crussard</w:t>
      </w:r>
      <w:proofErr w:type="spellEnd"/>
      <w:r>
        <w:rPr>
          <w:rFonts w:ascii="AdvOT82c4f4c4" w:hAnsi="AdvOT82c4f4c4" w:cs="AdvOT82c4f4c4"/>
          <w:color w:val="000000"/>
          <w:sz w:val="16"/>
          <w:szCs w:val="16"/>
        </w:rPr>
        <w:t xml:space="preserve"> S, </w:t>
      </w:r>
      <w:proofErr w:type="spellStart"/>
      <w:r>
        <w:rPr>
          <w:rFonts w:ascii="AdvOT82c4f4c4" w:hAnsi="AdvOT82c4f4c4" w:cs="AdvOT82c4f4c4"/>
          <w:color w:val="000000"/>
          <w:sz w:val="16"/>
          <w:szCs w:val="16"/>
        </w:rPr>
        <w:t>Abida</w:t>
      </w:r>
      <w:proofErr w:type="spellEnd"/>
      <w:r>
        <w:rPr>
          <w:rFonts w:ascii="AdvOT82c4f4c4" w:hAnsi="AdvOT82c4f4c4" w:cs="AdvOT82c4f4c4"/>
          <w:color w:val="000000"/>
          <w:sz w:val="16"/>
          <w:szCs w:val="16"/>
        </w:rPr>
        <w:t xml:space="preserve"> H, </w:t>
      </w:r>
      <w:proofErr w:type="spellStart"/>
      <w:r>
        <w:rPr>
          <w:rFonts w:ascii="AdvOT82c4f4c4" w:hAnsi="AdvOT82c4f4c4" w:cs="AdvOT82c4f4c4"/>
          <w:color w:val="000000"/>
          <w:sz w:val="16"/>
          <w:szCs w:val="16"/>
        </w:rPr>
        <w:t>Rodr</w:t>
      </w:r>
      <w:proofErr w:type="spellEnd"/>
      <w:r>
        <w:rPr>
          <w:rFonts w:ascii="AdvOT82c4f4c4" w:hAnsi="AdvOT82c4f4c4" w:cs="AdvOT82c4f4c4"/>
          <w:color w:val="000000"/>
          <w:sz w:val="16"/>
          <w:szCs w:val="16"/>
        </w:rPr>
        <w:t xml:space="preserve"> </w:t>
      </w:r>
      <w:proofErr w:type="spellStart"/>
      <w:r>
        <w:rPr>
          <w:rFonts w:ascii="AdvOT82c4f4c4" w:hAnsi="AdvOT82c4f4c4" w:cs="AdvOT82c4f4c4"/>
          <w:color w:val="000000"/>
          <w:sz w:val="16"/>
          <w:szCs w:val="16"/>
        </w:rPr>
        <w:t>i</w:t>
      </w:r>
      <w:proofErr w:type="spellEnd"/>
      <w:r>
        <w:rPr>
          <w:rFonts w:ascii="AdvOT82c4f4c4" w:hAnsi="AdvOT82c4f4c4" w:cs="AdvOT82c4f4c4"/>
          <w:color w:val="000000"/>
          <w:sz w:val="16"/>
          <w:szCs w:val="16"/>
        </w:rPr>
        <w:t xml:space="preserve"> </w:t>
      </w:r>
      <w:proofErr w:type="spellStart"/>
      <w:r>
        <w:rPr>
          <w:rFonts w:ascii="AdvOT82c4f4c4" w:hAnsi="AdvOT82c4f4c4" w:cs="AdvOT82c4f4c4"/>
          <w:color w:val="000000"/>
          <w:sz w:val="16"/>
          <w:szCs w:val="16"/>
        </w:rPr>
        <w:t>guez</w:t>
      </w:r>
      <w:proofErr w:type="spellEnd"/>
      <w:r>
        <w:rPr>
          <w:rFonts w:ascii="AdvOT82c4f4c4" w:hAnsi="AdvOT82c4f4c4" w:cs="AdvOT82c4f4c4"/>
          <w:color w:val="000000"/>
          <w:sz w:val="16"/>
          <w:szCs w:val="16"/>
        </w:rPr>
        <w:t xml:space="preserve">-Rojas A, et al. (2013) </w:t>
      </w:r>
      <w:r>
        <w:rPr>
          <w:rFonts w:ascii="AdvTT153188ed+03" w:hAnsi="AdvTT153188ed+03" w:cs="AdvTT153188ed+03"/>
          <w:color w:val="000000"/>
          <w:sz w:val="16"/>
          <w:szCs w:val="16"/>
        </w:rPr>
        <w:t>β</w:t>
      </w:r>
      <w:r>
        <w:rPr>
          <w:rFonts w:ascii="AdvOT82c4f4c4" w:hAnsi="AdvOT82c4f4c4" w:cs="AdvOT82c4f4c4"/>
          <w:color w:val="000000"/>
          <w:sz w:val="16"/>
          <w:szCs w:val="16"/>
        </w:rPr>
        <w:t>-lactam antibiotics promote</w:t>
      </w:r>
      <w:r w:rsidR="00D85F25">
        <w:rPr>
          <w:rFonts w:ascii="AdvOT82c4f4c4" w:hAnsi="AdvOT82c4f4c4" w:cs="AdvOT82c4f4c4"/>
          <w:color w:val="000000"/>
          <w:sz w:val="16"/>
          <w:szCs w:val="16"/>
        </w:rPr>
        <w:t xml:space="preserve"> </w:t>
      </w:r>
      <w:r>
        <w:rPr>
          <w:rFonts w:ascii="AdvOT82c4f4c4" w:hAnsi="AdvOT82c4f4c4" w:cs="AdvOT82c4f4c4"/>
          <w:color w:val="000000"/>
          <w:sz w:val="16"/>
          <w:szCs w:val="16"/>
        </w:rPr>
        <w:t xml:space="preserve">bacterial mutagenesis via an </w:t>
      </w:r>
      <w:proofErr w:type="spellStart"/>
      <w:r>
        <w:rPr>
          <w:rFonts w:ascii="AdvOT82c4f4c4" w:hAnsi="AdvOT82c4f4c4" w:cs="AdvOT82c4f4c4"/>
          <w:color w:val="000000"/>
          <w:sz w:val="16"/>
          <w:szCs w:val="16"/>
        </w:rPr>
        <w:t>RpoS</w:t>
      </w:r>
      <w:proofErr w:type="spellEnd"/>
      <w:r>
        <w:rPr>
          <w:rFonts w:ascii="AdvOT82c4f4c4" w:hAnsi="AdvOT82c4f4c4" w:cs="AdvOT82c4f4c4"/>
          <w:color w:val="000000"/>
          <w:sz w:val="16"/>
          <w:szCs w:val="16"/>
        </w:rPr>
        <w:t>-mediated reduction in replication fidelity. Nature communications</w:t>
      </w:r>
      <w:r w:rsidR="00D85F25">
        <w:rPr>
          <w:rFonts w:ascii="AdvOT82c4f4c4" w:hAnsi="AdvOT82c4f4c4" w:cs="AdvOT82c4f4c4"/>
          <w:color w:val="000000"/>
          <w:sz w:val="16"/>
          <w:szCs w:val="16"/>
        </w:rPr>
        <w:t xml:space="preserve"> </w:t>
      </w:r>
      <w:r>
        <w:rPr>
          <w:rFonts w:ascii="AdvOT82c4f4c4" w:hAnsi="AdvOT82c4f4c4" w:cs="AdvOT82c4f4c4"/>
          <w:color w:val="000000"/>
          <w:sz w:val="16"/>
          <w:szCs w:val="16"/>
        </w:rPr>
        <w:t xml:space="preserve">4: 1610. </w:t>
      </w:r>
      <w:proofErr w:type="spellStart"/>
      <w:proofErr w:type="gramStart"/>
      <w:r>
        <w:rPr>
          <w:rFonts w:ascii="AdvOT82c4f4c4" w:hAnsi="AdvOT82c4f4c4" w:cs="AdvOT82c4f4c4"/>
          <w:color w:val="000000"/>
          <w:sz w:val="16"/>
          <w:szCs w:val="16"/>
        </w:rPr>
        <w:t>doi</w:t>
      </w:r>
      <w:proofErr w:type="spellEnd"/>
      <w:proofErr w:type="gramEnd"/>
      <w:r>
        <w:rPr>
          <w:rFonts w:ascii="AdvOT82c4f4c4" w:hAnsi="AdvOT82c4f4c4" w:cs="AdvOT82c4f4c4"/>
          <w:color w:val="000000"/>
          <w:sz w:val="16"/>
          <w:szCs w:val="16"/>
        </w:rPr>
        <w:t xml:space="preserve">: </w:t>
      </w:r>
      <w:r>
        <w:rPr>
          <w:rFonts w:ascii="AdvOT82c4f4c4" w:hAnsi="AdvOT82c4f4c4" w:cs="AdvOT82c4f4c4"/>
          <w:color w:val="2C5CFB"/>
          <w:sz w:val="16"/>
          <w:szCs w:val="16"/>
        </w:rPr>
        <w:t xml:space="preserve">10.1038/ncomms2607 </w:t>
      </w:r>
      <w:r>
        <w:rPr>
          <w:rFonts w:ascii="AdvOT82c4f4c4" w:hAnsi="AdvOT82c4f4c4" w:cs="AdvOT82c4f4c4"/>
          <w:color w:val="000000"/>
          <w:sz w:val="16"/>
          <w:szCs w:val="16"/>
        </w:rPr>
        <w:t xml:space="preserve">PMID: </w:t>
      </w:r>
      <w:r>
        <w:rPr>
          <w:rFonts w:ascii="AdvOT82c4f4c4" w:hAnsi="AdvOT82c4f4c4" w:cs="AdvOT82c4f4c4"/>
          <w:color w:val="2C5CFB"/>
          <w:sz w:val="16"/>
          <w:szCs w:val="16"/>
        </w:rPr>
        <w:t>23511474</w:t>
      </w:r>
    </w:p>
    <w:p w:rsidR="005236B0" w:rsidRDefault="005236B0" w:rsidP="00FE55EC">
      <w:pPr>
        <w:autoSpaceDE w:val="0"/>
        <w:autoSpaceDN w:val="0"/>
        <w:adjustRightInd w:val="0"/>
        <w:spacing w:after="0" w:line="240" w:lineRule="auto"/>
        <w:rPr>
          <w:rFonts w:ascii="AdvOT82c4f4c4" w:hAnsi="AdvOT82c4f4c4" w:cs="AdvOT82c4f4c4"/>
          <w:sz w:val="16"/>
          <w:szCs w:val="16"/>
        </w:rPr>
      </w:pPr>
    </w:p>
    <w:p w:rsidR="005236B0" w:rsidRDefault="00FE55EC" w:rsidP="005236B0">
      <w:pPr>
        <w:autoSpaceDE w:val="0"/>
        <w:autoSpaceDN w:val="0"/>
        <w:adjustRightInd w:val="0"/>
        <w:spacing w:after="0" w:line="240" w:lineRule="auto"/>
        <w:rPr>
          <w:rFonts w:ascii="AdvOT82c4f4c4" w:hAnsi="AdvOT82c4f4c4" w:cs="AdvOT82c4f4c4"/>
          <w:sz w:val="16"/>
          <w:szCs w:val="16"/>
        </w:rPr>
      </w:pPr>
      <w:r>
        <w:rPr>
          <w:rFonts w:ascii="AdvOT82c4f4c4" w:hAnsi="AdvOT82c4f4c4" w:cs="AdvOT82c4f4c4"/>
          <w:sz w:val="16"/>
          <w:szCs w:val="16"/>
        </w:rPr>
        <w:t xml:space="preserve">Zhao X, </w:t>
      </w:r>
      <w:proofErr w:type="spellStart"/>
      <w:r>
        <w:rPr>
          <w:rFonts w:ascii="AdvOT82c4f4c4" w:hAnsi="AdvOT82c4f4c4" w:cs="AdvOT82c4f4c4"/>
          <w:sz w:val="16"/>
          <w:szCs w:val="16"/>
        </w:rPr>
        <w:t>Drlica</w:t>
      </w:r>
      <w:proofErr w:type="spellEnd"/>
      <w:r>
        <w:rPr>
          <w:rFonts w:ascii="AdvOT82c4f4c4" w:hAnsi="AdvOT82c4f4c4" w:cs="AdvOT82c4f4c4"/>
          <w:sz w:val="16"/>
          <w:szCs w:val="16"/>
        </w:rPr>
        <w:t xml:space="preserve"> K (2014) Reactive oxygen species and the bacterial response to lethal stress. Current</w:t>
      </w:r>
      <w:r w:rsidR="005236B0">
        <w:rPr>
          <w:rFonts w:ascii="AdvOT82c4f4c4" w:hAnsi="AdvOT82c4f4c4" w:cs="AdvOT82c4f4c4"/>
          <w:sz w:val="16"/>
          <w:szCs w:val="16"/>
        </w:rPr>
        <w:t xml:space="preserve"> </w:t>
      </w:r>
      <w:r>
        <w:rPr>
          <w:rFonts w:ascii="AdvOT82c4f4c4" w:hAnsi="AdvOT82c4f4c4" w:cs="AdvOT82c4f4c4"/>
          <w:sz w:val="16"/>
          <w:szCs w:val="16"/>
        </w:rPr>
        <w:t>opinion in microbiology 21C: 1</w:t>
      </w:r>
      <w:r>
        <w:rPr>
          <w:rFonts w:ascii="AdvOT82c4f4c4+20" w:hAnsi="AdvOT82c4f4c4+20" w:cs="AdvOT82c4f4c4+20"/>
          <w:sz w:val="16"/>
          <w:szCs w:val="16"/>
        </w:rPr>
        <w:t>–</w:t>
      </w:r>
      <w:r>
        <w:rPr>
          <w:rFonts w:ascii="AdvOT82c4f4c4" w:hAnsi="AdvOT82c4f4c4" w:cs="AdvOT82c4f4c4"/>
          <w:sz w:val="16"/>
          <w:szCs w:val="16"/>
        </w:rPr>
        <w:t>6.</w:t>
      </w:r>
    </w:p>
    <w:p w:rsidR="00FE55EC" w:rsidRDefault="005236B0" w:rsidP="005236B0">
      <w:pPr>
        <w:autoSpaceDE w:val="0"/>
        <w:autoSpaceDN w:val="0"/>
        <w:adjustRightInd w:val="0"/>
        <w:spacing w:after="0" w:line="240" w:lineRule="auto"/>
      </w:pPr>
      <w:r>
        <w:rPr>
          <w:rFonts w:ascii="AdvOT82c4f4c4" w:hAnsi="AdvOT82c4f4c4" w:cs="AdvOT82c4f4c4"/>
          <w:sz w:val="16"/>
          <w:szCs w:val="16"/>
        </w:rPr>
        <w:t xml:space="preserve"> </w:t>
      </w:r>
    </w:p>
    <w:p w:rsidR="00BA3346" w:rsidRDefault="00BA3346" w:rsidP="005236B0">
      <w:pPr>
        <w:autoSpaceDE w:val="0"/>
        <w:autoSpaceDN w:val="0"/>
        <w:adjustRightInd w:val="0"/>
        <w:spacing w:after="0" w:line="240" w:lineRule="auto"/>
        <w:rPr>
          <w:rFonts w:ascii="AdvOT82c4f4c4" w:hAnsi="AdvOT82c4f4c4" w:cs="AdvOT82c4f4c4"/>
          <w:color w:val="2C5CFB"/>
          <w:sz w:val="16"/>
          <w:szCs w:val="16"/>
        </w:rPr>
      </w:pPr>
      <w:proofErr w:type="spellStart"/>
      <w:r>
        <w:rPr>
          <w:rFonts w:ascii="AdvOT82c4f4c4" w:hAnsi="AdvOT82c4f4c4" w:cs="AdvOT82c4f4c4"/>
          <w:color w:val="000000"/>
          <w:sz w:val="16"/>
          <w:szCs w:val="16"/>
        </w:rPr>
        <w:t>Foti</w:t>
      </w:r>
      <w:proofErr w:type="spellEnd"/>
      <w:r>
        <w:rPr>
          <w:rFonts w:ascii="AdvOT82c4f4c4" w:hAnsi="AdvOT82c4f4c4" w:cs="AdvOT82c4f4c4"/>
          <w:color w:val="000000"/>
          <w:sz w:val="16"/>
          <w:szCs w:val="16"/>
        </w:rPr>
        <w:t xml:space="preserve"> JJ, </w:t>
      </w:r>
      <w:proofErr w:type="spellStart"/>
      <w:r>
        <w:rPr>
          <w:rFonts w:ascii="AdvOT82c4f4c4" w:hAnsi="AdvOT82c4f4c4" w:cs="AdvOT82c4f4c4"/>
          <w:color w:val="000000"/>
          <w:sz w:val="16"/>
          <w:szCs w:val="16"/>
        </w:rPr>
        <w:t>Devadoss</w:t>
      </w:r>
      <w:proofErr w:type="spellEnd"/>
      <w:r>
        <w:rPr>
          <w:rFonts w:ascii="AdvOT82c4f4c4" w:hAnsi="AdvOT82c4f4c4" w:cs="AdvOT82c4f4c4"/>
          <w:color w:val="000000"/>
          <w:sz w:val="16"/>
          <w:szCs w:val="16"/>
        </w:rPr>
        <w:t xml:space="preserve"> B, Winkler JA, Collins JJ, Walker GC (2012) Oxidation of the Guanine Nucleotide</w:t>
      </w:r>
      <w:r w:rsidR="005236B0">
        <w:rPr>
          <w:rFonts w:ascii="AdvOT82c4f4c4" w:hAnsi="AdvOT82c4f4c4" w:cs="AdvOT82c4f4c4"/>
          <w:color w:val="000000"/>
          <w:sz w:val="16"/>
          <w:szCs w:val="16"/>
        </w:rPr>
        <w:t xml:space="preserve"> </w:t>
      </w:r>
      <w:r>
        <w:rPr>
          <w:rFonts w:ascii="AdvOT82c4f4c4" w:hAnsi="AdvOT82c4f4c4" w:cs="AdvOT82c4f4c4"/>
          <w:color w:val="000000"/>
          <w:sz w:val="16"/>
          <w:szCs w:val="16"/>
        </w:rPr>
        <w:t>Pool Underlies Cell Death by Bactericidal Antibiotics. Science 336: 315</w:t>
      </w:r>
      <w:r>
        <w:rPr>
          <w:rFonts w:ascii="AdvOT82c4f4c4+20" w:hAnsi="AdvOT82c4f4c4+20" w:cs="AdvOT82c4f4c4+20"/>
          <w:color w:val="000000"/>
          <w:sz w:val="16"/>
          <w:szCs w:val="16"/>
        </w:rPr>
        <w:t>–</w:t>
      </w:r>
      <w:r>
        <w:rPr>
          <w:rFonts w:ascii="AdvOT82c4f4c4" w:hAnsi="AdvOT82c4f4c4" w:cs="AdvOT82c4f4c4"/>
          <w:color w:val="000000"/>
          <w:sz w:val="16"/>
          <w:szCs w:val="16"/>
        </w:rPr>
        <w:t xml:space="preserve">319. </w:t>
      </w:r>
      <w:proofErr w:type="spellStart"/>
      <w:proofErr w:type="gramStart"/>
      <w:r>
        <w:rPr>
          <w:rFonts w:ascii="AdvOT82c4f4c4" w:hAnsi="AdvOT82c4f4c4" w:cs="AdvOT82c4f4c4"/>
          <w:color w:val="000000"/>
          <w:sz w:val="16"/>
          <w:szCs w:val="16"/>
        </w:rPr>
        <w:t>doi</w:t>
      </w:r>
      <w:proofErr w:type="spellEnd"/>
      <w:proofErr w:type="gramEnd"/>
      <w:r>
        <w:rPr>
          <w:rFonts w:ascii="AdvOT82c4f4c4" w:hAnsi="AdvOT82c4f4c4" w:cs="AdvOT82c4f4c4"/>
          <w:color w:val="000000"/>
          <w:sz w:val="16"/>
          <w:szCs w:val="16"/>
        </w:rPr>
        <w:t xml:space="preserve">: </w:t>
      </w:r>
      <w:r>
        <w:rPr>
          <w:rFonts w:ascii="AdvOT82c4f4c4" w:hAnsi="AdvOT82c4f4c4" w:cs="AdvOT82c4f4c4"/>
          <w:color w:val="2C5CFB"/>
          <w:sz w:val="16"/>
          <w:szCs w:val="16"/>
        </w:rPr>
        <w:t>10.1126/science.</w:t>
      </w:r>
      <w:r w:rsidR="005236B0">
        <w:rPr>
          <w:rFonts w:ascii="AdvOT82c4f4c4" w:hAnsi="AdvOT82c4f4c4" w:cs="AdvOT82c4f4c4"/>
          <w:color w:val="2C5CFB"/>
          <w:sz w:val="16"/>
          <w:szCs w:val="16"/>
        </w:rPr>
        <w:t xml:space="preserve"> </w:t>
      </w:r>
      <w:r>
        <w:rPr>
          <w:rFonts w:ascii="AdvOT82c4f4c4" w:hAnsi="AdvOT82c4f4c4" w:cs="AdvOT82c4f4c4"/>
          <w:color w:val="2C5CFB"/>
          <w:sz w:val="16"/>
          <w:szCs w:val="16"/>
        </w:rPr>
        <w:t xml:space="preserve">1219192 </w:t>
      </w:r>
      <w:r>
        <w:rPr>
          <w:rFonts w:ascii="AdvOT82c4f4c4" w:hAnsi="AdvOT82c4f4c4" w:cs="AdvOT82c4f4c4"/>
          <w:color w:val="000000"/>
          <w:sz w:val="16"/>
          <w:szCs w:val="16"/>
        </w:rPr>
        <w:t xml:space="preserve">PMID: </w:t>
      </w:r>
      <w:r>
        <w:rPr>
          <w:rFonts w:ascii="AdvOT82c4f4c4" w:hAnsi="AdvOT82c4f4c4" w:cs="AdvOT82c4f4c4"/>
          <w:color w:val="2C5CFB"/>
          <w:sz w:val="16"/>
          <w:szCs w:val="16"/>
        </w:rPr>
        <w:t>22517853</w:t>
      </w:r>
    </w:p>
    <w:p w:rsidR="005236B0" w:rsidRDefault="005236B0" w:rsidP="005236B0">
      <w:pPr>
        <w:autoSpaceDE w:val="0"/>
        <w:autoSpaceDN w:val="0"/>
        <w:adjustRightInd w:val="0"/>
        <w:spacing w:after="0" w:line="240" w:lineRule="auto"/>
      </w:pPr>
    </w:p>
    <w:p w:rsidR="00306755" w:rsidRDefault="00D32696" w:rsidP="005236B0">
      <w:pPr>
        <w:autoSpaceDE w:val="0"/>
        <w:autoSpaceDN w:val="0"/>
        <w:adjustRightInd w:val="0"/>
        <w:spacing w:after="0" w:line="240" w:lineRule="auto"/>
      </w:pPr>
      <w:r>
        <w:rPr>
          <w:rFonts w:ascii="AdvOT82c4f4c4" w:hAnsi="AdvOT82c4f4c4" w:cs="AdvOT82c4f4c4"/>
          <w:color w:val="000000"/>
          <w:sz w:val="16"/>
          <w:szCs w:val="16"/>
        </w:rPr>
        <w:t>Mesa-</w:t>
      </w:r>
      <w:proofErr w:type="spellStart"/>
      <w:r>
        <w:rPr>
          <w:rFonts w:ascii="AdvOT82c4f4c4" w:hAnsi="AdvOT82c4f4c4" w:cs="AdvOT82c4f4c4"/>
          <w:color w:val="000000"/>
          <w:sz w:val="16"/>
          <w:szCs w:val="16"/>
        </w:rPr>
        <w:t>Arango</w:t>
      </w:r>
      <w:proofErr w:type="spellEnd"/>
      <w:r>
        <w:rPr>
          <w:rFonts w:ascii="AdvOT82c4f4c4" w:hAnsi="AdvOT82c4f4c4" w:cs="AdvOT82c4f4c4"/>
          <w:color w:val="000000"/>
          <w:sz w:val="16"/>
          <w:szCs w:val="16"/>
        </w:rPr>
        <w:t xml:space="preserve"> AC, </w:t>
      </w:r>
      <w:proofErr w:type="spellStart"/>
      <w:r>
        <w:rPr>
          <w:rFonts w:ascii="AdvOT82c4f4c4" w:hAnsi="AdvOT82c4f4c4" w:cs="AdvOT82c4f4c4"/>
          <w:color w:val="000000"/>
          <w:sz w:val="16"/>
          <w:szCs w:val="16"/>
        </w:rPr>
        <w:t>Trevijano</w:t>
      </w:r>
      <w:proofErr w:type="spellEnd"/>
      <w:r>
        <w:rPr>
          <w:rFonts w:ascii="AdvOT82c4f4c4" w:hAnsi="AdvOT82c4f4c4" w:cs="AdvOT82c4f4c4"/>
          <w:color w:val="000000"/>
          <w:sz w:val="16"/>
          <w:szCs w:val="16"/>
        </w:rPr>
        <w:t xml:space="preserve">-Contador N, </w:t>
      </w:r>
      <w:proofErr w:type="spellStart"/>
      <w:r>
        <w:rPr>
          <w:rFonts w:ascii="AdvOT82c4f4c4" w:hAnsi="AdvOT82c4f4c4" w:cs="AdvOT82c4f4c4"/>
          <w:color w:val="000000"/>
          <w:sz w:val="16"/>
          <w:szCs w:val="16"/>
        </w:rPr>
        <w:t>Román</w:t>
      </w:r>
      <w:proofErr w:type="spellEnd"/>
      <w:r>
        <w:rPr>
          <w:rFonts w:ascii="AdvOT82c4f4c4" w:hAnsi="AdvOT82c4f4c4" w:cs="AdvOT82c4f4c4"/>
          <w:color w:val="000000"/>
          <w:sz w:val="16"/>
          <w:szCs w:val="16"/>
        </w:rPr>
        <w:t xml:space="preserve"> E, Sánchez-</w:t>
      </w:r>
      <w:proofErr w:type="spellStart"/>
      <w:r>
        <w:rPr>
          <w:rFonts w:ascii="AdvOT82c4f4c4" w:hAnsi="AdvOT82c4f4c4" w:cs="AdvOT82c4f4c4"/>
          <w:color w:val="000000"/>
          <w:sz w:val="16"/>
          <w:szCs w:val="16"/>
        </w:rPr>
        <w:t>Fresneda</w:t>
      </w:r>
      <w:proofErr w:type="spellEnd"/>
      <w:r>
        <w:rPr>
          <w:rFonts w:ascii="AdvOT82c4f4c4" w:hAnsi="AdvOT82c4f4c4" w:cs="AdvOT82c4f4c4"/>
          <w:color w:val="000000"/>
          <w:sz w:val="16"/>
          <w:szCs w:val="16"/>
        </w:rPr>
        <w:t xml:space="preserve"> R, Casas C, et al. (2014) The</w:t>
      </w:r>
      <w:r w:rsidR="005236B0">
        <w:rPr>
          <w:rFonts w:ascii="AdvOT82c4f4c4" w:hAnsi="AdvOT82c4f4c4" w:cs="AdvOT82c4f4c4"/>
          <w:color w:val="000000"/>
          <w:sz w:val="16"/>
          <w:szCs w:val="16"/>
        </w:rPr>
        <w:t xml:space="preserve"> </w:t>
      </w:r>
      <w:r>
        <w:rPr>
          <w:rFonts w:ascii="AdvOT82c4f4c4" w:hAnsi="AdvOT82c4f4c4" w:cs="AdvOT82c4f4c4"/>
          <w:color w:val="000000"/>
          <w:sz w:val="16"/>
          <w:szCs w:val="16"/>
        </w:rPr>
        <w:t>production of reactive oxygen species is an universal action mechanism of Amphotericin B against</w:t>
      </w:r>
      <w:r w:rsidR="005236B0">
        <w:rPr>
          <w:rFonts w:ascii="AdvOT82c4f4c4" w:hAnsi="AdvOT82c4f4c4" w:cs="AdvOT82c4f4c4"/>
          <w:color w:val="000000"/>
          <w:sz w:val="16"/>
          <w:szCs w:val="16"/>
        </w:rPr>
        <w:t xml:space="preserve"> </w:t>
      </w:r>
      <w:r>
        <w:rPr>
          <w:rFonts w:ascii="AdvOT82c4f4c4" w:hAnsi="AdvOT82c4f4c4" w:cs="AdvOT82c4f4c4"/>
          <w:color w:val="000000"/>
          <w:sz w:val="16"/>
          <w:szCs w:val="16"/>
        </w:rPr>
        <w:t>pathogenic yeasts and contributes to the fungicidal effect of this drug. Antimicrobial agents and chemotherapy</w:t>
      </w:r>
      <w:r w:rsidR="005236B0">
        <w:rPr>
          <w:rFonts w:ascii="AdvOT82c4f4c4" w:hAnsi="AdvOT82c4f4c4" w:cs="AdvOT82c4f4c4"/>
          <w:color w:val="000000"/>
          <w:sz w:val="16"/>
          <w:szCs w:val="16"/>
        </w:rPr>
        <w:t xml:space="preserve"> </w:t>
      </w:r>
      <w:r>
        <w:rPr>
          <w:rFonts w:ascii="AdvOT82c4f4c4" w:hAnsi="AdvOT82c4f4c4" w:cs="AdvOT82c4f4c4"/>
          <w:color w:val="000000"/>
          <w:sz w:val="16"/>
          <w:szCs w:val="16"/>
        </w:rPr>
        <w:t>58: 6627</w:t>
      </w:r>
      <w:r>
        <w:rPr>
          <w:rFonts w:ascii="AdvOT82c4f4c4+20" w:hAnsi="AdvOT82c4f4c4+20" w:cs="AdvOT82c4f4c4+20"/>
          <w:color w:val="000000"/>
          <w:sz w:val="16"/>
          <w:szCs w:val="16"/>
        </w:rPr>
        <w:t>–</w:t>
      </w:r>
      <w:r>
        <w:rPr>
          <w:rFonts w:ascii="AdvOT82c4f4c4" w:hAnsi="AdvOT82c4f4c4" w:cs="AdvOT82c4f4c4"/>
          <w:color w:val="000000"/>
          <w:sz w:val="16"/>
          <w:szCs w:val="16"/>
        </w:rPr>
        <w:t xml:space="preserve">38. </w:t>
      </w:r>
      <w:proofErr w:type="spellStart"/>
      <w:proofErr w:type="gramStart"/>
      <w:r>
        <w:rPr>
          <w:rFonts w:ascii="AdvOT82c4f4c4" w:hAnsi="AdvOT82c4f4c4" w:cs="AdvOT82c4f4c4"/>
          <w:color w:val="000000"/>
          <w:sz w:val="16"/>
          <w:szCs w:val="16"/>
        </w:rPr>
        <w:t>doi</w:t>
      </w:r>
      <w:proofErr w:type="spellEnd"/>
      <w:proofErr w:type="gramEnd"/>
      <w:r>
        <w:rPr>
          <w:rFonts w:ascii="AdvOT82c4f4c4" w:hAnsi="AdvOT82c4f4c4" w:cs="AdvOT82c4f4c4"/>
          <w:color w:val="000000"/>
          <w:sz w:val="16"/>
          <w:szCs w:val="16"/>
        </w:rPr>
        <w:t xml:space="preserve">: </w:t>
      </w:r>
      <w:r>
        <w:rPr>
          <w:rFonts w:ascii="AdvOT82c4f4c4" w:hAnsi="AdvOT82c4f4c4" w:cs="AdvOT82c4f4c4"/>
          <w:color w:val="2C5CFB"/>
          <w:sz w:val="16"/>
          <w:szCs w:val="16"/>
        </w:rPr>
        <w:t xml:space="preserve">10.1128/AAC.03570-14 </w:t>
      </w:r>
      <w:r>
        <w:rPr>
          <w:rFonts w:ascii="AdvOT82c4f4c4" w:hAnsi="AdvOT82c4f4c4" w:cs="AdvOT82c4f4c4"/>
          <w:color w:val="000000"/>
          <w:sz w:val="16"/>
          <w:szCs w:val="16"/>
        </w:rPr>
        <w:t xml:space="preserve">PMID: </w:t>
      </w:r>
      <w:r>
        <w:rPr>
          <w:rFonts w:ascii="AdvOT82c4f4c4" w:hAnsi="AdvOT82c4f4c4" w:cs="AdvOT82c4f4c4"/>
          <w:color w:val="2C5CFB"/>
          <w:sz w:val="16"/>
          <w:szCs w:val="16"/>
        </w:rPr>
        <w:t>25155595</w:t>
      </w:r>
    </w:p>
    <w:p w:rsidR="005236B0" w:rsidRDefault="005236B0" w:rsidP="00306755">
      <w:pPr>
        <w:autoSpaceDE w:val="0"/>
        <w:autoSpaceDN w:val="0"/>
        <w:adjustRightInd w:val="0"/>
        <w:spacing w:after="0" w:line="240" w:lineRule="auto"/>
        <w:rPr>
          <w:rFonts w:ascii="AdvOT82c4f4c4" w:hAnsi="AdvOT82c4f4c4" w:cs="AdvOT82c4f4c4"/>
          <w:color w:val="000000"/>
          <w:sz w:val="16"/>
          <w:szCs w:val="16"/>
        </w:rPr>
      </w:pPr>
    </w:p>
    <w:p w:rsidR="009F7012" w:rsidRDefault="00306755" w:rsidP="005236B0">
      <w:pPr>
        <w:autoSpaceDE w:val="0"/>
        <w:autoSpaceDN w:val="0"/>
        <w:adjustRightInd w:val="0"/>
        <w:spacing w:after="0" w:line="240" w:lineRule="auto"/>
      </w:pPr>
      <w:r>
        <w:rPr>
          <w:rFonts w:ascii="AdvOT82c4f4c4" w:hAnsi="AdvOT82c4f4c4" w:cs="AdvOT82c4f4c4"/>
          <w:color w:val="000000"/>
          <w:sz w:val="16"/>
          <w:szCs w:val="16"/>
        </w:rPr>
        <w:t>Hecht SM (2000) Bleomycin: new perspectives on the mechanism of action. J Nat Prod 63: 158</w:t>
      </w:r>
      <w:r>
        <w:rPr>
          <w:rFonts w:ascii="AdvOT82c4f4c4+20" w:hAnsi="AdvOT82c4f4c4+20" w:cs="AdvOT82c4f4c4+20"/>
          <w:color w:val="000000"/>
          <w:sz w:val="16"/>
          <w:szCs w:val="16"/>
        </w:rPr>
        <w:t>–</w:t>
      </w:r>
      <w:r>
        <w:rPr>
          <w:rFonts w:ascii="AdvOT82c4f4c4" w:hAnsi="AdvOT82c4f4c4" w:cs="AdvOT82c4f4c4"/>
          <w:color w:val="000000"/>
          <w:sz w:val="16"/>
          <w:szCs w:val="16"/>
        </w:rPr>
        <w:t>168.</w:t>
      </w:r>
      <w:r w:rsidR="005236B0">
        <w:rPr>
          <w:rFonts w:ascii="AdvOT82c4f4c4" w:hAnsi="AdvOT82c4f4c4" w:cs="AdvOT82c4f4c4"/>
          <w:color w:val="000000"/>
          <w:sz w:val="16"/>
          <w:szCs w:val="16"/>
        </w:rPr>
        <w:t xml:space="preserve"> </w:t>
      </w:r>
      <w:r>
        <w:rPr>
          <w:rFonts w:ascii="AdvOT82c4f4c4" w:hAnsi="AdvOT82c4f4c4" w:cs="AdvOT82c4f4c4"/>
          <w:color w:val="000000"/>
          <w:sz w:val="16"/>
          <w:szCs w:val="16"/>
        </w:rPr>
        <w:t xml:space="preserve">PMID: </w:t>
      </w:r>
      <w:r>
        <w:rPr>
          <w:rFonts w:ascii="AdvOT82c4f4c4" w:hAnsi="AdvOT82c4f4c4" w:cs="AdvOT82c4f4c4"/>
          <w:color w:val="2C5CFB"/>
          <w:sz w:val="16"/>
          <w:szCs w:val="16"/>
        </w:rPr>
        <w:t>10650103</w:t>
      </w:r>
    </w:p>
    <w:p w:rsidR="005236B0" w:rsidRDefault="005236B0" w:rsidP="00181F05">
      <w:pPr>
        <w:autoSpaceDE w:val="0"/>
        <w:autoSpaceDN w:val="0"/>
        <w:adjustRightInd w:val="0"/>
        <w:spacing w:after="0" w:line="240" w:lineRule="auto"/>
        <w:rPr>
          <w:rFonts w:ascii="AdvOT82c4f4c4" w:hAnsi="AdvOT82c4f4c4" w:cs="AdvOT82c4f4c4"/>
          <w:color w:val="000000"/>
          <w:sz w:val="16"/>
          <w:szCs w:val="16"/>
        </w:rPr>
      </w:pPr>
    </w:p>
    <w:p w:rsidR="009F7012" w:rsidRDefault="00181F05" w:rsidP="005236B0">
      <w:pPr>
        <w:autoSpaceDE w:val="0"/>
        <w:autoSpaceDN w:val="0"/>
        <w:adjustRightInd w:val="0"/>
        <w:spacing w:after="0" w:line="240" w:lineRule="auto"/>
      </w:pPr>
      <w:proofErr w:type="spellStart"/>
      <w:r>
        <w:rPr>
          <w:rFonts w:ascii="AdvOT82c4f4c4" w:hAnsi="AdvOT82c4f4c4" w:cs="AdvOT82c4f4c4"/>
          <w:color w:val="000000"/>
          <w:sz w:val="16"/>
          <w:szCs w:val="16"/>
        </w:rPr>
        <w:t>Andersson</w:t>
      </w:r>
      <w:proofErr w:type="spellEnd"/>
      <w:r>
        <w:rPr>
          <w:rFonts w:ascii="AdvOT82c4f4c4" w:hAnsi="AdvOT82c4f4c4" w:cs="AdvOT82c4f4c4"/>
          <w:color w:val="000000"/>
          <w:sz w:val="16"/>
          <w:szCs w:val="16"/>
        </w:rPr>
        <w:t xml:space="preserve"> DI, Hughes D (2014) Microbiological effects of </w:t>
      </w:r>
      <w:proofErr w:type="spellStart"/>
      <w:r>
        <w:rPr>
          <w:rFonts w:ascii="AdvOT82c4f4c4" w:hAnsi="AdvOT82c4f4c4" w:cs="AdvOT82c4f4c4"/>
          <w:color w:val="000000"/>
          <w:sz w:val="16"/>
          <w:szCs w:val="16"/>
        </w:rPr>
        <w:t>sublethal</w:t>
      </w:r>
      <w:proofErr w:type="spellEnd"/>
      <w:r>
        <w:rPr>
          <w:rFonts w:ascii="AdvOT82c4f4c4" w:hAnsi="AdvOT82c4f4c4" w:cs="AdvOT82c4f4c4"/>
          <w:color w:val="000000"/>
          <w:sz w:val="16"/>
          <w:szCs w:val="16"/>
        </w:rPr>
        <w:t xml:space="preserve"> levels of antibiotics. Nature reviews</w:t>
      </w:r>
      <w:r w:rsidR="005236B0">
        <w:rPr>
          <w:rFonts w:ascii="AdvOT82c4f4c4" w:hAnsi="AdvOT82c4f4c4" w:cs="AdvOT82c4f4c4"/>
          <w:color w:val="000000"/>
          <w:sz w:val="16"/>
          <w:szCs w:val="16"/>
        </w:rPr>
        <w:t xml:space="preserve"> </w:t>
      </w:r>
      <w:r>
        <w:rPr>
          <w:rFonts w:ascii="AdvOT82c4f4c4" w:hAnsi="AdvOT82c4f4c4" w:cs="AdvOT82c4f4c4"/>
          <w:color w:val="000000"/>
          <w:sz w:val="16"/>
          <w:szCs w:val="16"/>
        </w:rPr>
        <w:t>Microbiology 12: 465</w:t>
      </w:r>
      <w:r>
        <w:rPr>
          <w:rFonts w:ascii="AdvOT82c4f4c4+20" w:hAnsi="AdvOT82c4f4c4+20" w:cs="AdvOT82c4f4c4+20"/>
          <w:color w:val="000000"/>
          <w:sz w:val="16"/>
          <w:szCs w:val="16"/>
        </w:rPr>
        <w:t>–</w:t>
      </w:r>
      <w:r>
        <w:rPr>
          <w:rFonts w:ascii="AdvOT82c4f4c4" w:hAnsi="AdvOT82c4f4c4" w:cs="AdvOT82c4f4c4"/>
          <w:color w:val="000000"/>
          <w:sz w:val="16"/>
          <w:szCs w:val="16"/>
        </w:rPr>
        <w:t xml:space="preserve">478. </w:t>
      </w:r>
      <w:proofErr w:type="spellStart"/>
      <w:proofErr w:type="gramStart"/>
      <w:r>
        <w:rPr>
          <w:rFonts w:ascii="AdvOT82c4f4c4" w:hAnsi="AdvOT82c4f4c4" w:cs="AdvOT82c4f4c4"/>
          <w:color w:val="000000"/>
          <w:sz w:val="16"/>
          <w:szCs w:val="16"/>
        </w:rPr>
        <w:t>doi</w:t>
      </w:r>
      <w:proofErr w:type="spellEnd"/>
      <w:proofErr w:type="gramEnd"/>
      <w:r>
        <w:rPr>
          <w:rFonts w:ascii="AdvOT82c4f4c4" w:hAnsi="AdvOT82c4f4c4" w:cs="AdvOT82c4f4c4"/>
          <w:color w:val="000000"/>
          <w:sz w:val="16"/>
          <w:szCs w:val="16"/>
        </w:rPr>
        <w:t xml:space="preserve">: </w:t>
      </w:r>
      <w:r>
        <w:rPr>
          <w:rFonts w:ascii="AdvOT82c4f4c4" w:hAnsi="AdvOT82c4f4c4" w:cs="AdvOT82c4f4c4"/>
          <w:color w:val="2C5CFB"/>
          <w:sz w:val="16"/>
          <w:szCs w:val="16"/>
        </w:rPr>
        <w:t xml:space="preserve">10.1038/nrmicro3270 </w:t>
      </w:r>
      <w:r>
        <w:rPr>
          <w:rFonts w:ascii="AdvOT82c4f4c4" w:hAnsi="AdvOT82c4f4c4" w:cs="AdvOT82c4f4c4"/>
          <w:color w:val="000000"/>
          <w:sz w:val="16"/>
          <w:szCs w:val="16"/>
        </w:rPr>
        <w:t xml:space="preserve">PMID: </w:t>
      </w:r>
      <w:r>
        <w:rPr>
          <w:rFonts w:ascii="AdvOT82c4f4c4" w:hAnsi="AdvOT82c4f4c4" w:cs="AdvOT82c4f4c4"/>
          <w:color w:val="2C5CFB"/>
          <w:sz w:val="16"/>
          <w:szCs w:val="16"/>
        </w:rPr>
        <w:t>24861036</w:t>
      </w:r>
    </w:p>
    <w:p w:rsidR="005236B0" w:rsidRDefault="005236B0" w:rsidP="00181F05">
      <w:pPr>
        <w:pStyle w:val="NoSpacing"/>
      </w:pPr>
    </w:p>
    <w:p w:rsidR="009F7012" w:rsidRDefault="00181F05" w:rsidP="00181F05">
      <w:pPr>
        <w:pStyle w:val="NoSpacing"/>
      </w:pPr>
      <w:r w:rsidRPr="00181F05">
        <w:t>Rebecca S. Shapiro. (2015). Antimicrobial-Induced DNA Damage and Genomic Instability in Microbial Pathogens. PLOS Pathogens DOI:10.1371/journal.ppat.1004678</w:t>
      </w:r>
    </w:p>
    <w:p w:rsidR="00104EA9" w:rsidRDefault="00104EA9" w:rsidP="004C4C78">
      <w:pPr>
        <w:autoSpaceDE w:val="0"/>
        <w:autoSpaceDN w:val="0"/>
        <w:adjustRightInd w:val="0"/>
        <w:spacing w:after="0" w:line="240" w:lineRule="auto"/>
        <w:rPr>
          <w:rFonts w:ascii="AdvOTce2aec1c" w:hAnsi="AdvOTce2aec1c" w:cs="AdvOTce2aec1c"/>
          <w:color w:val="000000"/>
          <w:sz w:val="18"/>
          <w:szCs w:val="18"/>
        </w:rPr>
      </w:pPr>
    </w:p>
    <w:p w:rsidR="00104EA9" w:rsidRPr="00DC6B17" w:rsidRDefault="00DC6B17" w:rsidP="00104EA9">
      <w:pPr>
        <w:autoSpaceDE w:val="0"/>
        <w:autoSpaceDN w:val="0"/>
        <w:adjustRightInd w:val="0"/>
        <w:spacing w:after="0" w:line="240" w:lineRule="auto"/>
        <w:rPr>
          <w:rFonts w:ascii="AdvOTce2aec1c" w:hAnsi="AdvOTce2aec1c" w:cs="AdvOTce2aec1c"/>
          <w:color w:val="000000"/>
          <w:sz w:val="20"/>
          <w:szCs w:val="20"/>
        </w:rPr>
      </w:pPr>
      <w:r w:rsidRPr="00DC6B17">
        <w:rPr>
          <w:rFonts w:ascii="Sabon-Italic" w:hAnsi="Sabon-Italic" w:cs="Sabon-Italic"/>
          <w:iCs/>
          <w:sz w:val="20"/>
          <w:szCs w:val="20"/>
        </w:rPr>
        <w:t>Russell, PE (2006)</w:t>
      </w:r>
      <w:r>
        <w:rPr>
          <w:rFonts w:ascii="Sabon-Italic" w:hAnsi="Sabon-Italic" w:cs="Sabon-Italic"/>
          <w:iCs/>
          <w:sz w:val="20"/>
          <w:szCs w:val="20"/>
        </w:rPr>
        <w:t xml:space="preserve">. </w:t>
      </w:r>
      <w:r w:rsidR="00104EA9" w:rsidRPr="00DC6B17">
        <w:rPr>
          <w:rFonts w:ascii="Sabon-Italic" w:hAnsi="Sabon-Italic" w:cs="Sabon-Italic"/>
          <w:iCs/>
          <w:sz w:val="20"/>
          <w:szCs w:val="20"/>
        </w:rPr>
        <w:t>The development of commercial disease control</w:t>
      </w:r>
      <w:r>
        <w:rPr>
          <w:rFonts w:ascii="Sabon-Italic" w:hAnsi="Sabon-Italic" w:cs="Sabon-Italic"/>
          <w:iCs/>
          <w:sz w:val="20"/>
          <w:szCs w:val="20"/>
        </w:rPr>
        <w:t>.</w:t>
      </w:r>
      <w:r w:rsidRPr="00DC6B17">
        <w:rPr>
          <w:rFonts w:ascii="Sabon-Italic" w:hAnsi="Sabon-Italic" w:cs="Sabon-Italic"/>
          <w:i/>
          <w:iCs/>
          <w:sz w:val="20"/>
          <w:szCs w:val="20"/>
        </w:rPr>
        <w:t xml:space="preserve"> </w:t>
      </w:r>
      <w:r w:rsidR="00104EA9" w:rsidRPr="00DC6B17">
        <w:rPr>
          <w:rFonts w:ascii="Sabon-Italic" w:hAnsi="Sabon-Italic" w:cs="Sabon-Italic"/>
          <w:i/>
          <w:iCs/>
          <w:sz w:val="20"/>
          <w:szCs w:val="20"/>
        </w:rPr>
        <w:t>Plant Pathology</w:t>
      </w:r>
      <w:r>
        <w:rPr>
          <w:rFonts w:ascii="Sabon-Italic" w:hAnsi="Sabon-Italic" w:cs="Sabon-Italic"/>
          <w:i/>
          <w:iCs/>
          <w:sz w:val="20"/>
          <w:szCs w:val="20"/>
        </w:rPr>
        <w:t>.</w:t>
      </w:r>
      <w:r w:rsidR="00104EA9" w:rsidRPr="00DC6B17">
        <w:rPr>
          <w:rFonts w:ascii="Sabon-Italic" w:hAnsi="Sabon-Italic" w:cs="Sabon-Italic"/>
          <w:i/>
          <w:iCs/>
          <w:sz w:val="20"/>
          <w:szCs w:val="20"/>
        </w:rPr>
        <w:t xml:space="preserve"> </w:t>
      </w:r>
      <w:r w:rsidR="00104EA9" w:rsidRPr="00DC6B17">
        <w:rPr>
          <w:rFonts w:ascii="Sabon-Bold" w:hAnsi="Sabon-Bold" w:cs="Sabon-Bold"/>
          <w:b/>
          <w:bCs/>
          <w:sz w:val="20"/>
          <w:szCs w:val="20"/>
        </w:rPr>
        <w:t>55</w:t>
      </w:r>
      <w:r w:rsidR="00104EA9" w:rsidRPr="00DC6B17">
        <w:rPr>
          <w:rFonts w:ascii="Sabon-Roman" w:hAnsi="Sabon-Roman" w:cs="Sabon-Roman"/>
          <w:sz w:val="20"/>
          <w:szCs w:val="20"/>
        </w:rPr>
        <w:t>, 585–594</w:t>
      </w:r>
    </w:p>
    <w:p w:rsidR="00104EA9" w:rsidRPr="00DC6B17" w:rsidRDefault="00104EA9" w:rsidP="004C4C78">
      <w:pPr>
        <w:autoSpaceDE w:val="0"/>
        <w:autoSpaceDN w:val="0"/>
        <w:adjustRightInd w:val="0"/>
        <w:spacing w:after="0" w:line="240" w:lineRule="auto"/>
        <w:rPr>
          <w:rFonts w:ascii="AdvOTce2aec1c" w:hAnsi="AdvOTce2aec1c" w:cs="AdvOTce2aec1c"/>
          <w:color w:val="000000"/>
          <w:sz w:val="20"/>
          <w:szCs w:val="20"/>
        </w:rPr>
      </w:pPr>
    </w:p>
    <w:p w:rsidR="004C4C78" w:rsidRDefault="004C4C78" w:rsidP="004C4C78">
      <w:pPr>
        <w:autoSpaceDE w:val="0"/>
        <w:autoSpaceDN w:val="0"/>
        <w:adjustRightInd w:val="0"/>
        <w:spacing w:after="0" w:line="240" w:lineRule="auto"/>
        <w:rPr>
          <w:rFonts w:ascii="AdvOTce2aec1c" w:hAnsi="AdvOTce2aec1c" w:cs="AdvOTce2aec1c"/>
          <w:color w:val="000000"/>
          <w:sz w:val="18"/>
          <w:szCs w:val="18"/>
        </w:rPr>
      </w:pPr>
      <w:r>
        <w:rPr>
          <w:rFonts w:ascii="AdvOTce2aec1c" w:hAnsi="AdvOTce2aec1c" w:cs="AdvOTce2aec1c"/>
          <w:color w:val="000000"/>
          <w:sz w:val="18"/>
          <w:szCs w:val="18"/>
        </w:rPr>
        <w:t xml:space="preserve">Dekker, J. (1976). Acquired-resistance to fungicides. </w:t>
      </w:r>
      <w:r>
        <w:rPr>
          <w:rFonts w:ascii="AdvOTa5ebdc7c.I" w:hAnsi="AdvOTa5ebdc7c.I" w:cs="AdvOTa5ebdc7c.I"/>
          <w:color w:val="000000"/>
          <w:sz w:val="18"/>
          <w:szCs w:val="18"/>
        </w:rPr>
        <w:t>Annual Review of Phytopathology, 14</w:t>
      </w:r>
      <w:r>
        <w:rPr>
          <w:rFonts w:ascii="AdvOTce2aec1c" w:hAnsi="AdvOTce2aec1c" w:cs="AdvOTce2aec1c"/>
          <w:color w:val="000000"/>
          <w:sz w:val="18"/>
          <w:szCs w:val="18"/>
        </w:rPr>
        <w:t>,</w:t>
      </w:r>
    </w:p>
    <w:p w:rsidR="00286D8B" w:rsidRDefault="004C4C78" w:rsidP="004C4C78">
      <w:pPr>
        <w:autoSpaceDE w:val="0"/>
        <w:autoSpaceDN w:val="0"/>
        <w:adjustRightInd w:val="0"/>
        <w:spacing w:after="0" w:line="240" w:lineRule="auto"/>
        <w:rPr>
          <w:rFonts w:ascii="AdvOTce2aec1c" w:hAnsi="AdvOTce2aec1c" w:cs="AdvOTce2aec1c"/>
          <w:color w:val="000000"/>
          <w:sz w:val="18"/>
          <w:szCs w:val="18"/>
        </w:rPr>
      </w:pPr>
      <w:r>
        <w:rPr>
          <w:rFonts w:ascii="AdvOTce2aec1c" w:hAnsi="AdvOTce2aec1c" w:cs="AdvOTce2aec1c"/>
          <w:color w:val="000000"/>
          <w:sz w:val="18"/>
          <w:szCs w:val="18"/>
        </w:rPr>
        <w:t>405</w:t>
      </w:r>
      <w:r>
        <w:rPr>
          <w:rFonts w:ascii="AdvOTce2aec1c+20" w:hAnsi="AdvOTce2aec1c+20" w:cs="AdvOTce2aec1c+20"/>
          <w:color w:val="000000"/>
          <w:sz w:val="18"/>
          <w:szCs w:val="18"/>
        </w:rPr>
        <w:t>–</w:t>
      </w:r>
      <w:r>
        <w:rPr>
          <w:rFonts w:ascii="AdvOTce2aec1c" w:hAnsi="AdvOTce2aec1c" w:cs="AdvOTce2aec1c"/>
          <w:color w:val="000000"/>
          <w:sz w:val="18"/>
          <w:szCs w:val="18"/>
        </w:rPr>
        <w:t xml:space="preserve">428. </w:t>
      </w:r>
      <w:hyperlink r:id="rId5" w:history="1">
        <w:r w:rsidRPr="00327A3F">
          <w:rPr>
            <w:rStyle w:val="Hyperlink"/>
            <w:rFonts w:ascii="AdvOTce2aec1c" w:hAnsi="AdvOTce2aec1c" w:cs="AdvOTce2aec1c"/>
            <w:sz w:val="18"/>
            <w:szCs w:val="18"/>
          </w:rPr>
          <w:t>http://dx.doi.org/10.1146/annurev.py.14.090176.002201</w:t>
        </w:r>
      </w:hyperlink>
      <w:r>
        <w:rPr>
          <w:rFonts w:ascii="AdvOTce2aec1c" w:hAnsi="AdvOTce2aec1c" w:cs="AdvOTce2aec1c"/>
          <w:color w:val="000000"/>
          <w:sz w:val="18"/>
          <w:szCs w:val="18"/>
        </w:rPr>
        <w:t>.</w:t>
      </w:r>
    </w:p>
    <w:p w:rsidR="004C4C78" w:rsidRDefault="004C4C78" w:rsidP="004C4C78">
      <w:pPr>
        <w:autoSpaceDE w:val="0"/>
        <w:autoSpaceDN w:val="0"/>
        <w:adjustRightInd w:val="0"/>
        <w:spacing w:after="0" w:line="240" w:lineRule="auto"/>
        <w:rPr>
          <w:rFonts w:ascii="AdvOTce2aec1c" w:hAnsi="AdvOTce2aec1c" w:cs="AdvOTce2aec1c"/>
          <w:color w:val="000000"/>
          <w:sz w:val="18"/>
          <w:szCs w:val="18"/>
        </w:rPr>
      </w:pPr>
    </w:p>
    <w:p w:rsidR="004C4C78" w:rsidRDefault="004C4C78" w:rsidP="004C4C78">
      <w:pPr>
        <w:autoSpaceDE w:val="0"/>
        <w:autoSpaceDN w:val="0"/>
        <w:adjustRightInd w:val="0"/>
        <w:spacing w:after="0" w:line="240" w:lineRule="auto"/>
        <w:rPr>
          <w:color w:val="2E2E2E"/>
          <w:sz w:val="18"/>
          <w:szCs w:val="18"/>
        </w:rPr>
      </w:pPr>
      <w:r>
        <w:rPr>
          <w:rFonts w:ascii="AdvOTce2aec1c" w:hAnsi="AdvOTce2aec1c" w:cs="AdvOTce2aec1c"/>
          <w:color w:val="2197D2"/>
          <w:sz w:val="18"/>
          <w:szCs w:val="18"/>
        </w:rPr>
        <w:t xml:space="preserve">De </w:t>
      </w:r>
      <w:proofErr w:type="spellStart"/>
      <w:r>
        <w:rPr>
          <w:rFonts w:ascii="AdvOTce2aec1c" w:hAnsi="AdvOTce2aec1c" w:cs="AdvOTce2aec1c"/>
          <w:color w:val="2197D2"/>
          <w:sz w:val="18"/>
          <w:szCs w:val="18"/>
        </w:rPr>
        <w:t>Waard</w:t>
      </w:r>
      <w:proofErr w:type="spellEnd"/>
      <w:r>
        <w:rPr>
          <w:rFonts w:ascii="AdvOTce2aec1c" w:hAnsi="AdvOTce2aec1c" w:cs="AdvOTce2aec1c"/>
          <w:color w:val="2197D2"/>
          <w:sz w:val="18"/>
          <w:szCs w:val="18"/>
        </w:rPr>
        <w:t>, M. (1994). Resistance to fungicides which inhibit sterol 14</w:t>
      </w:r>
      <w:r>
        <w:rPr>
          <w:rFonts w:ascii="AdvPS3F4C13" w:hAnsi="AdvPS3F4C13" w:cs="AdvPS3F4C13"/>
          <w:color w:val="2197D2"/>
          <w:sz w:val="18"/>
          <w:szCs w:val="18"/>
        </w:rPr>
        <w:t>a</w:t>
      </w:r>
      <w:r>
        <w:rPr>
          <w:rFonts w:ascii="AdvOTce2aec1c" w:hAnsi="AdvOTce2aec1c" w:cs="AdvOTce2aec1c"/>
          <w:color w:val="2197D2"/>
          <w:sz w:val="18"/>
          <w:szCs w:val="18"/>
        </w:rPr>
        <w:t xml:space="preserve">-demethylation, </w:t>
      </w:r>
      <w:proofErr w:type="gramStart"/>
      <w:r>
        <w:rPr>
          <w:rFonts w:ascii="AdvOTce2aec1c" w:hAnsi="AdvOTce2aec1c" w:cs="AdvOTce2aec1c"/>
          <w:color w:val="2197D2"/>
          <w:sz w:val="18"/>
          <w:szCs w:val="18"/>
        </w:rPr>
        <w:t>an</w:t>
      </w:r>
      <w:proofErr w:type="gramEnd"/>
      <w:r>
        <w:rPr>
          <w:rFonts w:ascii="AdvOTce2aec1c" w:hAnsi="AdvOTce2aec1c" w:cs="AdvOTce2aec1c"/>
          <w:color w:val="2197D2"/>
          <w:sz w:val="18"/>
          <w:szCs w:val="18"/>
        </w:rPr>
        <w:t xml:space="preserve"> historical perspective. In S. Heaney, D. </w:t>
      </w:r>
      <w:proofErr w:type="spellStart"/>
      <w:r>
        <w:rPr>
          <w:rFonts w:ascii="AdvOTce2aec1c" w:hAnsi="AdvOTce2aec1c" w:cs="AdvOTce2aec1c"/>
          <w:color w:val="2197D2"/>
          <w:sz w:val="18"/>
          <w:szCs w:val="18"/>
        </w:rPr>
        <w:t>Slawson</w:t>
      </w:r>
      <w:proofErr w:type="spellEnd"/>
      <w:r>
        <w:rPr>
          <w:rFonts w:ascii="AdvOTce2aec1c" w:hAnsi="AdvOTce2aec1c" w:cs="AdvOTce2aec1c"/>
          <w:color w:val="2197D2"/>
          <w:sz w:val="18"/>
          <w:szCs w:val="18"/>
        </w:rPr>
        <w:t xml:space="preserve">, D. W. </w:t>
      </w:r>
      <w:proofErr w:type="spellStart"/>
      <w:r>
        <w:rPr>
          <w:rFonts w:ascii="AdvOTce2aec1c" w:hAnsi="AdvOTce2aec1c" w:cs="AdvOTce2aec1c"/>
          <w:color w:val="2197D2"/>
          <w:sz w:val="18"/>
          <w:szCs w:val="18"/>
        </w:rPr>
        <w:t>Hollomon</w:t>
      </w:r>
      <w:proofErr w:type="spellEnd"/>
      <w:r>
        <w:rPr>
          <w:rFonts w:ascii="AdvOTce2aec1c" w:hAnsi="AdvOTce2aec1c" w:cs="AdvOTce2aec1c"/>
          <w:color w:val="2197D2"/>
          <w:sz w:val="18"/>
          <w:szCs w:val="18"/>
        </w:rPr>
        <w:t xml:space="preserve">, M. Smith, P. E. Russell, &amp; D. W. Parry (Eds.), </w:t>
      </w:r>
      <w:r>
        <w:rPr>
          <w:rFonts w:ascii="AdvOTa5ebdc7c.I" w:hAnsi="AdvOTa5ebdc7c.I" w:cs="AdvOTa5ebdc7c.I"/>
          <w:color w:val="2197D2"/>
          <w:sz w:val="18"/>
          <w:szCs w:val="18"/>
        </w:rPr>
        <w:t xml:space="preserve">Fungicide resistance </w:t>
      </w:r>
      <w:r>
        <w:rPr>
          <w:rFonts w:ascii="AdvOTce2aec1c" w:hAnsi="AdvOTce2aec1c" w:cs="AdvOTce2aec1c"/>
          <w:color w:val="2197D2"/>
          <w:sz w:val="18"/>
          <w:szCs w:val="18"/>
        </w:rPr>
        <w:t>(pp. 3</w:t>
      </w:r>
      <w:r>
        <w:rPr>
          <w:rFonts w:ascii="AdvOTce2aec1c+20" w:hAnsi="AdvOTce2aec1c+20" w:cs="AdvOTce2aec1c+20"/>
          <w:color w:val="2197D2"/>
          <w:sz w:val="18"/>
          <w:szCs w:val="18"/>
        </w:rPr>
        <w:t>–</w:t>
      </w:r>
      <w:r>
        <w:rPr>
          <w:rFonts w:ascii="AdvOTce2aec1c" w:hAnsi="AdvOTce2aec1c" w:cs="AdvOTce2aec1c"/>
          <w:color w:val="2197D2"/>
          <w:sz w:val="18"/>
          <w:szCs w:val="18"/>
        </w:rPr>
        <w:t xml:space="preserve">10). </w:t>
      </w:r>
      <w:proofErr w:type="spellStart"/>
      <w:r>
        <w:rPr>
          <w:rFonts w:ascii="AdvOTce2aec1c" w:hAnsi="AdvOTce2aec1c" w:cs="AdvOTce2aec1c"/>
          <w:color w:val="2197D2"/>
          <w:sz w:val="18"/>
          <w:szCs w:val="18"/>
        </w:rPr>
        <w:t>Farnham</w:t>
      </w:r>
      <w:proofErr w:type="spellEnd"/>
      <w:r>
        <w:rPr>
          <w:rFonts w:ascii="AdvOTce2aec1c" w:hAnsi="AdvOTce2aec1c" w:cs="AdvOTce2aec1c"/>
          <w:color w:val="2197D2"/>
          <w:sz w:val="18"/>
          <w:szCs w:val="18"/>
        </w:rPr>
        <w:t>, Surrey, UK: British Crop Protection Council</w:t>
      </w:r>
      <w:r>
        <w:rPr>
          <w:rFonts w:ascii="AdvOTce2aec1c" w:hAnsi="AdvOTce2aec1c" w:cs="AdvOTce2aec1c"/>
          <w:color w:val="000000"/>
          <w:sz w:val="18"/>
          <w:szCs w:val="18"/>
        </w:rPr>
        <w:t>.</w:t>
      </w:r>
    </w:p>
    <w:p w:rsidR="00286D8B" w:rsidRDefault="00286D8B" w:rsidP="00286D8B">
      <w:pPr>
        <w:shd w:val="clear" w:color="auto" w:fill="FFFFFF"/>
        <w:spacing w:before="100" w:beforeAutospacing="1" w:after="100" w:afterAutospacing="1" w:line="360" w:lineRule="auto"/>
        <w:rPr>
          <w:i/>
          <w:iCs/>
          <w:color w:val="2E2E2E"/>
          <w:sz w:val="17"/>
          <w:szCs w:val="17"/>
        </w:rPr>
      </w:pPr>
      <w:proofErr w:type="spellStart"/>
      <w:r>
        <w:rPr>
          <w:color w:val="2E2E2E"/>
          <w:sz w:val="18"/>
          <w:szCs w:val="18"/>
        </w:rPr>
        <w:lastRenderedPageBreak/>
        <w:t>Zhonghua</w:t>
      </w:r>
      <w:proofErr w:type="spellEnd"/>
      <w:r>
        <w:rPr>
          <w:color w:val="2E2E2E"/>
          <w:sz w:val="18"/>
          <w:szCs w:val="18"/>
        </w:rPr>
        <w:t xml:space="preserve"> Ma, Dan Felts, Themis J </w:t>
      </w:r>
      <w:proofErr w:type="spellStart"/>
      <w:r>
        <w:rPr>
          <w:color w:val="2E2E2E"/>
          <w:sz w:val="18"/>
          <w:szCs w:val="18"/>
        </w:rPr>
        <w:t>Michailides</w:t>
      </w:r>
      <w:proofErr w:type="spellEnd"/>
      <w:r>
        <w:rPr>
          <w:color w:val="2E2E2E"/>
          <w:sz w:val="18"/>
          <w:szCs w:val="18"/>
        </w:rPr>
        <w:t xml:space="preserve">. </w:t>
      </w:r>
      <w:r>
        <w:rPr>
          <w:i/>
          <w:iCs/>
          <w:color w:val="2E2E2E"/>
          <w:sz w:val="17"/>
          <w:szCs w:val="17"/>
        </w:rPr>
        <w:t>2003.</w:t>
      </w:r>
      <w:r>
        <w:rPr>
          <w:color w:val="2E2E2E"/>
          <w:sz w:val="18"/>
          <w:szCs w:val="18"/>
        </w:rPr>
        <w:t xml:space="preserve"> </w:t>
      </w:r>
      <w:r w:rsidRPr="00286D8B">
        <w:rPr>
          <w:color w:val="2E2E2E"/>
          <w:sz w:val="18"/>
          <w:szCs w:val="18"/>
        </w:rPr>
        <w:t xml:space="preserve">Resistance to azoxystrobin in </w:t>
      </w:r>
      <w:r w:rsidRPr="00286D8B">
        <w:rPr>
          <w:i/>
          <w:iCs/>
          <w:color w:val="2E2E2E"/>
          <w:sz w:val="18"/>
          <w:szCs w:val="18"/>
        </w:rPr>
        <w:t>Alternaria</w:t>
      </w:r>
      <w:r w:rsidRPr="00286D8B">
        <w:rPr>
          <w:color w:val="2E2E2E"/>
          <w:sz w:val="18"/>
          <w:szCs w:val="18"/>
        </w:rPr>
        <w:t xml:space="preserve"> isolates from pistachio in California</w:t>
      </w:r>
      <w:r>
        <w:rPr>
          <w:color w:val="2E2E2E"/>
          <w:sz w:val="18"/>
          <w:szCs w:val="18"/>
        </w:rPr>
        <w:t xml:space="preserve">. </w:t>
      </w:r>
      <w:r>
        <w:rPr>
          <w:i/>
          <w:iCs/>
          <w:color w:val="2E2E2E"/>
          <w:sz w:val="17"/>
          <w:szCs w:val="17"/>
        </w:rPr>
        <w:t>Pesticide Biochemistry and Physiology, Volume 77, Issue 2, October 2003, Pages 66–74</w:t>
      </w:r>
    </w:p>
    <w:p w:rsidR="00286D8B" w:rsidRDefault="00286D8B" w:rsidP="00286D8B">
      <w:pPr>
        <w:autoSpaceDE w:val="0"/>
        <w:autoSpaceDN w:val="0"/>
        <w:adjustRightInd w:val="0"/>
        <w:spacing w:after="0" w:line="240" w:lineRule="auto"/>
        <w:rPr>
          <w:rFonts w:ascii="AdvOTce2aec1c" w:hAnsi="AdvOTce2aec1c" w:cs="AdvOTce2aec1c"/>
          <w:color w:val="000000"/>
          <w:sz w:val="18"/>
          <w:szCs w:val="18"/>
        </w:rPr>
      </w:pPr>
      <w:r>
        <w:rPr>
          <w:rFonts w:ascii="AdvOTce2aec1c" w:hAnsi="AdvOTce2aec1c" w:cs="AdvOTce2aec1c"/>
          <w:color w:val="000000"/>
          <w:sz w:val="18"/>
          <w:szCs w:val="18"/>
        </w:rPr>
        <w:t xml:space="preserve">Chin, K. M., </w:t>
      </w:r>
      <w:proofErr w:type="spellStart"/>
      <w:r>
        <w:rPr>
          <w:rFonts w:ascii="AdvOTce2aec1c" w:hAnsi="AdvOTce2aec1c" w:cs="AdvOTce2aec1c"/>
          <w:color w:val="000000"/>
          <w:sz w:val="18"/>
          <w:szCs w:val="18"/>
        </w:rPr>
        <w:t>Chavaillaz</w:t>
      </w:r>
      <w:proofErr w:type="spellEnd"/>
      <w:r>
        <w:rPr>
          <w:rFonts w:ascii="AdvOTce2aec1c" w:hAnsi="AdvOTce2aec1c" w:cs="AdvOTce2aec1c"/>
          <w:color w:val="000000"/>
          <w:sz w:val="18"/>
          <w:szCs w:val="18"/>
        </w:rPr>
        <w:t xml:space="preserve">, D., </w:t>
      </w:r>
      <w:proofErr w:type="spellStart"/>
      <w:r>
        <w:rPr>
          <w:rFonts w:ascii="AdvOTce2aec1c" w:hAnsi="AdvOTce2aec1c" w:cs="AdvOTce2aec1c"/>
          <w:color w:val="000000"/>
          <w:sz w:val="18"/>
          <w:szCs w:val="18"/>
        </w:rPr>
        <w:t>Kaesbohrer</w:t>
      </w:r>
      <w:proofErr w:type="spellEnd"/>
      <w:r>
        <w:rPr>
          <w:rFonts w:ascii="AdvOTce2aec1c" w:hAnsi="AdvOTce2aec1c" w:cs="AdvOTce2aec1c"/>
          <w:color w:val="000000"/>
          <w:sz w:val="18"/>
          <w:szCs w:val="18"/>
        </w:rPr>
        <w:t xml:space="preserve">, M., </w:t>
      </w:r>
      <w:proofErr w:type="spellStart"/>
      <w:r>
        <w:rPr>
          <w:rFonts w:ascii="AdvOTce2aec1c" w:hAnsi="AdvOTce2aec1c" w:cs="AdvOTce2aec1c"/>
          <w:color w:val="000000"/>
          <w:sz w:val="18"/>
          <w:szCs w:val="18"/>
        </w:rPr>
        <w:t>Staub</w:t>
      </w:r>
      <w:proofErr w:type="spellEnd"/>
      <w:r>
        <w:rPr>
          <w:rFonts w:ascii="AdvOTce2aec1c" w:hAnsi="AdvOTce2aec1c" w:cs="AdvOTce2aec1c"/>
          <w:color w:val="000000"/>
          <w:sz w:val="18"/>
          <w:szCs w:val="18"/>
        </w:rPr>
        <w:t xml:space="preserve">, T., &amp; </w:t>
      </w:r>
      <w:proofErr w:type="spellStart"/>
      <w:r>
        <w:rPr>
          <w:rFonts w:ascii="AdvOTce2aec1c" w:hAnsi="AdvOTce2aec1c" w:cs="AdvOTce2aec1c"/>
          <w:color w:val="000000"/>
          <w:sz w:val="18"/>
          <w:szCs w:val="18"/>
        </w:rPr>
        <w:t>Felsenstein</w:t>
      </w:r>
      <w:proofErr w:type="spellEnd"/>
      <w:r>
        <w:rPr>
          <w:rFonts w:ascii="AdvOTce2aec1c" w:hAnsi="AdvOTce2aec1c" w:cs="AdvOTce2aec1c"/>
          <w:color w:val="000000"/>
          <w:sz w:val="18"/>
          <w:szCs w:val="18"/>
        </w:rPr>
        <w:t>, F. G. (2001). Characterizing</w:t>
      </w:r>
    </w:p>
    <w:p w:rsidR="00286D8B" w:rsidRDefault="00286D8B" w:rsidP="00286D8B">
      <w:pPr>
        <w:autoSpaceDE w:val="0"/>
        <w:autoSpaceDN w:val="0"/>
        <w:adjustRightInd w:val="0"/>
        <w:spacing w:after="0" w:line="240" w:lineRule="auto"/>
        <w:rPr>
          <w:rFonts w:ascii="AdvOTa5ebdc7c.I" w:hAnsi="AdvOTa5ebdc7c.I" w:cs="AdvOTa5ebdc7c.I"/>
          <w:color w:val="000000"/>
          <w:sz w:val="18"/>
          <w:szCs w:val="18"/>
        </w:rPr>
      </w:pPr>
      <w:proofErr w:type="gramStart"/>
      <w:r>
        <w:rPr>
          <w:rFonts w:ascii="AdvOTce2aec1c" w:hAnsi="AdvOTce2aec1c" w:cs="AdvOTce2aec1c"/>
          <w:color w:val="000000"/>
          <w:sz w:val="18"/>
          <w:szCs w:val="18"/>
        </w:rPr>
        <w:t>resistance</w:t>
      </w:r>
      <w:proofErr w:type="gramEnd"/>
      <w:r>
        <w:rPr>
          <w:rFonts w:ascii="AdvOTce2aec1c" w:hAnsi="AdvOTce2aec1c" w:cs="AdvOTce2aec1c"/>
          <w:color w:val="000000"/>
          <w:sz w:val="18"/>
          <w:szCs w:val="18"/>
        </w:rPr>
        <w:t xml:space="preserve"> risk of </w:t>
      </w:r>
      <w:proofErr w:type="spellStart"/>
      <w:r>
        <w:rPr>
          <w:rFonts w:ascii="AdvOTa5ebdc7c.I" w:hAnsi="AdvOTa5ebdc7c.I" w:cs="AdvOTa5ebdc7c.I"/>
          <w:color w:val="000000"/>
          <w:sz w:val="18"/>
          <w:szCs w:val="18"/>
        </w:rPr>
        <w:t>Erysiphe</w:t>
      </w:r>
      <w:proofErr w:type="spellEnd"/>
      <w:r>
        <w:rPr>
          <w:rFonts w:ascii="AdvOTa5ebdc7c.I" w:hAnsi="AdvOTa5ebdc7c.I" w:cs="AdvOTa5ebdc7c.I"/>
          <w:color w:val="000000"/>
          <w:sz w:val="18"/>
          <w:szCs w:val="18"/>
        </w:rPr>
        <w:t xml:space="preserve"> </w:t>
      </w:r>
      <w:proofErr w:type="spellStart"/>
      <w:r>
        <w:rPr>
          <w:rFonts w:ascii="AdvOTa5ebdc7c.I" w:hAnsi="AdvOTa5ebdc7c.I" w:cs="AdvOTa5ebdc7c.I"/>
          <w:color w:val="000000"/>
          <w:sz w:val="18"/>
          <w:szCs w:val="18"/>
        </w:rPr>
        <w:t>graminis</w:t>
      </w:r>
      <w:proofErr w:type="spellEnd"/>
      <w:r>
        <w:rPr>
          <w:rFonts w:ascii="AdvOTa5ebdc7c.I" w:hAnsi="AdvOTa5ebdc7c.I" w:cs="AdvOTa5ebdc7c.I"/>
          <w:color w:val="000000"/>
          <w:sz w:val="18"/>
          <w:szCs w:val="18"/>
        </w:rPr>
        <w:t xml:space="preserve"> </w:t>
      </w:r>
      <w:proofErr w:type="spellStart"/>
      <w:r>
        <w:rPr>
          <w:rFonts w:ascii="AdvOTce2aec1c" w:hAnsi="AdvOTce2aec1c" w:cs="AdvOTce2aec1c"/>
          <w:color w:val="000000"/>
          <w:sz w:val="18"/>
          <w:szCs w:val="18"/>
        </w:rPr>
        <w:t>f.sp</w:t>
      </w:r>
      <w:proofErr w:type="spellEnd"/>
      <w:r>
        <w:rPr>
          <w:rFonts w:ascii="AdvOTce2aec1c" w:hAnsi="AdvOTce2aec1c" w:cs="AdvOTce2aec1c"/>
          <w:color w:val="000000"/>
          <w:sz w:val="18"/>
          <w:szCs w:val="18"/>
        </w:rPr>
        <w:t xml:space="preserve"> </w:t>
      </w:r>
      <w:proofErr w:type="spellStart"/>
      <w:r>
        <w:rPr>
          <w:rFonts w:ascii="AdvOTa5ebdc7c.I" w:hAnsi="AdvOTa5ebdc7c.I" w:cs="AdvOTa5ebdc7c.I"/>
          <w:color w:val="000000"/>
          <w:sz w:val="18"/>
          <w:szCs w:val="18"/>
        </w:rPr>
        <w:t>tritici</w:t>
      </w:r>
      <w:proofErr w:type="spellEnd"/>
      <w:r>
        <w:rPr>
          <w:rFonts w:ascii="AdvOTa5ebdc7c.I" w:hAnsi="AdvOTa5ebdc7c.I" w:cs="AdvOTa5ebdc7c.I"/>
          <w:color w:val="000000"/>
          <w:sz w:val="18"/>
          <w:szCs w:val="18"/>
        </w:rPr>
        <w:t xml:space="preserve"> </w:t>
      </w:r>
      <w:r>
        <w:rPr>
          <w:rFonts w:ascii="AdvOTce2aec1c" w:hAnsi="AdvOTce2aec1c" w:cs="AdvOTce2aec1c"/>
          <w:color w:val="000000"/>
          <w:sz w:val="18"/>
          <w:szCs w:val="18"/>
        </w:rPr>
        <w:t xml:space="preserve">to </w:t>
      </w:r>
      <w:proofErr w:type="spellStart"/>
      <w:r>
        <w:rPr>
          <w:rFonts w:ascii="AdvOTce2aec1c" w:hAnsi="AdvOTce2aec1c" w:cs="AdvOTce2aec1c"/>
          <w:color w:val="000000"/>
          <w:sz w:val="18"/>
          <w:szCs w:val="18"/>
        </w:rPr>
        <w:t>strobilurins</w:t>
      </w:r>
      <w:proofErr w:type="spellEnd"/>
      <w:r>
        <w:rPr>
          <w:rFonts w:ascii="AdvOTce2aec1c" w:hAnsi="AdvOTce2aec1c" w:cs="AdvOTce2aec1c"/>
          <w:color w:val="000000"/>
          <w:sz w:val="18"/>
          <w:szCs w:val="18"/>
        </w:rPr>
        <w:t xml:space="preserve">. </w:t>
      </w:r>
      <w:r>
        <w:rPr>
          <w:rFonts w:ascii="AdvOTa5ebdc7c.I" w:hAnsi="AdvOTa5ebdc7c.I" w:cs="AdvOTa5ebdc7c.I"/>
          <w:color w:val="000000"/>
          <w:sz w:val="18"/>
          <w:szCs w:val="18"/>
        </w:rPr>
        <w:t>Crop Protection,</w:t>
      </w:r>
    </w:p>
    <w:p w:rsidR="00A372B0" w:rsidRDefault="00286D8B" w:rsidP="00286D8B">
      <w:r>
        <w:rPr>
          <w:rFonts w:ascii="AdvOTa5ebdc7c.I" w:hAnsi="AdvOTa5ebdc7c.I" w:cs="AdvOTa5ebdc7c.I"/>
          <w:color w:val="000000"/>
          <w:sz w:val="18"/>
          <w:szCs w:val="18"/>
        </w:rPr>
        <w:t>20</w:t>
      </w:r>
      <w:r>
        <w:rPr>
          <w:rFonts w:ascii="AdvOTce2aec1c" w:hAnsi="AdvOTce2aec1c" w:cs="AdvOTce2aec1c"/>
          <w:color w:val="000000"/>
          <w:sz w:val="18"/>
          <w:szCs w:val="18"/>
        </w:rPr>
        <w:t>(2), 87</w:t>
      </w:r>
      <w:r>
        <w:rPr>
          <w:rFonts w:ascii="AdvOTce2aec1c+20" w:hAnsi="AdvOTce2aec1c+20" w:cs="AdvOTce2aec1c+20"/>
          <w:color w:val="000000"/>
          <w:sz w:val="18"/>
          <w:szCs w:val="18"/>
        </w:rPr>
        <w:t>–</w:t>
      </w:r>
      <w:r>
        <w:rPr>
          <w:rFonts w:ascii="AdvOTce2aec1c" w:hAnsi="AdvOTce2aec1c" w:cs="AdvOTce2aec1c"/>
          <w:color w:val="000000"/>
          <w:sz w:val="18"/>
          <w:szCs w:val="18"/>
        </w:rPr>
        <w:t xml:space="preserve">96. </w:t>
      </w:r>
      <w:r>
        <w:rPr>
          <w:rFonts w:ascii="AdvOTce2aec1c" w:hAnsi="AdvOTce2aec1c" w:cs="AdvOTce2aec1c"/>
          <w:color w:val="2197D2"/>
          <w:sz w:val="18"/>
          <w:szCs w:val="18"/>
        </w:rPr>
        <w:t>http://dx.doi.org/10.1016/s0261-</w:t>
      </w:r>
      <w:proofErr w:type="gramStart"/>
      <w:r>
        <w:rPr>
          <w:rFonts w:ascii="AdvOTce2aec1c" w:hAnsi="AdvOTce2aec1c" w:cs="AdvOTce2aec1c"/>
          <w:color w:val="2197D2"/>
          <w:sz w:val="18"/>
          <w:szCs w:val="18"/>
        </w:rPr>
        <w:t>2194(</w:t>
      </w:r>
      <w:proofErr w:type="gramEnd"/>
      <w:r>
        <w:rPr>
          <w:rFonts w:ascii="AdvOTce2aec1c" w:hAnsi="AdvOTce2aec1c" w:cs="AdvOTce2aec1c"/>
          <w:color w:val="2197D2"/>
          <w:sz w:val="18"/>
          <w:szCs w:val="18"/>
        </w:rPr>
        <w:t>00)00059-4</w:t>
      </w:r>
      <w:r>
        <w:rPr>
          <w:rFonts w:ascii="AdvOTce2aec1c" w:hAnsi="AdvOTce2aec1c" w:cs="AdvOTce2aec1c"/>
          <w:color w:val="000000"/>
          <w:sz w:val="18"/>
          <w:szCs w:val="18"/>
        </w:rPr>
        <w:t>.</w:t>
      </w:r>
    </w:p>
    <w:p w:rsidR="00286D8B" w:rsidRDefault="00286D8B" w:rsidP="00286D8B">
      <w:pPr>
        <w:autoSpaceDE w:val="0"/>
        <w:autoSpaceDN w:val="0"/>
        <w:adjustRightInd w:val="0"/>
        <w:spacing w:after="0" w:line="240" w:lineRule="auto"/>
        <w:rPr>
          <w:rFonts w:ascii="AdvOTce2aec1c" w:hAnsi="AdvOTce2aec1c" w:cs="AdvOTce2aec1c"/>
          <w:color w:val="000000"/>
          <w:sz w:val="18"/>
          <w:szCs w:val="18"/>
        </w:rPr>
      </w:pPr>
    </w:p>
    <w:p w:rsidR="00286D8B" w:rsidRDefault="00286D8B" w:rsidP="00286D8B">
      <w:pPr>
        <w:autoSpaceDE w:val="0"/>
        <w:autoSpaceDN w:val="0"/>
        <w:adjustRightInd w:val="0"/>
        <w:spacing w:after="0" w:line="240" w:lineRule="auto"/>
        <w:rPr>
          <w:rFonts w:ascii="AdvOTce2aec1c" w:hAnsi="AdvOTce2aec1c" w:cs="AdvOTce2aec1c"/>
          <w:color w:val="000000"/>
          <w:sz w:val="18"/>
          <w:szCs w:val="18"/>
        </w:rPr>
      </w:pPr>
      <w:r>
        <w:rPr>
          <w:rFonts w:ascii="AdvOTce2aec1c" w:hAnsi="AdvOTce2aec1c" w:cs="AdvOTce2aec1c"/>
          <w:color w:val="000000"/>
          <w:sz w:val="18"/>
          <w:szCs w:val="18"/>
        </w:rPr>
        <w:t>Miles, T. D., Miles, L. A., Fairchild, K. L., &amp; Wharton, P. S. (2014). Screening and characterization</w:t>
      </w:r>
    </w:p>
    <w:p w:rsidR="00286D8B" w:rsidRDefault="00286D8B" w:rsidP="00286D8B">
      <w:pPr>
        <w:autoSpaceDE w:val="0"/>
        <w:autoSpaceDN w:val="0"/>
        <w:adjustRightInd w:val="0"/>
        <w:spacing w:after="0" w:line="240" w:lineRule="auto"/>
        <w:rPr>
          <w:rFonts w:ascii="AdvOTa5ebdc7c.I" w:hAnsi="AdvOTa5ebdc7c.I" w:cs="AdvOTa5ebdc7c.I"/>
          <w:color w:val="000000"/>
          <w:sz w:val="18"/>
          <w:szCs w:val="18"/>
        </w:rPr>
      </w:pPr>
      <w:proofErr w:type="gramStart"/>
      <w:r>
        <w:rPr>
          <w:rFonts w:ascii="AdvOTce2aec1c" w:hAnsi="AdvOTce2aec1c" w:cs="AdvOTce2aec1c"/>
          <w:color w:val="000000"/>
          <w:sz w:val="18"/>
          <w:szCs w:val="18"/>
        </w:rPr>
        <w:t>of</w:t>
      </w:r>
      <w:proofErr w:type="gramEnd"/>
      <w:r>
        <w:rPr>
          <w:rFonts w:ascii="AdvOTce2aec1c" w:hAnsi="AdvOTce2aec1c" w:cs="AdvOTce2aec1c"/>
          <w:color w:val="000000"/>
          <w:sz w:val="18"/>
          <w:szCs w:val="18"/>
        </w:rPr>
        <w:t xml:space="preserve"> resistance to succinate dehydrogenase inhibitors in </w:t>
      </w:r>
      <w:r>
        <w:rPr>
          <w:rFonts w:ascii="AdvOTa5ebdc7c.I" w:hAnsi="AdvOTa5ebdc7c.I" w:cs="AdvOTa5ebdc7c.I"/>
          <w:color w:val="000000"/>
          <w:sz w:val="18"/>
          <w:szCs w:val="18"/>
        </w:rPr>
        <w:t>Alternaria solani</w:t>
      </w:r>
      <w:r>
        <w:rPr>
          <w:rFonts w:ascii="AdvOTce2aec1c" w:hAnsi="AdvOTce2aec1c" w:cs="AdvOTce2aec1c"/>
          <w:color w:val="000000"/>
          <w:sz w:val="18"/>
          <w:szCs w:val="18"/>
        </w:rPr>
        <w:t xml:space="preserve">. </w:t>
      </w:r>
      <w:r>
        <w:rPr>
          <w:rFonts w:ascii="AdvOTa5ebdc7c.I" w:hAnsi="AdvOTa5ebdc7c.I" w:cs="AdvOTa5ebdc7c.I"/>
          <w:color w:val="000000"/>
          <w:sz w:val="18"/>
          <w:szCs w:val="18"/>
        </w:rPr>
        <w:t>Plant Pathology,</w:t>
      </w:r>
    </w:p>
    <w:p w:rsidR="00A372B0" w:rsidRDefault="00286D8B" w:rsidP="00286D8B">
      <w:r>
        <w:rPr>
          <w:rFonts w:ascii="AdvOTa5ebdc7c.I" w:hAnsi="AdvOTa5ebdc7c.I" w:cs="AdvOTa5ebdc7c.I"/>
          <w:color w:val="000000"/>
          <w:sz w:val="18"/>
          <w:szCs w:val="18"/>
        </w:rPr>
        <w:t>63</w:t>
      </w:r>
      <w:r>
        <w:rPr>
          <w:rFonts w:ascii="AdvOTce2aec1c" w:hAnsi="AdvOTce2aec1c" w:cs="AdvOTce2aec1c"/>
          <w:color w:val="000000"/>
          <w:sz w:val="18"/>
          <w:szCs w:val="18"/>
        </w:rPr>
        <w:t>(1), 155</w:t>
      </w:r>
      <w:r>
        <w:rPr>
          <w:rFonts w:ascii="AdvOTce2aec1c+20" w:hAnsi="AdvOTce2aec1c+20" w:cs="AdvOTce2aec1c+20"/>
          <w:color w:val="000000"/>
          <w:sz w:val="18"/>
          <w:szCs w:val="18"/>
        </w:rPr>
        <w:t>–</w:t>
      </w:r>
      <w:r>
        <w:rPr>
          <w:rFonts w:ascii="AdvOTce2aec1c" w:hAnsi="AdvOTce2aec1c" w:cs="AdvOTce2aec1c"/>
          <w:color w:val="000000"/>
          <w:sz w:val="18"/>
          <w:szCs w:val="18"/>
        </w:rPr>
        <w:t xml:space="preserve">164. </w:t>
      </w:r>
      <w:r>
        <w:rPr>
          <w:rFonts w:ascii="AdvOTce2aec1c" w:hAnsi="AdvOTce2aec1c" w:cs="AdvOTce2aec1c"/>
          <w:color w:val="2197D2"/>
          <w:sz w:val="18"/>
          <w:szCs w:val="18"/>
        </w:rPr>
        <w:t>http://dx.doi.org/10.1111/ppa.12077</w:t>
      </w:r>
      <w:r>
        <w:rPr>
          <w:rFonts w:ascii="AdvOTce2aec1c" w:hAnsi="AdvOTce2aec1c" w:cs="AdvOTce2aec1c"/>
          <w:color w:val="000000"/>
          <w:sz w:val="18"/>
          <w:szCs w:val="18"/>
        </w:rPr>
        <w:t>.</w:t>
      </w:r>
    </w:p>
    <w:p w:rsidR="00072A92" w:rsidRDefault="00072A92" w:rsidP="00072A92">
      <w:pPr>
        <w:autoSpaceDE w:val="0"/>
        <w:autoSpaceDN w:val="0"/>
        <w:adjustRightInd w:val="0"/>
        <w:spacing w:after="0" w:line="240" w:lineRule="auto"/>
        <w:rPr>
          <w:rFonts w:ascii="AdvOTa5ebdc7c.I" w:hAnsi="AdvOTa5ebdc7c.I" w:cs="AdvOTa5ebdc7c.I"/>
          <w:color w:val="000000"/>
          <w:sz w:val="18"/>
          <w:szCs w:val="18"/>
        </w:rPr>
      </w:pPr>
      <w:proofErr w:type="spellStart"/>
      <w:r>
        <w:rPr>
          <w:rFonts w:ascii="AdvOTce2aec1c" w:hAnsi="AdvOTce2aec1c" w:cs="AdvOTce2aec1c"/>
          <w:color w:val="000000"/>
          <w:sz w:val="18"/>
          <w:szCs w:val="18"/>
        </w:rPr>
        <w:t>Avenot</w:t>
      </w:r>
      <w:proofErr w:type="spellEnd"/>
      <w:r>
        <w:rPr>
          <w:rFonts w:ascii="AdvOTce2aec1c" w:hAnsi="AdvOTce2aec1c" w:cs="AdvOTce2aec1c"/>
          <w:color w:val="000000"/>
          <w:sz w:val="18"/>
          <w:szCs w:val="18"/>
        </w:rPr>
        <w:t xml:space="preserve">, H. F., &amp; </w:t>
      </w:r>
      <w:proofErr w:type="spellStart"/>
      <w:r>
        <w:rPr>
          <w:rFonts w:ascii="AdvOTce2aec1c" w:hAnsi="AdvOTce2aec1c" w:cs="AdvOTce2aec1c"/>
          <w:color w:val="000000"/>
          <w:sz w:val="18"/>
          <w:szCs w:val="18"/>
        </w:rPr>
        <w:t>Michailides</w:t>
      </w:r>
      <w:proofErr w:type="spellEnd"/>
      <w:r>
        <w:rPr>
          <w:rFonts w:ascii="AdvOTce2aec1c" w:hAnsi="AdvOTce2aec1c" w:cs="AdvOTce2aec1c"/>
          <w:color w:val="000000"/>
          <w:sz w:val="18"/>
          <w:szCs w:val="18"/>
        </w:rPr>
        <w:t xml:space="preserve">, T. J. (2007). Resistance to boscalid fungicide in </w:t>
      </w:r>
      <w:proofErr w:type="spellStart"/>
      <w:r>
        <w:rPr>
          <w:rFonts w:ascii="AdvOTa5ebdc7c.I" w:hAnsi="AdvOTa5ebdc7c.I" w:cs="AdvOTa5ebdc7c.I"/>
          <w:color w:val="000000"/>
          <w:sz w:val="18"/>
          <w:szCs w:val="18"/>
        </w:rPr>
        <w:t>Alternaria</w:t>
      </w:r>
      <w:proofErr w:type="spellEnd"/>
      <w:r>
        <w:rPr>
          <w:rFonts w:ascii="AdvOTa5ebdc7c.I" w:hAnsi="AdvOTa5ebdc7c.I" w:cs="AdvOTa5ebdc7c.I"/>
          <w:color w:val="000000"/>
          <w:sz w:val="18"/>
          <w:szCs w:val="18"/>
        </w:rPr>
        <w:t xml:space="preserve"> </w:t>
      </w:r>
      <w:proofErr w:type="spellStart"/>
      <w:r>
        <w:rPr>
          <w:rFonts w:ascii="AdvOTa5ebdc7c.I" w:hAnsi="AdvOTa5ebdc7c.I" w:cs="AdvOTa5ebdc7c.I"/>
          <w:color w:val="000000"/>
          <w:sz w:val="18"/>
          <w:szCs w:val="18"/>
        </w:rPr>
        <w:t>alternata</w:t>
      </w:r>
      <w:proofErr w:type="spellEnd"/>
    </w:p>
    <w:p w:rsidR="00072A92" w:rsidRDefault="00072A92" w:rsidP="00072A92">
      <w:pPr>
        <w:autoSpaceDE w:val="0"/>
        <w:autoSpaceDN w:val="0"/>
        <w:adjustRightInd w:val="0"/>
        <w:spacing w:after="0" w:line="240" w:lineRule="auto"/>
        <w:rPr>
          <w:rFonts w:ascii="AdvOTce2aec1c" w:hAnsi="AdvOTce2aec1c" w:cs="AdvOTce2aec1c"/>
          <w:color w:val="2197D2"/>
          <w:sz w:val="18"/>
          <w:szCs w:val="18"/>
        </w:rPr>
      </w:pPr>
      <w:proofErr w:type="gramStart"/>
      <w:r>
        <w:rPr>
          <w:rFonts w:ascii="AdvOTce2aec1c" w:hAnsi="AdvOTce2aec1c" w:cs="AdvOTce2aec1c"/>
          <w:color w:val="000000"/>
          <w:sz w:val="18"/>
          <w:szCs w:val="18"/>
        </w:rPr>
        <w:t>isolates</w:t>
      </w:r>
      <w:proofErr w:type="gramEnd"/>
      <w:r>
        <w:rPr>
          <w:rFonts w:ascii="AdvOTce2aec1c" w:hAnsi="AdvOTce2aec1c" w:cs="AdvOTce2aec1c"/>
          <w:color w:val="000000"/>
          <w:sz w:val="18"/>
          <w:szCs w:val="18"/>
        </w:rPr>
        <w:t xml:space="preserve"> from pistachio in California. </w:t>
      </w:r>
      <w:r>
        <w:rPr>
          <w:rFonts w:ascii="AdvOTa5ebdc7c.I" w:hAnsi="AdvOTa5ebdc7c.I" w:cs="AdvOTa5ebdc7c.I"/>
          <w:color w:val="000000"/>
          <w:sz w:val="18"/>
          <w:szCs w:val="18"/>
        </w:rPr>
        <w:t>Plant Disease, 91</w:t>
      </w:r>
      <w:r>
        <w:rPr>
          <w:rFonts w:ascii="AdvOTce2aec1c" w:hAnsi="AdvOTce2aec1c" w:cs="AdvOTce2aec1c"/>
          <w:color w:val="000000"/>
          <w:sz w:val="18"/>
          <w:szCs w:val="18"/>
        </w:rPr>
        <w:t>(10), 1345</w:t>
      </w:r>
      <w:r>
        <w:rPr>
          <w:rFonts w:ascii="AdvOTce2aec1c+20" w:hAnsi="AdvOTce2aec1c+20" w:cs="AdvOTce2aec1c+20"/>
          <w:color w:val="000000"/>
          <w:sz w:val="18"/>
          <w:szCs w:val="18"/>
        </w:rPr>
        <w:t>–</w:t>
      </w:r>
      <w:r>
        <w:rPr>
          <w:rFonts w:ascii="AdvOTce2aec1c" w:hAnsi="AdvOTce2aec1c" w:cs="AdvOTce2aec1c"/>
          <w:color w:val="000000"/>
          <w:sz w:val="18"/>
          <w:szCs w:val="18"/>
        </w:rPr>
        <w:t xml:space="preserve">1350. </w:t>
      </w:r>
      <w:r>
        <w:rPr>
          <w:rFonts w:ascii="AdvOTce2aec1c" w:hAnsi="AdvOTce2aec1c" w:cs="AdvOTce2aec1c"/>
          <w:color w:val="2197D2"/>
          <w:sz w:val="18"/>
          <w:szCs w:val="18"/>
        </w:rPr>
        <w:t>http://</w:t>
      </w:r>
    </w:p>
    <w:p w:rsidR="00A372B0" w:rsidRDefault="00072A92" w:rsidP="00072A92">
      <w:r>
        <w:rPr>
          <w:rFonts w:ascii="AdvOTce2aec1c" w:hAnsi="AdvOTce2aec1c" w:cs="AdvOTce2aec1c"/>
          <w:color w:val="2197D2"/>
          <w:sz w:val="18"/>
          <w:szCs w:val="18"/>
        </w:rPr>
        <w:t>dx.doi.org/10.1094/pdis-91-10-1345</w:t>
      </w:r>
      <w:r>
        <w:rPr>
          <w:rFonts w:ascii="AdvOTce2aec1c" w:hAnsi="AdvOTce2aec1c" w:cs="AdvOTce2aec1c"/>
          <w:color w:val="000000"/>
          <w:sz w:val="18"/>
          <w:szCs w:val="18"/>
        </w:rPr>
        <w:t>.</w:t>
      </w:r>
    </w:p>
    <w:p w:rsidR="005236B0" w:rsidRDefault="005236B0" w:rsidP="00A372B0">
      <w:pPr>
        <w:pStyle w:val="NoSpacing"/>
      </w:pPr>
    </w:p>
    <w:p w:rsidR="005236B0" w:rsidRDefault="005236B0" w:rsidP="005236B0">
      <w:pPr>
        <w:pStyle w:val="NoSpacing"/>
      </w:pPr>
      <w:r w:rsidRPr="00452FBB">
        <w:rPr>
          <w:highlight w:val="cyan"/>
        </w:rPr>
        <w:t>Lim TP</w:t>
      </w:r>
      <w:r>
        <w:t xml:space="preserve">, Ong RT, Hon PY, </w:t>
      </w:r>
      <w:proofErr w:type="spellStart"/>
      <w:r>
        <w:t>Hawkey</w:t>
      </w:r>
      <w:proofErr w:type="spellEnd"/>
      <w:r>
        <w:t xml:space="preserve"> J, Holt KE, </w:t>
      </w:r>
      <w:proofErr w:type="spellStart"/>
      <w:r>
        <w:t>Koh</w:t>
      </w:r>
      <w:proofErr w:type="spellEnd"/>
      <w:r>
        <w:t xml:space="preserve"> TH, Leong ML, </w:t>
      </w:r>
      <w:proofErr w:type="spellStart"/>
      <w:r>
        <w:t>Teo</w:t>
      </w:r>
      <w:proofErr w:type="spellEnd"/>
      <w:r>
        <w:t xml:space="preserve"> JQ, Tan TY, Ng MM, Hsu LY. 2015.</w:t>
      </w:r>
    </w:p>
    <w:p w:rsidR="00A372B0" w:rsidRDefault="00A372B0" w:rsidP="00A372B0">
      <w:pPr>
        <w:pStyle w:val="NoSpacing"/>
      </w:pPr>
      <w:r>
        <w:t xml:space="preserve">Multiple Genetic Mutations Associated with </w:t>
      </w:r>
      <w:proofErr w:type="spellStart"/>
      <w:r>
        <w:t>Polymyxin</w:t>
      </w:r>
      <w:proofErr w:type="spellEnd"/>
      <w:r>
        <w:t xml:space="preserve"> Resistance in Acinetobacter </w:t>
      </w:r>
      <w:proofErr w:type="spellStart"/>
      <w:r>
        <w:t>baumannii</w:t>
      </w:r>
      <w:proofErr w:type="spellEnd"/>
      <w:r>
        <w:t>.</w:t>
      </w:r>
      <w:r w:rsidR="005236B0">
        <w:t xml:space="preserve"> </w:t>
      </w:r>
      <w:proofErr w:type="spellStart"/>
      <w:r w:rsidR="005236B0">
        <w:t>Antimicrob</w:t>
      </w:r>
      <w:proofErr w:type="spellEnd"/>
      <w:r w:rsidR="005236B0">
        <w:t xml:space="preserve"> Agents and Chemotherapy. 2015 Dec</w:t>
      </w:r>
      <w:proofErr w:type="gramStart"/>
      <w:r w:rsidR="005236B0">
        <w:t>;59</w:t>
      </w:r>
      <w:proofErr w:type="gramEnd"/>
      <w:r w:rsidR="005236B0">
        <w:t xml:space="preserve">(12):7899-902. </w:t>
      </w:r>
      <w:proofErr w:type="spellStart"/>
      <w:proofErr w:type="gramStart"/>
      <w:r w:rsidR="005236B0">
        <w:t>doi</w:t>
      </w:r>
      <w:proofErr w:type="spellEnd"/>
      <w:proofErr w:type="gramEnd"/>
      <w:r w:rsidR="005236B0">
        <w:t>: 10.1128/AAC.01884-15.</w:t>
      </w:r>
    </w:p>
    <w:p w:rsidR="006D0711" w:rsidRDefault="006D0711"/>
    <w:p w:rsidR="005B2DE1" w:rsidRDefault="005B2DE1"/>
    <w:p w:rsidR="005B2DE1" w:rsidRDefault="005B2DE1"/>
    <w:p w:rsidR="005B2DE1" w:rsidRDefault="00D86CA0">
      <w:r>
        <w:t>++++++++++++++++++########################++++++++++++++++++++++++++++++++++</w:t>
      </w:r>
    </w:p>
    <w:p w:rsidR="005B2DE1" w:rsidRDefault="005B2DE1"/>
    <w:p w:rsidR="005B2DE1" w:rsidRDefault="005B2DE1"/>
    <w:p w:rsidR="005B2DE1" w:rsidRDefault="005B2DE1" w:rsidP="005B2DE1">
      <w:pPr>
        <w:pStyle w:val="Default"/>
      </w:pPr>
    </w:p>
    <w:p w:rsidR="005B2DE1" w:rsidRPr="005B2DE1" w:rsidRDefault="005B2DE1" w:rsidP="005B2DE1">
      <w:pPr>
        <w:rPr>
          <w:sz w:val="20"/>
          <w:szCs w:val="20"/>
        </w:rPr>
      </w:pPr>
      <w:r w:rsidRPr="005B2DE1">
        <w:rPr>
          <w:sz w:val="20"/>
          <w:szCs w:val="20"/>
        </w:rPr>
        <w:t xml:space="preserve"> </w:t>
      </w:r>
      <w:r w:rsidR="006D0711">
        <w:rPr>
          <w:sz w:val="20"/>
          <w:szCs w:val="20"/>
        </w:rPr>
        <w:t>1A</w:t>
      </w:r>
      <w:proofErr w:type="gramStart"/>
      <w:r w:rsidR="006D0711">
        <w:rPr>
          <w:sz w:val="20"/>
          <w:szCs w:val="20"/>
        </w:rPr>
        <w:t>)</w:t>
      </w:r>
      <w:proofErr w:type="spellStart"/>
      <w:r w:rsidRPr="00FD1EBA">
        <w:rPr>
          <w:sz w:val="20"/>
          <w:szCs w:val="20"/>
          <w:highlight w:val="yellow"/>
        </w:rPr>
        <w:t>Troncoso</w:t>
      </w:r>
      <w:proofErr w:type="spellEnd"/>
      <w:proofErr w:type="gramEnd"/>
      <w:r w:rsidRPr="00FD1EBA">
        <w:rPr>
          <w:sz w:val="20"/>
          <w:szCs w:val="20"/>
          <w:highlight w:val="yellow"/>
        </w:rPr>
        <w:t>-Rojas</w:t>
      </w:r>
      <w:r>
        <w:rPr>
          <w:sz w:val="20"/>
          <w:szCs w:val="20"/>
        </w:rPr>
        <w:t xml:space="preserve">- </w:t>
      </w:r>
      <w:r w:rsidRPr="005B2DE1">
        <w:rPr>
          <w:sz w:val="20"/>
          <w:szCs w:val="20"/>
        </w:rPr>
        <w:t xml:space="preserve">Inter simple sequence repeat polymorphism in Alternaria genomic DNA exposed to lethal concentrations </w:t>
      </w:r>
      <w:r w:rsidRPr="0096349E">
        <w:rPr>
          <w:sz w:val="20"/>
          <w:szCs w:val="20"/>
          <w:highlight w:val="green"/>
        </w:rPr>
        <w:t xml:space="preserve">of </w:t>
      </w:r>
      <w:proofErr w:type="spellStart"/>
      <w:r w:rsidRPr="0096349E">
        <w:rPr>
          <w:sz w:val="20"/>
          <w:szCs w:val="20"/>
          <w:highlight w:val="green"/>
        </w:rPr>
        <w:t>isothiocyanates</w:t>
      </w:r>
      <w:proofErr w:type="spellEnd"/>
    </w:p>
    <w:p w:rsidR="005B2DE1" w:rsidRDefault="005B2DE1">
      <w:pPr>
        <w:rPr>
          <w:sz w:val="20"/>
          <w:szCs w:val="20"/>
        </w:rPr>
      </w:pPr>
      <w:r>
        <w:rPr>
          <w:sz w:val="20"/>
          <w:szCs w:val="20"/>
        </w:rPr>
        <w:t xml:space="preserve">Microsatellites or SSR are composed of tandemly repeated, simple DNA sequence motifs of as many as six nucleotides in length. These </w:t>
      </w:r>
      <w:r>
        <w:rPr>
          <w:i/>
          <w:iCs/>
          <w:sz w:val="20"/>
          <w:szCs w:val="20"/>
        </w:rPr>
        <w:t xml:space="preserve">loci </w:t>
      </w:r>
      <w:r>
        <w:rPr>
          <w:sz w:val="20"/>
          <w:szCs w:val="20"/>
        </w:rPr>
        <w:t>are commonly found in both prokaryotic and eukaryotic genomes and typically are highly polymorphic within species and populations (</w:t>
      </w:r>
      <w:proofErr w:type="spellStart"/>
      <w:r>
        <w:rPr>
          <w:sz w:val="20"/>
          <w:szCs w:val="20"/>
        </w:rPr>
        <w:t>Dettman</w:t>
      </w:r>
      <w:proofErr w:type="spellEnd"/>
      <w:r>
        <w:rPr>
          <w:sz w:val="20"/>
          <w:szCs w:val="20"/>
        </w:rPr>
        <w:t xml:space="preserve"> and Taylor, 2004).</w:t>
      </w:r>
    </w:p>
    <w:p w:rsidR="005B2DE1" w:rsidRDefault="005B2DE1">
      <w:pPr>
        <w:rPr>
          <w:sz w:val="20"/>
          <w:szCs w:val="20"/>
        </w:rPr>
      </w:pPr>
    </w:p>
    <w:p w:rsidR="005B2DE1" w:rsidRDefault="005B2DE1">
      <w:pPr>
        <w:rPr>
          <w:sz w:val="20"/>
          <w:szCs w:val="20"/>
        </w:rPr>
      </w:pPr>
    </w:p>
    <w:p w:rsidR="00C140BE" w:rsidRDefault="006D0711" w:rsidP="00C140BE">
      <w:pPr>
        <w:rPr>
          <w:rFonts w:ascii="AdvP6EC5" w:hAnsi="AdvP6EC5" w:cs="AdvP6EC5"/>
          <w:color w:val="231F20"/>
          <w:sz w:val="18"/>
          <w:szCs w:val="18"/>
        </w:rPr>
      </w:pPr>
      <w:proofErr w:type="gramStart"/>
      <w:r>
        <w:rPr>
          <w:rFonts w:ascii="AdvP6EC5" w:hAnsi="AdvP6EC5" w:cs="AdvP6EC5"/>
          <w:color w:val="231F20"/>
          <w:sz w:val="18"/>
          <w:szCs w:val="18"/>
          <w:highlight w:val="yellow"/>
        </w:rPr>
        <w:t>2)</w:t>
      </w:r>
      <w:proofErr w:type="spellStart"/>
      <w:r w:rsidR="00C140BE" w:rsidRPr="00FD1EBA">
        <w:rPr>
          <w:rFonts w:ascii="AdvP6EC5" w:hAnsi="AdvP6EC5" w:cs="AdvP6EC5"/>
          <w:color w:val="231F20"/>
          <w:sz w:val="18"/>
          <w:szCs w:val="18"/>
          <w:highlight w:val="yellow"/>
        </w:rPr>
        <w:t>Zeh</w:t>
      </w:r>
      <w:proofErr w:type="spellEnd"/>
      <w:proofErr w:type="gramEnd"/>
      <w:r w:rsidR="00C140BE" w:rsidRPr="00FD1EBA">
        <w:rPr>
          <w:rFonts w:ascii="AdvP6EC5" w:hAnsi="AdvP6EC5" w:cs="AdvP6EC5"/>
          <w:color w:val="231F20"/>
          <w:sz w:val="18"/>
          <w:szCs w:val="18"/>
          <w:highlight w:val="yellow"/>
        </w:rPr>
        <w:t xml:space="preserve">, </w:t>
      </w:r>
      <w:proofErr w:type="spellStart"/>
      <w:r w:rsidR="00C140BE" w:rsidRPr="00FD1EBA">
        <w:rPr>
          <w:rFonts w:ascii="AdvP6EC5" w:hAnsi="AdvP6EC5" w:cs="AdvP6EC5"/>
          <w:color w:val="231F20"/>
          <w:sz w:val="18"/>
          <w:szCs w:val="18"/>
          <w:highlight w:val="yellow"/>
        </w:rPr>
        <w:t>Zeh</w:t>
      </w:r>
      <w:proofErr w:type="spellEnd"/>
      <w:r w:rsidR="00C140BE" w:rsidRPr="00FD1EBA">
        <w:rPr>
          <w:rFonts w:ascii="AdvP6EC5" w:hAnsi="AdvP6EC5" w:cs="AdvP6EC5"/>
          <w:color w:val="231F20"/>
          <w:sz w:val="18"/>
          <w:szCs w:val="18"/>
          <w:highlight w:val="yellow"/>
        </w:rPr>
        <w:t>, and</w:t>
      </w:r>
      <w:r w:rsidR="00C140BE" w:rsidRPr="00C140BE">
        <w:rPr>
          <w:rFonts w:ascii="AdvP6EC5" w:hAnsi="AdvP6EC5" w:cs="AdvP6EC5"/>
          <w:color w:val="231F20"/>
          <w:sz w:val="18"/>
          <w:szCs w:val="18"/>
        </w:rPr>
        <w:t xml:space="preserve"> Yoichi Ishida :Transposable elements and an epigenetic basis for punctuated equilibria</w:t>
      </w:r>
    </w:p>
    <w:p w:rsidR="00C140BE" w:rsidRDefault="00C140BE" w:rsidP="00C140BE">
      <w:pPr>
        <w:rPr>
          <w:rFonts w:ascii="AdvP6EC5" w:hAnsi="AdvP6EC5" w:cs="AdvP6EC5"/>
          <w:color w:val="231F20"/>
          <w:sz w:val="18"/>
          <w:szCs w:val="18"/>
        </w:rPr>
      </w:pPr>
      <w:r>
        <w:rPr>
          <w:rFonts w:ascii="AdvP6EC5" w:hAnsi="AdvP6EC5" w:cs="AdvP6EC5"/>
          <w:color w:val="231F20"/>
          <w:sz w:val="18"/>
          <w:szCs w:val="18"/>
        </w:rPr>
        <w:t>Evolution is frequently concentrated in bursts of rapid</w:t>
      </w:r>
      <w:r w:rsidR="008820BE">
        <w:rPr>
          <w:rFonts w:ascii="AdvP6EC5" w:hAnsi="AdvP6EC5" w:cs="AdvP6EC5"/>
          <w:color w:val="231F20"/>
          <w:sz w:val="18"/>
          <w:szCs w:val="18"/>
        </w:rPr>
        <w:t xml:space="preserve"> </w:t>
      </w:r>
      <w:r>
        <w:rPr>
          <w:rFonts w:ascii="AdvP6EC5" w:hAnsi="AdvP6EC5" w:cs="AdvP6EC5"/>
          <w:color w:val="231F20"/>
          <w:sz w:val="18"/>
          <w:szCs w:val="18"/>
        </w:rPr>
        <w:t>morphological change and speciation followed by long</w:t>
      </w:r>
      <w:r w:rsidR="008820BE">
        <w:rPr>
          <w:rFonts w:ascii="AdvP6EC5" w:hAnsi="AdvP6EC5" w:cs="AdvP6EC5"/>
          <w:color w:val="231F20"/>
          <w:sz w:val="18"/>
          <w:szCs w:val="18"/>
        </w:rPr>
        <w:t xml:space="preserve"> </w:t>
      </w:r>
      <w:r>
        <w:rPr>
          <w:rFonts w:ascii="AdvP6EC5" w:hAnsi="AdvP6EC5" w:cs="AdvP6EC5"/>
          <w:color w:val="231F20"/>
          <w:sz w:val="18"/>
          <w:szCs w:val="18"/>
        </w:rPr>
        <w:t>term</w:t>
      </w:r>
      <w:r w:rsidR="008820BE">
        <w:rPr>
          <w:rFonts w:ascii="AdvP6EC5" w:hAnsi="AdvP6EC5" w:cs="AdvP6EC5"/>
          <w:color w:val="231F20"/>
          <w:sz w:val="18"/>
          <w:szCs w:val="18"/>
        </w:rPr>
        <w:t xml:space="preserve"> </w:t>
      </w:r>
      <w:r>
        <w:rPr>
          <w:rFonts w:ascii="AdvP6EC5" w:hAnsi="AdvP6EC5" w:cs="AdvP6EC5"/>
          <w:color w:val="231F20"/>
          <w:sz w:val="18"/>
          <w:szCs w:val="18"/>
        </w:rPr>
        <w:t>stasis. We propose that this pattern of punctuated</w:t>
      </w:r>
      <w:r w:rsidR="008820BE">
        <w:rPr>
          <w:rFonts w:ascii="AdvP6EC5" w:hAnsi="AdvP6EC5" w:cs="AdvP6EC5"/>
          <w:color w:val="231F20"/>
          <w:sz w:val="18"/>
          <w:szCs w:val="18"/>
        </w:rPr>
        <w:t xml:space="preserve"> </w:t>
      </w:r>
      <w:r>
        <w:rPr>
          <w:rFonts w:ascii="AdvP6EC5" w:hAnsi="AdvP6EC5" w:cs="AdvP6EC5"/>
          <w:color w:val="231F20"/>
          <w:sz w:val="18"/>
          <w:szCs w:val="18"/>
        </w:rPr>
        <w:t>equilibria results from an evolutionary tug-of-war</w:t>
      </w:r>
      <w:r w:rsidR="008820BE">
        <w:rPr>
          <w:rFonts w:ascii="AdvP6EC5" w:hAnsi="AdvP6EC5" w:cs="AdvP6EC5"/>
          <w:color w:val="231F20"/>
          <w:sz w:val="18"/>
          <w:szCs w:val="18"/>
        </w:rPr>
        <w:t xml:space="preserve"> </w:t>
      </w:r>
      <w:r>
        <w:rPr>
          <w:rFonts w:ascii="AdvP6EC5" w:hAnsi="AdvP6EC5" w:cs="AdvP6EC5"/>
          <w:color w:val="231F20"/>
          <w:sz w:val="18"/>
          <w:szCs w:val="18"/>
        </w:rPr>
        <w:t xml:space="preserve">between host genomes and transposable </w:t>
      </w:r>
      <w:proofErr w:type="gramStart"/>
      <w:r>
        <w:rPr>
          <w:rFonts w:ascii="AdvP6EC5" w:hAnsi="AdvP6EC5" w:cs="AdvP6EC5"/>
          <w:color w:val="231F20"/>
          <w:sz w:val="18"/>
          <w:szCs w:val="18"/>
        </w:rPr>
        <w:t>elements(</w:t>
      </w:r>
      <w:proofErr w:type="gramEnd"/>
      <w:r>
        <w:rPr>
          <w:rFonts w:ascii="AdvP6EC5" w:hAnsi="AdvP6EC5" w:cs="AdvP6EC5"/>
          <w:color w:val="231F20"/>
          <w:sz w:val="18"/>
          <w:szCs w:val="18"/>
        </w:rPr>
        <w:t>TEs) mediated through the epigenome. According to</w:t>
      </w:r>
      <w:r w:rsidR="008820BE">
        <w:rPr>
          <w:rFonts w:ascii="AdvP6EC5" w:hAnsi="AdvP6EC5" w:cs="AdvP6EC5"/>
          <w:color w:val="231F20"/>
          <w:sz w:val="18"/>
          <w:szCs w:val="18"/>
        </w:rPr>
        <w:t xml:space="preserve"> </w:t>
      </w:r>
      <w:r>
        <w:rPr>
          <w:rFonts w:ascii="AdvP6EC5" w:hAnsi="AdvP6EC5" w:cs="AdvP6EC5"/>
          <w:color w:val="231F20"/>
          <w:sz w:val="18"/>
          <w:szCs w:val="18"/>
        </w:rPr>
        <w:t>this hypothesis, epigenetic regulatory mechanisms</w:t>
      </w:r>
      <w:r w:rsidR="008820BE">
        <w:rPr>
          <w:rFonts w:ascii="AdvP6EC5" w:hAnsi="AdvP6EC5" w:cs="AdvP6EC5"/>
          <w:color w:val="231F20"/>
          <w:sz w:val="18"/>
          <w:szCs w:val="18"/>
        </w:rPr>
        <w:t xml:space="preserve"> </w:t>
      </w:r>
      <w:r>
        <w:rPr>
          <w:rFonts w:ascii="AdvP6EC5" w:hAnsi="AdvP6EC5" w:cs="AdvP6EC5"/>
          <w:color w:val="231F20"/>
          <w:sz w:val="18"/>
          <w:szCs w:val="18"/>
        </w:rPr>
        <w:t>(RNA interference, DNA methylation and histone modifications)</w:t>
      </w:r>
      <w:r w:rsidR="008820BE">
        <w:rPr>
          <w:rFonts w:ascii="AdvP6EC5" w:hAnsi="AdvP6EC5" w:cs="AdvP6EC5"/>
          <w:color w:val="231F20"/>
          <w:sz w:val="18"/>
          <w:szCs w:val="18"/>
        </w:rPr>
        <w:t xml:space="preserve"> </w:t>
      </w:r>
      <w:r>
        <w:rPr>
          <w:rFonts w:ascii="AdvP6EC5" w:hAnsi="AdvP6EC5" w:cs="AdvP6EC5"/>
          <w:color w:val="231F20"/>
          <w:sz w:val="18"/>
          <w:szCs w:val="18"/>
        </w:rPr>
        <w:t>maintain stasis by suppressing TE mobilization.</w:t>
      </w:r>
      <w:r w:rsidR="008820BE">
        <w:rPr>
          <w:rFonts w:ascii="AdvP6EC5" w:hAnsi="AdvP6EC5" w:cs="AdvP6EC5"/>
          <w:color w:val="231F20"/>
          <w:sz w:val="18"/>
          <w:szCs w:val="18"/>
        </w:rPr>
        <w:t xml:space="preserve"> </w:t>
      </w:r>
      <w:r>
        <w:rPr>
          <w:rFonts w:ascii="AdvP6EC5" w:hAnsi="AdvP6EC5" w:cs="AdvP6EC5"/>
          <w:color w:val="231F20"/>
          <w:sz w:val="18"/>
          <w:szCs w:val="18"/>
        </w:rPr>
        <w:t>However, physiological stress, induced by climate</w:t>
      </w:r>
      <w:r w:rsidR="008820BE">
        <w:rPr>
          <w:rFonts w:ascii="AdvP6EC5" w:hAnsi="AdvP6EC5" w:cs="AdvP6EC5"/>
          <w:color w:val="231F20"/>
          <w:sz w:val="18"/>
          <w:szCs w:val="18"/>
        </w:rPr>
        <w:t xml:space="preserve"> </w:t>
      </w:r>
      <w:r>
        <w:rPr>
          <w:rFonts w:ascii="AdvP6EC5" w:hAnsi="AdvP6EC5" w:cs="AdvP6EC5"/>
          <w:color w:val="231F20"/>
          <w:sz w:val="18"/>
          <w:szCs w:val="18"/>
        </w:rPr>
        <w:t>change or invasion of new habitats, disrupts epigenetic</w:t>
      </w:r>
      <w:r w:rsidR="008820BE">
        <w:rPr>
          <w:rFonts w:ascii="AdvP6EC5" w:hAnsi="AdvP6EC5" w:cs="AdvP6EC5"/>
          <w:color w:val="231F20"/>
          <w:sz w:val="18"/>
          <w:szCs w:val="18"/>
        </w:rPr>
        <w:t xml:space="preserve"> </w:t>
      </w:r>
      <w:r>
        <w:rPr>
          <w:rFonts w:ascii="AdvP6EC5" w:hAnsi="AdvP6EC5" w:cs="AdvP6EC5"/>
          <w:color w:val="231F20"/>
          <w:sz w:val="18"/>
          <w:szCs w:val="18"/>
        </w:rPr>
        <w:t>regulation and unleashes TEs. With their capacity to</w:t>
      </w:r>
      <w:r w:rsidR="008820BE">
        <w:rPr>
          <w:rFonts w:ascii="AdvP6EC5" w:hAnsi="AdvP6EC5" w:cs="AdvP6EC5"/>
          <w:color w:val="231F20"/>
          <w:sz w:val="18"/>
          <w:szCs w:val="18"/>
        </w:rPr>
        <w:t xml:space="preserve"> </w:t>
      </w:r>
      <w:r>
        <w:rPr>
          <w:rFonts w:ascii="AdvP6EC5" w:hAnsi="AdvP6EC5" w:cs="AdvP6EC5"/>
          <w:color w:val="231F20"/>
          <w:sz w:val="18"/>
          <w:szCs w:val="18"/>
        </w:rPr>
        <w:t xml:space="preserve">drive </w:t>
      </w:r>
      <w:r w:rsidRPr="00614C7D">
        <w:rPr>
          <w:rFonts w:ascii="AdvP6EC5" w:hAnsi="AdvP6EC5" w:cs="AdvP6EC5"/>
          <w:color w:val="231F20"/>
          <w:sz w:val="18"/>
          <w:szCs w:val="18"/>
          <w:highlight w:val="cyan"/>
        </w:rPr>
        <w:t>non-adaptive host evolution</w:t>
      </w:r>
      <w:r>
        <w:rPr>
          <w:rFonts w:ascii="AdvP6EC5" w:hAnsi="AdvP6EC5" w:cs="AdvP6EC5"/>
          <w:color w:val="231F20"/>
          <w:sz w:val="18"/>
          <w:szCs w:val="18"/>
        </w:rPr>
        <w:t>, mobilized TEs can</w:t>
      </w:r>
      <w:r w:rsidR="008820BE">
        <w:rPr>
          <w:rFonts w:ascii="AdvP6EC5" w:hAnsi="AdvP6EC5" w:cs="AdvP6EC5"/>
          <w:color w:val="231F20"/>
          <w:sz w:val="18"/>
          <w:szCs w:val="18"/>
        </w:rPr>
        <w:t xml:space="preserve"> </w:t>
      </w:r>
      <w:r>
        <w:rPr>
          <w:rFonts w:ascii="AdvP6EC5" w:hAnsi="AdvP6EC5" w:cs="AdvP6EC5"/>
          <w:color w:val="231F20"/>
          <w:sz w:val="18"/>
          <w:szCs w:val="18"/>
        </w:rPr>
        <w:t>restructure the genome and displace populations from</w:t>
      </w:r>
      <w:r w:rsidR="008820BE">
        <w:rPr>
          <w:rFonts w:ascii="AdvP6EC5" w:hAnsi="AdvP6EC5" w:cs="AdvP6EC5"/>
          <w:color w:val="231F20"/>
          <w:sz w:val="18"/>
          <w:szCs w:val="18"/>
        </w:rPr>
        <w:t xml:space="preserve"> </w:t>
      </w:r>
      <w:r>
        <w:rPr>
          <w:rFonts w:ascii="AdvP6EC5" w:hAnsi="AdvP6EC5" w:cs="AdvP6EC5"/>
          <w:color w:val="231F20"/>
          <w:sz w:val="18"/>
          <w:szCs w:val="18"/>
        </w:rPr>
        <w:t>adaptive peaks, thus providing an escape from stasis</w:t>
      </w:r>
      <w:r w:rsidR="008820BE">
        <w:rPr>
          <w:rFonts w:ascii="AdvP6EC5" w:hAnsi="AdvP6EC5" w:cs="AdvP6EC5"/>
          <w:color w:val="231F20"/>
          <w:sz w:val="18"/>
          <w:szCs w:val="18"/>
        </w:rPr>
        <w:t xml:space="preserve"> </w:t>
      </w:r>
      <w:r>
        <w:rPr>
          <w:rFonts w:ascii="AdvP6EC5" w:hAnsi="AdvP6EC5" w:cs="AdvP6EC5"/>
          <w:color w:val="231F20"/>
          <w:sz w:val="18"/>
          <w:szCs w:val="18"/>
        </w:rPr>
        <w:t>and generating genetic innovations required for rapid</w:t>
      </w:r>
      <w:r w:rsidR="00B33531">
        <w:rPr>
          <w:rFonts w:ascii="AdvP6EC5" w:hAnsi="AdvP6EC5" w:cs="AdvP6EC5"/>
          <w:color w:val="231F20"/>
          <w:sz w:val="18"/>
          <w:szCs w:val="18"/>
        </w:rPr>
        <w:t xml:space="preserve"> </w:t>
      </w:r>
      <w:r>
        <w:rPr>
          <w:rFonts w:ascii="AdvP6EC5" w:hAnsi="AdvP6EC5" w:cs="AdvP6EC5"/>
          <w:color w:val="231F20"/>
          <w:sz w:val="18"/>
          <w:szCs w:val="18"/>
        </w:rPr>
        <w:t>diversification</w:t>
      </w:r>
      <w:r w:rsidR="00CA17D6">
        <w:rPr>
          <w:rFonts w:ascii="AdvP6EC5" w:hAnsi="AdvP6EC5" w:cs="AdvP6EC5"/>
          <w:color w:val="231F20"/>
          <w:sz w:val="18"/>
          <w:szCs w:val="18"/>
        </w:rPr>
        <w:t>.</w:t>
      </w:r>
    </w:p>
    <w:p w:rsidR="00FC57DC" w:rsidRDefault="00FC57DC" w:rsidP="00CA17D6">
      <w:pPr>
        <w:rPr>
          <w:rFonts w:ascii="AdvP6EC0" w:hAnsi="AdvP6EC0" w:cs="AdvP6EC0"/>
          <w:color w:val="231F20"/>
          <w:sz w:val="18"/>
          <w:szCs w:val="18"/>
        </w:rPr>
      </w:pPr>
      <w:r>
        <w:rPr>
          <w:rStyle w:val="tgc"/>
          <w:rFonts w:ascii="Arial" w:hAnsi="Arial" w:cs="Arial"/>
          <w:b/>
          <w:bCs/>
          <w:color w:val="222222"/>
        </w:rPr>
        <w:t>DEFINITION: DNA methylation</w:t>
      </w:r>
      <w:r>
        <w:rPr>
          <w:rStyle w:val="tgc"/>
          <w:rFonts w:ascii="Arial" w:hAnsi="Arial" w:cs="Arial"/>
          <w:color w:val="222222"/>
        </w:rPr>
        <w:t xml:space="preserve"> is an epigenetic mechanism used by cells to control gene expression. A number of mechanisms exist to control gene expression in eukaryotes, but </w:t>
      </w:r>
      <w:r>
        <w:rPr>
          <w:rStyle w:val="tgc"/>
          <w:rFonts w:ascii="Arial" w:hAnsi="Arial" w:cs="Arial"/>
          <w:b/>
          <w:bCs/>
          <w:color w:val="222222"/>
        </w:rPr>
        <w:t xml:space="preserve">DNA </w:t>
      </w:r>
      <w:r>
        <w:rPr>
          <w:rStyle w:val="tgc"/>
          <w:rFonts w:ascii="Arial" w:hAnsi="Arial" w:cs="Arial"/>
          <w:b/>
          <w:bCs/>
          <w:color w:val="222222"/>
        </w:rPr>
        <w:lastRenderedPageBreak/>
        <w:t>methylation</w:t>
      </w:r>
      <w:r>
        <w:rPr>
          <w:rStyle w:val="tgc"/>
          <w:rFonts w:ascii="Arial" w:hAnsi="Arial" w:cs="Arial"/>
          <w:color w:val="222222"/>
        </w:rPr>
        <w:t xml:space="preserve"> is a commonly used epigenetic signaling tool that can fix genes in the “off” position.</w:t>
      </w:r>
    </w:p>
    <w:p w:rsidR="00FC57DC" w:rsidRDefault="00FC57DC" w:rsidP="00CA17D6">
      <w:pPr>
        <w:rPr>
          <w:rFonts w:ascii="AdvP6EC0" w:hAnsi="AdvP6EC0" w:cs="AdvP6EC0"/>
          <w:color w:val="231F20"/>
          <w:sz w:val="18"/>
          <w:szCs w:val="18"/>
        </w:rPr>
      </w:pPr>
    </w:p>
    <w:p w:rsidR="00CA17D6" w:rsidRDefault="00CA17D6" w:rsidP="00CA17D6">
      <w:pPr>
        <w:rPr>
          <w:rFonts w:ascii="AdvP6EC0" w:hAnsi="AdvP6EC0" w:cs="AdvP6EC0"/>
          <w:color w:val="231F20"/>
          <w:sz w:val="12"/>
          <w:szCs w:val="12"/>
        </w:rPr>
      </w:pPr>
      <w:r>
        <w:rPr>
          <w:rFonts w:ascii="AdvP6EC0" w:hAnsi="AdvP6EC0" w:cs="AdvP6EC0"/>
          <w:color w:val="231F20"/>
          <w:sz w:val="18"/>
          <w:szCs w:val="18"/>
        </w:rPr>
        <w:t>Furthermore, ecological communities exhibit</w:t>
      </w:r>
      <w:r w:rsidR="00B33531">
        <w:rPr>
          <w:rFonts w:ascii="AdvP6EC0" w:hAnsi="AdvP6EC0" w:cs="AdvP6EC0"/>
          <w:color w:val="231F20"/>
          <w:sz w:val="18"/>
          <w:szCs w:val="18"/>
        </w:rPr>
        <w:t xml:space="preserve"> </w:t>
      </w:r>
      <w:r>
        <w:rPr>
          <w:rFonts w:ascii="AdvP6EC0" w:hAnsi="AdvP6EC0" w:cs="AdvP6EC0"/>
          <w:color w:val="231F20"/>
          <w:sz w:val="18"/>
          <w:szCs w:val="18"/>
        </w:rPr>
        <w:t>synchrony in stasis and diversification, implicating environmental</w:t>
      </w:r>
      <w:r w:rsidR="00B33531">
        <w:rPr>
          <w:rFonts w:ascii="AdvP6EC0" w:hAnsi="AdvP6EC0" w:cs="AdvP6EC0"/>
          <w:color w:val="231F20"/>
          <w:sz w:val="18"/>
          <w:szCs w:val="18"/>
        </w:rPr>
        <w:t xml:space="preserve"> </w:t>
      </w:r>
      <w:r>
        <w:rPr>
          <w:rFonts w:ascii="AdvP6EC0" w:hAnsi="AdvP6EC0" w:cs="AdvP6EC0"/>
          <w:color w:val="231F20"/>
          <w:sz w:val="18"/>
          <w:szCs w:val="18"/>
        </w:rPr>
        <w:t>change as a critical factor generating punctuation</w:t>
      </w:r>
      <w:proofErr w:type="gramStart"/>
      <w:r>
        <w:rPr>
          <w:rFonts w:ascii="AdvP6EC0" w:hAnsi="AdvP6EC0" w:cs="AdvP6EC0"/>
          <w:color w:val="231F20"/>
          <w:sz w:val="18"/>
          <w:szCs w:val="18"/>
        </w:rPr>
        <w:t>.</w:t>
      </w:r>
      <w:r>
        <w:rPr>
          <w:rFonts w:ascii="AdvP6EC0" w:hAnsi="AdvP6EC0" w:cs="AdvP6EC0"/>
          <w:color w:val="231F20"/>
          <w:sz w:val="12"/>
          <w:szCs w:val="12"/>
        </w:rPr>
        <w:t>(</w:t>
      </w:r>
      <w:proofErr w:type="gramEnd"/>
      <w:r>
        <w:rPr>
          <w:rFonts w:ascii="AdvP6EC0" w:hAnsi="AdvP6EC0" w:cs="AdvP6EC0"/>
          <w:color w:val="231F20"/>
          <w:sz w:val="12"/>
          <w:szCs w:val="12"/>
        </w:rPr>
        <w:t>8–10)</w:t>
      </w:r>
    </w:p>
    <w:p w:rsidR="00CA17D6" w:rsidRDefault="00CA17D6" w:rsidP="00CA17D6">
      <w:pPr>
        <w:rPr>
          <w:rFonts w:ascii="AdvP6EC0" w:hAnsi="AdvP6EC0" w:cs="AdvP6EC0"/>
          <w:color w:val="231F20"/>
          <w:sz w:val="12"/>
          <w:szCs w:val="12"/>
        </w:rPr>
      </w:pPr>
      <w:r>
        <w:rPr>
          <w:rFonts w:ascii="AdvP6EC0" w:hAnsi="AdvP6EC0" w:cs="AdvP6EC0"/>
          <w:color w:val="231F20"/>
          <w:sz w:val="18"/>
          <w:szCs w:val="18"/>
        </w:rPr>
        <w:t>Growing evidence indicates that epigenetic</w:t>
      </w:r>
      <w:r w:rsidR="00B33531">
        <w:rPr>
          <w:rFonts w:ascii="AdvP6EC0" w:hAnsi="AdvP6EC0" w:cs="AdvP6EC0"/>
          <w:color w:val="231F20"/>
          <w:sz w:val="18"/>
          <w:szCs w:val="18"/>
        </w:rPr>
        <w:t xml:space="preserve"> </w:t>
      </w:r>
      <w:r>
        <w:rPr>
          <w:rFonts w:ascii="AdvP6EC0" w:hAnsi="AdvP6EC0" w:cs="AdvP6EC0"/>
          <w:color w:val="231F20"/>
          <w:sz w:val="18"/>
          <w:szCs w:val="18"/>
        </w:rPr>
        <w:t xml:space="preserve">regulation evolved to suppress transposable </w:t>
      </w:r>
      <w:proofErr w:type="gramStart"/>
      <w:r>
        <w:rPr>
          <w:rFonts w:ascii="AdvP6EC0" w:hAnsi="AdvP6EC0" w:cs="AdvP6EC0"/>
          <w:color w:val="231F20"/>
          <w:sz w:val="18"/>
          <w:szCs w:val="18"/>
        </w:rPr>
        <w:t>elements(</w:t>
      </w:r>
      <w:proofErr w:type="gramEnd"/>
      <w:r>
        <w:rPr>
          <w:rFonts w:ascii="AdvP6EC0" w:hAnsi="AdvP6EC0" w:cs="AdvP6EC0"/>
          <w:color w:val="231F20"/>
          <w:sz w:val="18"/>
          <w:szCs w:val="18"/>
        </w:rPr>
        <w:t>TEs),</w:t>
      </w:r>
      <w:r>
        <w:rPr>
          <w:rFonts w:ascii="AdvP6EC0" w:hAnsi="AdvP6EC0" w:cs="AdvP6EC0"/>
          <w:color w:val="231F20"/>
          <w:sz w:val="12"/>
          <w:szCs w:val="12"/>
        </w:rPr>
        <w:t xml:space="preserve">(12,13) </w:t>
      </w:r>
      <w:r>
        <w:rPr>
          <w:rFonts w:ascii="AdvP6EC0" w:hAnsi="AdvP6EC0" w:cs="AdvP6EC0"/>
          <w:color w:val="231F20"/>
          <w:sz w:val="18"/>
          <w:szCs w:val="18"/>
        </w:rPr>
        <w:t>a diverse array of parasitic sequences that</w:t>
      </w:r>
      <w:r w:rsidR="00B33531">
        <w:rPr>
          <w:rFonts w:ascii="AdvP6EC0" w:hAnsi="AdvP6EC0" w:cs="AdvP6EC0"/>
          <w:color w:val="231F20"/>
          <w:sz w:val="18"/>
          <w:szCs w:val="18"/>
        </w:rPr>
        <w:t xml:space="preserve"> </w:t>
      </w:r>
      <w:r>
        <w:rPr>
          <w:rFonts w:ascii="AdvP6EC0" w:hAnsi="AdvP6EC0" w:cs="AdvP6EC0"/>
          <w:color w:val="231F20"/>
          <w:sz w:val="18"/>
          <w:szCs w:val="18"/>
        </w:rPr>
        <w:t>comprise a large fraction of eukaryotic genomes.</w:t>
      </w:r>
      <w:r>
        <w:rPr>
          <w:rFonts w:ascii="AdvP6EC0" w:hAnsi="AdvP6EC0" w:cs="AdvP6EC0"/>
          <w:color w:val="231F20"/>
          <w:sz w:val="12"/>
          <w:szCs w:val="12"/>
        </w:rPr>
        <w:t>(14)</w:t>
      </w:r>
    </w:p>
    <w:p w:rsidR="00CA17D6" w:rsidRDefault="00CA17D6" w:rsidP="00CA17D6">
      <w:pPr>
        <w:rPr>
          <w:rFonts w:ascii="AdvP6EC0" w:hAnsi="AdvP6EC0" w:cs="AdvP6EC0"/>
          <w:color w:val="231F20"/>
          <w:sz w:val="12"/>
          <w:szCs w:val="12"/>
        </w:rPr>
      </w:pPr>
      <w:r>
        <w:rPr>
          <w:rFonts w:ascii="AdvP6EC0" w:hAnsi="AdvP6EC0" w:cs="AdvP6EC0"/>
          <w:color w:val="231F20"/>
          <w:sz w:val="18"/>
          <w:szCs w:val="18"/>
        </w:rPr>
        <w:t>Mobilized TEs rapidly</w:t>
      </w:r>
      <w:r w:rsidR="00B33531">
        <w:rPr>
          <w:rFonts w:ascii="AdvP6EC0" w:hAnsi="AdvP6EC0" w:cs="AdvP6EC0"/>
          <w:color w:val="231F20"/>
          <w:sz w:val="18"/>
          <w:szCs w:val="18"/>
        </w:rPr>
        <w:t xml:space="preserve"> </w:t>
      </w:r>
      <w:r>
        <w:rPr>
          <w:rFonts w:ascii="AdvP6EC0" w:hAnsi="AdvP6EC0" w:cs="AdvP6EC0"/>
          <w:color w:val="231F20"/>
          <w:sz w:val="18"/>
          <w:szCs w:val="18"/>
        </w:rPr>
        <w:t>restructure the genome and alter gene expression patterns by</w:t>
      </w:r>
      <w:r w:rsidR="00B33531">
        <w:rPr>
          <w:rFonts w:ascii="AdvP6EC0" w:hAnsi="AdvP6EC0" w:cs="AdvP6EC0"/>
          <w:color w:val="231F20"/>
          <w:sz w:val="18"/>
          <w:szCs w:val="18"/>
        </w:rPr>
        <w:t xml:space="preserve"> </w:t>
      </w:r>
      <w:r>
        <w:rPr>
          <w:rFonts w:ascii="AdvP6EC0" w:hAnsi="AdvP6EC0" w:cs="AdvP6EC0"/>
          <w:color w:val="231F20"/>
          <w:sz w:val="18"/>
          <w:szCs w:val="18"/>
        </w:rPr>
        <w:t>inserting into promoters and enhancers, and by causing</w:t>
      </w:r>
      <w:r w:rsidR="00B33531">
        <w:rPr>
          <w:rFonts w:ascii="AdvP6EC0" w:hAnsi="AdvP6EC0" w:cs="AdvP6EC0"/>
          <w:color w:val="231F20"/>
          <w:sz w:val="18"/>
          <w:szCs w:val="18"/>
        </w:rPr>
        <w:t xml:space="preserve"> </w:t>
      </w:r>
      <w:r>
        <w:rPr>
          <w:rFonts w:ascii="AdvP6EC0" w:hAnsi="AdvP6EC0" w:cs="AdvP6EC0"/>
          <w:color w:val="231F20"/>
          <w:sz w:val="18"/>
          <w:szCs w:val="18"/>
        </w:rPr>
        <w:t>chromosomal breakage, exon shuffling, sequence expansion,</w:t>
      </w:r>
      <w:r w:rsidR="00B33531">
        <w:rPr>
          <w:rFonts w:ascii="AdvP6EC0" w:hAnsi="AdvP6EC0" w:cs="AdvP6EC0"/>
          <w:color w:val="231F20"/>
          <w:sz w:val="18"/>
          <w:szCs w:val="18"/>
        </w:rPr>
        <w:t xml:space="preserve"> </w:t>
      </w:r>
      <w:r>
        <w:rPr>
          <w:rFonts w:ascii="AdvP6EC0" w:hAnsi="AdvP6EC0" w:cs="AdvP6EC0"/>
          <w:color w:val="231F20"/>
          <w:sz w:val="18"/>
          <w:szCs w:val="18"/>
        </w:rPr>
        <w:t>gene duplication, ectopic recombination, novel gene formation</w:t>
      </w:r>
      <w:r w:rsidR="00B33531">
        <w:rPr>
          <w:rFonts w:ascii="AdvP6EC0" w:hAnsi="AdvP6EC0" w:cs="AdvP6EC0"/>
          <w:color w:val="231F20"/>
          <w:sz w:val="18"/>
          <w:szCs w:val="18"/>
        </w:rPr>
        <w:t xml:space="preserve"> </w:t>
      </w:r>
      <w:r>
        <w:rPr>
          <w:rFonts w:ascii="AdvP6EC0" w:hAnsi="AdvP6EC0" w:cs="AdvP6EC0"/>
          <w:color w:val="231F20"/>
          <w:sz w:val="18"/>
          <w:szCs w:val="18"/>
        </w:rPr>
        <w:t>and expansion and re-wiring of genetic regulatory</w:t>
      </w:r>
      <w:r w:rsidR="00B33531">
        <w:rPr>
          <w:rFonts w:ascii="AdvP6EC0" w:hAnsi="AdvP6EC0" w:cs="AdvP6EC0"/>
          <w:color w:val="231F20"/>
          <w:sz w:val="18"/>
          <w:szCs w:val="18"/>
        </w:rPr>
        <w:t xml:space="preserve"> </w:t>
      </w:r>
      <w:r>
        <w:rPr>
          <w:rFonts w:ascii="AdvP6EC0" w:hAnsi="AdvP6EC0" w:cs="AdvP6EC0"/>
          <w:color w:val="231F20"/>
          <w:sz w:val="18"/>
          <w:szCs w:val="18"/>
        </w:rPr>
        <w:t>networks</w:t>
      </w:r>
      <w:proofErr w:type="gramStart"/>
      <w:r>
        <w:rPr>
          <w:rFonts w:ascii="AdvP6EC0" w:hAnsi="AdvP6EC0" w:cs="AdvP6EC0"/>
          <w:color w:val="231F20"/>
          <w:sz w:val="18"/>
          <w:szCs w:val="18"/>
        </w:rPr>
        <w:t>.</w:t>
      </w:r>
      <w:r>
        <w:rPr>
          <w:rFonts w:ascii="AdvP6EC0" w:hAnsi="AdvP6EC0" w:cs="AdvP6EC0"/>
          <w:color w:val="231F20"/>
          <w:sz w:val="12"/>
          <w:szCs w:val="12"/>
        </w:rPr>
        <w:t>(</w:t>
      </w:r>
      <w:proofErr w:type="gramEnd"/>
      <w:r>
        <w:rPr>
          <w:rFonts w:ascii="AdvP6EC0" w:hAnsi="AdvP6EC0" w:cs="AdvP6EC0"/>
          <w:color w:val="231F20"/>
          <w:sz w:val="12"/>
          <w:szCs w:val="12"/>
        </w:rPr>
        <w:t>16–18)</w:t>
      </w:r>
    </w:p>
    <w:p w:rsidR="00CA17D6" w:rsidRDefault="00CA17D6" w:rsidP="00CA17D6">
      <w:pPr>
        <w:rPr>
          <w:rFonts w:ascii="AdvP6EC0" w:hAnsi="AdvP6EC0" w:cs="AdvP6EC0"/>
          <w:color w:val="231F20"/>
          <w:sz w:val="12"/>
          <w:szCs w:val="12"/>
        </w:rPr>
      </w:pPr>
    </w:p>
    <w:p w:rsidR="00AB369D" w:rsidRDefault="00CA17D6" w:rsidP="00CA17D6">
      <w:pPr>
        <w:rPr>
          <w:rFonts w:ascii="AdvP6EC0" w:hAnsi="AdvP6EC0" w:cs="AdvP6EC0"/>
          <w:color w:val="231F20"/>
          <w:sz w:val="12"/>
          <w:szCs w:val="12"/>
        </w:rPr>
      </w:pPr>
      <w:r w:rsidRPr="00614C7D">
        <w:rPr>
          <w:rFonts w:ascii="AdvP6EC0" w:hAnsi="AdvP6EC0" w:cs="AdvP6EC0"/>
          <w:color w:val="231F20"/>
          <w:sz w:val="18"/>
          <w:szCs w:val="18"/>
          <w:highlight w:val="cyan"/>
        </w:rPr>
        <w:t>Stress-induced breakdown in epigenetic</w:t>
      </w:r>
      <w:r w:rsidR="00B33531" w:rsidRPr="00614C7D">
        <w:rPr>
          <w:rFonts w:ascii="AdvP6EC0" w:hAnsi="AdvP6EC0" w:cs="AdvP6EC0"/>
          <w:color w:val="231F20"/>
          <w:sz w:val="18"/>
          <w:szCs w:val="18"/>
          <w:highlight w:val="cyan"/>
        </w:rPr>
        <w:t xml:space="preserve"> </w:t>
      </w:r>
      <w:r w:rsidRPr="00614C7D">
        <w:rPr>
          <w:rFonts w:ascii="AdvP6EC0" w:hAnsi="AdvP6EC0" w:cs="AdvP6EC0"/>
          <w:color w:val="231F20"/>
          <w:sz w:val="18"/>
          <w:szCs w:val="18"/>
          <w:highlight w:val="cyan"/>
        </w:rPr>
        <w:t>suppression</w:t>
      </w:r>
      <w:r>
        <w:rPr>
          <w:rFonts w:ascii="AdvP6EC0" w:hAnsi="AdvP6EC0" w:cs="AdvP6EC0"/>
          <w:color w:val="231F20"/>
          <w:sz w:val="18"/>
          <w:szCs w:val="18"/>
        </w:rPr>
        <w:t xml:space="preserve"> enhances the spread of TEs, with potentially</w:t>
      </w:r>
      <w:r w:rsidR="00B33531">
        <w:rPr>
          <w:rFonts w:ascii="AdvP6EC0" w:hAnsi="AdvP6EC0" w:cs="AdvP6EC0"/>
          <w:color w:val="231F20"/>
          <w:sz w:val="18"/>
          <w:szCs w:val="18"/>
        </w:rPr>
        <w:t xml:space="preserve"> </w:t>
      </w:r>
      <w:r>
        <w:rPr>
          <w:rFonts w:ascii="AdvP6EC0" w:hAnsi="AdvP6EC0" w:cs="AdvP6EC0"/>
          <w:color w:val="231F20"/>
          <w:sz w:val="18"/>
          <w:szCs w:val="18"/>
        </w:rPr>
        <w:t>deleterious effects on host fitness, and increases genetically</w:t>
      </w:r>
      <w:r w:rsidR="00B33531">
        <w:rPr>
          <w:rFonts w:ascii="AdvP6EC0" w:hAnsi="AdvP6EC0" w:cs="AdvP6EC0"/>
          <w:color w:val="231F20"/>
          <w:sz w:val="18"/>
          <w:szCs w:val="18"/>
        </w:rPr>
        <w:t xml:space="preserve"> </w:t>
      </w:r>
      <w:r>
        <w:rPr>
          <w:rFonts w:ascii="AdvP6EC0" w:hAnsi="AdvP6EC0" w:cs="AdvP6EC0"/>
          <w:color w:val="231F20"/>
          <w:sz w:val="18"/>
          <w:szCs w:val="18"/>
        </w:rPr>
        <w:t>and epigenetically based phenotypic variation</w:t>
      </w:r>
      <w:proofErr w:type="gramStart"/>
      <w:r>
        <w:rPr>
          <w:rFonts w:ascii="AdvP6EC0" w:hAnsi="AdvP6EC0" w:cs="AdvP6EC0"/>
          <w:color w:val="231F20"/>
          <w:sz w:val="18"/>
          <w:szCs w:val="18"/>
        </w:rPr>
        <w:t>.</w:t>
      </w:r>
      <w:r>
        <w:rPr>
          <w:rFonts w:ascii="AdvP6EC0" w:hAnsi="AdvP6EC0" w:cs="AdvP6EC0"/>
          <w:color w:val="231F20"/>
          <w:sz w:val="12"/>
          <w:szCs w:val="12"/>
        </w:rPr>
        <w:t>(</w:t>
      </w:r>
      <w:proofErr w:type="gramEnd"/>
      <w:r>
        <w:rPr>
          <w:rFonts w:ascii="AdvP6EC0" w:hAnsi="AdvP6EC0" w:cs="AdvP6EC0"/>
          <w:color w:val="231F20"/>
          <w:sz w:val="12"/>
          <w:szCs w:val="12"/>
        </w:rPr>
        <w:t>19)</w:t>
      </w:r>
    </w:p>
    <w:p w:rsidR="00CA17D6" w:rsidRDefault="00FD1EBA" w:rsidP="00CA17D6">
      <w:pPr>
        <w:rPr>
          <w:rFonts w:ascii="AdvP6EC0" w:hAnsi="AdvP6EC0" w:cs="AdvP6EC0"/>
          <w:color w:val="231F20"/>
          <w:sz w:val="18"/>
          <w:szCs w:val="18"/>
        </w:rPr>
      </w:pPr>
      <w:r>
        <w:rPr>
          <w:rFonts w:ascii="AdvP6EC0" w:hAnsi="AdvP6EC0" w:cs="AdvP6EC0"/>
          <w:color w:val="231F20"/>
          <w:sz w:val="18"/>
          <w:szCs w:val="18"/>
        </w:rPr>
        <w:t>As the host genome and parasitic sequences coevolve,</w:t>
      </w:r>
      <w:r w:rsidR="00B33531">
        <w:rPr>
          <w:rFonts w:ascii="AdvP6EC0" w:hAnsi="AdvP6EC0" w:cs="AdvP6EC0"/>
          <w:color w:val="231F20"/>
          <w:sz w:val="18"/>
          <w:szCs w:val="18"/>
        </w:rPr>
        <w:t xml:space="preserve"> </w:t>
      </w:r>
      <w:r>
        <w:rPr>
          <w:rFonts w:ascii="AdvP6EC0" w:hAnsi="AdvP6EC0" w:cs="AdvP6EC0"/>
          <w:color w:val="231F20"/>
          <w:sz w:val="18"/>
          <w:szCs w:val="18"/>
        </w:rPr>
        <w:t>epigenetic silencing mechanisms regain control,</w:t>
      </w:r>
      <w:r w:rsidR="00B33531">
        <w:rPr>
          <w:rFonts w:ascii="AdvP6EC0" w:hAnsi="AdvP6EC0" w:cs="AdvP6EC0"/>
          <w:color w:val="231F20"/>
          <w:sz w:val="18"/>
          <w:szCs w:val="18"/>
        </w:rPr>
        <w:t xml:space="preserve"> </w:t>
      </w:r>
      <w:r>
        <w:rPr>
          <w:rFonts w:ascii="AdvP6EC0" w:hAnsi="AdvP6EC0" w:cs="AdvP6EC0"/>
          <w:color w:val="231F20"/>
          <w:sz w:val="18"/>
          <w:szCs w:val="18"/>
        </w:rPr>
        <w:t>heritable variation declines, and stasis is re-established.</w:t>
      </w:r>
    </w:p>
    <w:p w:rsidR="00AB369D" w:rsidRDefault="00AB369D" w:rsidP="00CA17D6">
      <w:pPr>
        <w:rPr>
          <w:rFonts w:ascii="AdvP6EC0" w:hAnsi="AdvP6EC0" w:cs="AdvP6EC0"/>
          <w:color w:val="231F20"/>
          <w:sz w:val="18"/>
          <w:szCs w:val="18"/>
        </w:rPr>
      </w:pPr>
    </w:p>
    <w:p w:rsidR="00AB369D" w:rsidRDefault="006D0711" w:rsidP="005E10EE">
      <w:pPr>
        <w:rPr>
          <w:rFonts w:ascii="AdvP6EC0" w:hAnsi="AdvP6EC0" w:cs="AdvP6EC0"/>
          <w:color w:val="231F20"/>
          <w:sz w:val="18"/>
          <w:szCs w:val="18"/>
        </w:rPr>
      </w:pPr>
      <w:proofErr w:type="gramStart"/>
      <w:r>
        <w:rPr>
          <w:rFonts w:ascii="AdvP6EC0" w:hAnsi="AdvP6EC0" w:cs="AdvP6EC0"/>
          <w:color w:val="231F20"/>
          <w:sz w:val="18"/>
          <w:szCs w:val="18"/>
          <w:highlight w:val="yellow"/>
        </w:rPr>
        <w:t>3)</w:t>
      </w:r>
      <w:r w:rsidR="005E10EE" w:rsidRPr="005E10EE">
        <w:rPr>
          <w:rFonts w:ascii="AdvP6EC0" w:hAnsi="AdvP6EC0" w:cs="AdvP6EC0"/>
          <w:color w:val="231F20"/>
          <w:sz w:val="18"/>
          <w:szCs w:val="18"/>
          <w:highlight w:val="yellow"/>
        </w:rPr>
        <w:t>Ma</w:t>
      </w:r>
      <w:proofErr w:type="gramEnd"/>
      <w:r w:rsidR="005E10EE" w:rsidRPr="005E10EE">
        <w:rPr>
          <w:rFonts w:ascii="AdvP6EC0" w:hAnsi="AdvP6EC0" w:cs="AdvP6EC0"/>
          <w:color w:val="231F20"/>
          <w:sz w:val="18"/>
          <w:szCs w:val="18"/>
          <w:highlight w:val="yellow"/>
        </w:rPr>
        <w:t xml:space="preserve">, and  </w:t>
      </w:r>
      <w:proofErr w:type="spellStart"/>
      <w:r w:rsidR="005E10EE" w:rsidRPr="005E10EE">
        <w:rPr>
          <w:rFonts w:ascii="AdvP6EC0" w:hAnsi="AdvP6EC0" w:cs="AdvP6EC0"/>
          <w:color w:val="231F20"/>
          <w:sz w:val="18"/>
          <w:szCs w:val="18"/>
          <w:highlight w:val="yellow"/>
        </w:rPr>
        <w:t>Michailides</w:t>
      </w:r>
      <w:proofErr w:type="spellEnd"/>
      <w:r w:rsidR="005E10EE">
        <w:rPr>
          <w:rFonts w:ascii="AdvP6EC0" w:hAnsi="AdvP6EC0" w:cs="AdvP6EC0"/>
          <w:color w:val="231F20"/>
          <w:sz w:val="18"/>
          <w:szCs w:val="18"/>
        </w:rPr>
        <w:t xml:space="preserve">: </w:t>
      </w:r>
      <w:r w:rsidR="00AB369D" w:rsidRPr="005E10EE">
        <w:rPr>
          <w:rFonts w:ascii="AdvP6EC0" w:hAnsi="AdvP6EC0" w:cs="AdvP6EC0"/>
          <w:color w:val="231F20"/>
          <w:sz w:val="18"/>
          <w:szCs w:val="18"/>
        </w:rPr>
        <w:t>Advances in understanding molecular mechanisms of fungicide</w:t>
      </w:r>
      <w:r w:rsidR="005E10EE">
        <w:rPr>
          <w:rFonts w:ascii="AdvP6EC0" w:hAnsi="AdvP6EC0" w:cs="AdvP6EC0"/>
          <w:color w:val="231F20"/>
          <w:sz w:val="18"/>
          <w:szCs w:val="18"/>
        </w:rPr>
        <w:t xml:space="preserve"> resistance and molecular detection</w:t>
      </w:r>
    </w:p>
    <w:p w:rsidR="009F6AF1" w:rsidRDefault="005E10EE" w:rsidP="005E10EE">
      <w:pPr>
        <w:rPr>
          <w:rFonts w:ascii="AdvTimes" w:hAnsi="AdvTimes" w:cs="AdvTimes"/>
          <w:color w:val="000000"/>
          <w:sz w:val="20"/>
          <w:szCs w:val="20"/>
        </w:rPr>
      </w:pPr>
      <w:r>
        <w:rPr>
          <w:rFonts w:ascii="AdvTimes" w:hAnsi="AdvTimes" w:cs="AdvTimes"/>
          <w:color w:val="000000"/>
          <w:sz w:val="20"/>
          <w:szCs w:val="20"/>
        </w:rPr>
        <w:t>However, since the introduction of the site-specific</w:t>
      </w:r>
      <w:r w:rsidR="00614C7D">
        <w:rPr>
          <w:rFonts w:ascii="AdvTimes" w:hAnsi="AdvTimes" w:cs="AdvTimes"/>
          <w:color w:val="000000"/>
          <w:sz w:val="20"/>
          <w:szCs w:val="20"/>
        </w:rPr>
        <w:t xml:space="preserve"> </w:t>
      </w:r>
      <w:r>
        <w:rPr>
          <w:rFonts w:ascii="AdvTimes" w:hAnsi="AdvTimes" w:cs="AdvTimes"/>
          <w:color w:val="000000"/>
          <w:sz w:val="20"/>
          <w:szCs w:val="20"/>
        </w:rPr>
        <w:t>fungicides in the late 1960s, fungicide resistance in</w:t>
      </w:r>
      <w:r w:rsidR="00614C7D">
        <w:rPr>
          <w:rFonts w:ascii="AdvTimes" w:hAnsi="AdvTimes" w:cs="AdvTimes"/>
          <w:color w:val="000000"/>
          <w:sz w:val="20"/>
          <w:szCs w:val="20"/>
        </w:rPr>
        <w:t xml:space="preserve"> </w:t>
      </w:r>
      <w:proofErr w:type="spellStart"/>
      <w:r>
        <w:rPr>
          <w:rFonts w:ascii="AdvTimes" w:hAnsi="AdvTimes" w:cs="AdvTimes"/>
          <w:color w:val="000000"/>
          <w:sz w:val="20"/>
          <w:szCs w:val="20"/>
        </w:rPr>
        <w:t>phytopathogenic</w:t>
      </w:r>
      <w:proofErr w:type="spellEnd"/>
      <w:r>
        <w:rPr>
          <w:rFonts w:ascii="AdvTimes" w:hAnsi="AdvTimes" w:cs="AdvTimes"/>
          <w:color w:val="000000"/>
          <w:sz w:val="20"/>
          <w:szCs w:val="20"/>
        </w:rPr>
        <w:t xml:space="preserve"> fungi has become a major problem in</w:t>
      </w:r>
      <w:r w:rsidR="00614C7D">
        <w:rPr>
          <w:rFonts w:ascii="AdvTimes" w:hAnsi="AdvTimes" w:cs="AdvTimes"/>
          <w:color w:val="000000"/>
          <w:sz w:val="20"/>
          <w:szCs w:val="20"/>
        </w:rPr>
        <w:t xml:space="preserve"> </w:t>
      </w:r>
      <w:r>
        <w:rPr>
          <w:rFonts w:ascii="AdvTimes" w:hAnsi="AdvTimes" w:cs="AdvTimes"/>
          <w:color w:val="000000"/>
          <w:sz w:val="20"/>
          <w:szCs w:val="20"/>
        </w:rPr>
        <w:t>crop protection (</w:t>
      </w:r>
      <w:r>
        <w:rPr>
          <w:rFonts w:ascii="AdvTimes" w:hAnsi="AdvTimes" w:cs="AdvTimes"/>
          <w:color w:val="000066"/>
          <w:sz w:val="20"/>
          <w:szCs w:val="20"/>
        </w:rPr>
        <w:t>Brent, 1995</w:t>
      </w:r>
      <w:r>
        <w:rPr>
          <w:rFonts w:ascii="AdvTimes" w:hAnsi="AdvTimes" w:cs="AdvTimes"/>
          <w:color w:val="000000"/>
          <w:sz w:val="20"/>
          <w:szCs w:val="20"/>
        </w:rPr>
        <w:t>).</w:t>
      </w:r>
    </w:p>
    <w:p w:rsidR="009F6AF1" w:rsidRDefault="00CC493D" w:rsidP="00CC493D">
      <w:pPr>
        <w:autoSpaceDE w:val="0"/>
        <w:autoSpaceDN w:val="0"/>
        <w:adjustRightInd w:val="0"/>
        <w:spacing w:after="0" w:line="240" w:lineRule="auto"/>
        <w:rPr>
          <w:rFonts w:ascii="AdvTimes" w:hAnsi="AdvTimes" w:cs="AdvTimes"/>
          <w:sz w:val="20"/>
          <w:szCs w:val="20"/>
        </w:rPr>
      </w:pPr>
      <w:r>
        <w:rPr>
          <w:rFonts w:ascii="AdvTimes" w:hAnsi="AdvTimes" w:cs="AdvTimes"/>
          <w:sz w:val="20"/>
          <w:szCs w:val="20"/>
        </w:rPr>
        <w:t xml:space="preserve">Fungicide resistance is a stable, inheritable adjustment by a fungus to a fungicide, resulting in reduced sensitivity of the fungus to the fungicide. </w:t>
      </w:r>
      <w:r w:rsidR="005E10EE">
        <w:rPr>
          <w:rFonts w:ascii="AdvTimes" w:hAnsi="AdvTimes" w:cs="AdvTimes"/>
          <w:sz w:val="20"/>
          <w:szCs w:val="20"/>
        </w:rPr>
        <w:t>Resistance may</w:t>
      </w:r>
      <w:r>
        <w:rPr>
          <w:rFonts w:ascii="AdvTimes" w:hAnsi="AdvTimes" w:cs="AdvTimes"/>
          <w:sz w:val="20"/>
          <w:szCs w:val="20"/>
        </w:rPr>
        <w:t xml:space="preserve"> </w:t>
      </w:r>
      <w:r w:rsidR="005E10EE">
        <w:rPr>
          <w:rFonts w:ascii="AdvTimes" w:hAnsi="AdvTimes" w:cs="AdvTimes"/>
          <w:sz w:val="20"/>
          <w:szCs w:val="20"/>
        </w:rPr>
        <w:t>result from single or multiple gene mutations. Resistant</w:t>
      </w:r>
      <w:r>
        <w:rPr>
          <w:rFonts w:ascii="AdvTimes" w:hAnsi="AdvTimes" w:cs="AdvTimes"/>
          <w:sz w:val="20"/>
          <w:szCs w:val="20"/>
        </w:rPr>
        <w:t xml:space="preserve"> </w:t>
      </w:r>
      <w:r w:rsidR="005E10EE">
        <w:rPr>
          <w:rFonts w:ascii="AdvTimes" w:hAnsi="AdvTimes" w:cs="AdvTimes"/>
          <w:sz w:val="20"/>
          <w:szCs w:val="20"/>
        </w:rPr>
        <w:t>isolates typically arise from a very low natural rate of</w:t>
      </w:r>
      <w:r>
        <w:rPr>
          <w:rFonts w:ascii="AdvTimes" w:hAnsi="AdvTimes" w:cs="AdvTimes"/>
          <w:sz w:val="20"/>
          <w:szCs w:val="20"/>
        </w:rPr>
        <w:t xml:space="preserve"> </w:t>
      </w:r>
      <w:r w:rsidR="005E10EE">
        <w:rPr>
          <w:rFonts w:ascii="AdvTimes" w:hAnsi="AdvTimes" w:cs="AdvTimes"/>
          <w:sz w:val="20"/>
          <w:szCs w:val="20"/>
        </w:rPr>
        <w:t>genetic mutation, and these isolates are less affected or</w:t>
      </w:r>
      <w:r w:rsidR="009F6AF1">
        <w:rPr>
          <w:rFonts w:ascii="AdvTimes" w:hAnsi="AdvTimes" w:cs="AdvTimes"/>
          <w:sz w:val="20"/>
          <w:szCs w:val="20"/>
        </w:rPr>
        <w:t xml:space="preserve"> </w:t>
      </w:r>
      <w:r w:rsidR="005E10EE">
        <w:rPr>
          <w:rFonts w:ascii="AdvTimes" w:hAnsi="AdvTimes" w:cs="AdvTimes"/>
          <w:sz w:val="20"/>
          <w:szCs w:val="20"/>
        </w:rPr>
        <w:t>not inhibited at all by a labeled application rate of a</w:t>
      </w:r>
      <w:r>
        <w:rPr>
          <w:rFonts w:ascii="AdvTimes" w:hAnsi="AdvTimes" w:cs="AdvTimes"/>
          <w:sz w:val="20"/>
          <w:szCs w:val="20"/>
        </w:rPr>
        <w:t xml:space="preserve"> </w:t>
      </w:r>
      <w:r w:rsidR="005E10EE">
        <w:rPr>
          <w:rFonts w:ascii="AdvTimes" w:hAnsi="AdvTimes" w:cs="AdvTimes"/>
          <w:sz w:val="20"/>
          <w:szCs w:val="20"/>
        </w:rPr>
        <w:t>fungicide.</w:t>
      </w:r>
      <w:r>
        <w:rPr>
          <w:rFonts w:ascii="AdvTimes" w:hAnsi="AdvTimes" w:cs="AdvTimes"/>
          <w:sz w:val="20"/>
          <w:szCs w:val="20"/>
        </w:rPr>
        <w:t xml:space="preserve"> Since the fungicide can effectively control sensitive isolates, resistant isolates may become dominant in pathogen populations under selection pressure of fungicide use over time, therefore disease control failures may eventually occur.</w:t>
      </w:r>
    </w:p>
    <w:p w:rsidR="009075EF" w:rsidRDefault="009075EF" w:rsidP="009075EF">
      <w:pPr>
        <w:autoSpaceDE w:val="0"/>
        <w:autoSpaceDN w:val="0"/>
        <w:adjustRightInd w:val="0"/>
        <w:spacing w:after="0" w:line="240" w:lineRule="auto"/>
        <w:rPr>
          <w:rFonts w:ascii="AdvTimes" w:hAnsi="AdvTimes" w:cs="AdvTimes"/>
          <w:color w:val="000000"/>
          <w:sz w:val="20"/>
          <w:szCs w:val="20"/>
        </w:rPr>
      </w:pPr>
      <w:r>
        <w:rPr>
          <w:rFonts w:ascii="AdvTimes" w:hAnsi="AdvTimes" w:cs="AdvTimes"/>
          <w:sz w:val="20"/>
          <w:szCs w:val="20"/>
        </w:rPr>
        <w:t xml:space="preserve">The ecological fitness of fungicide-resistant fungal isolates will determine the persistence of resistant genotypes once they are selected. In many instances, since resistant isolates may have lower fitness than sensitive isolates, they cannot survive well in the absence of fungicide selection pressure. In this case, the frequencies of resistant isolates in pathogen populations will decrease once the fungicide applications cease. Alternatively, resistant isolates can be as fit as sensitive isolates and persist for a long time even without any use of the fungicides. </w:t>
      </w:r>
      <w:r>
        <w:rPr>
          <w:rFonts w:ascii="AdvTimes" w:hAnsi="AdvTimes" w:cs="AdvTimes"/>
          <w:color w:val="000000"/>
          <w:sz w:val="20"/>
          <w:szCs w:val="20"/>
        </w:rPr>
        <w:t>This has exemplified</w:t>
      </w:r>
    </w:p>
    <w:p w:rsidR="009075EF" w:rsidRDefault="009075EF" w:rsidP="009075EF">
      <w:pPr>
        <w:autoSpaceDE w:val="0"/>
        <w:autoSpaceDN w:val="0"/>
        <w:adjustRightInd w:val="0"/>
        <w:spacing w:after="0" w:line="240" w:lineRule="auto"/>
        <w:rPr>
          <w:rFonts w:ascii="AdvTimes" w:hAnsi="AdvTimes" w:cs="AdvTimes"/>
          <w:color w:val="000000"/>
          <w:sz w:val="20"/>
          <w:szCs w:val="20"/>
        </w:rPr>
      </w:pPr>
      <w:proofErr w:type="gramStart"/>
      <w:r>
        <w:rPr>
          <w:rFonts w:ascii="AdvTimes" w:hAnsi="AdvTimes" w:cs="AdvTimes"/>
          <w:color w:val="000000"/>
          <w:sz w:val="20"/>
          <w:szCs w:val="20"/>
        </w:rPr>
        <w:t>by</w:t>
      </w:r>
      <w:proofErr w:type="gramEnd"/>
      <w:r>
        <w:rPr>
          <w:rFonts w:ascii="AdvTimes" w:hAnsi="AdvTimes" w:cs="AdvTimes"/>
          <w:color w:val="000000"/>
          <w:sz w:val="20"/>
          <w:szCs w:val="20"/>
        </w:rPr>
        <w:t xml:space="preserve"> the resistance of several </w:t>
      </w:r>
      <w:proofErr w:type="spellStart"/>
      <w:r>
        <w:rPr>
          <w:rFonts w:ascii="AdvTimes" w:hAnsi="AdvTimes" w:cs="AdvTimes"/>
          <w:color w:val="000000"/>
          <w:sz w:val="20"/>
          <w:szCs w:val="20"/>
        </w:rPr>
        <w:t>phytopathogenic</w:t>
      </w:r>
      <w:proofErr w:type="spellEnd"/>
      <w:r>
        <w:rPr>
          <w:rFonts w:ascii="AdvTimes" w:hAnsi="AdvTimes" w:cs="AdvTimes"/>
          <w:color w:val="000000"/>
          <w:sz w:val="20"/>
          <w:szCs w:val="20"/>
        </w:rPr>
        <w:t xml:space="preserve"> fungi to</w:t>
      </w:r>
    </w:p>
    <w:p w:rsidR="009075EF" w:rsidRDefault="009075EF" w:rsidP="009075EF">
      <w:pPr>
        <w:autoSpaceDE w:val="0"/>
        <w:autoSpaceDN w:val="0"/>
        <w:adjustRightInd w:val="0"/>
        <w:spacing w:after="0" w:line="240" w:lineRule="auto"/>
        <w:rPr>
          <w:rFonts w:ascii="AdvTimes" w:hAnsi="AdvTimes" w:cs="AdvTimes"/>
          <w:color w:val="000066"/>
          <w:sz w:val="20"/>
          <w:szCs w:val="20"/>
        </w:rPr>
      </w:pPr>
      <w:proofErr w:type="spellStart"/>
      <w:proofErr w:type="gramStart"/>
      <w:r>
        <w:rPr>
          <w:rFonts w:ascii="AdvTimes" w:hAnsi="AdvTimes" w:cs="AdvTimes"/>
          <w:color w:val="000000"/>
          <w:sz w:val="20"/>
          <w:szCs w:val="20"/>
        </w:rPr>
        <w:t>benzimidazole</w:t>
      </w:r>
      <w:proofErr w:type="spellEnd"/>
      <w:proofErr w:type="gramEnd"/>
      <w:r>
        <w:rPr>
          <w:rFonts w:ascii="AdvTimes" w:hAnsi="AdvTimes" w:cs="AdvTimes"/>
          <w:color w:val="000000"/>
          <w:sz w:val="20"/>
          <w:szCs w:val="20"/>
        </w:rPr>
        <w:t xml:space="preserve"> or </w:t>
      </w:r>
      <w:proofErr w:type="spellStart"/>
      <w:r>
        <w:rPr>
          <w:rFonts w:ascii="AdvTimes" w:hAnsi="AdvTimes" w:cs="AdvTimes"/>
          <w:color w:val="000000"/>
          <w:sz w:val="20"/>
          <w:szCs w:val="20"/>
        </w:rPr>
        <w:t>strobilurin</w:t>
      </w:r>
      <w:proofErr w:type="spellEnd"/>
      <w:r>
        <w:rPr>
          <w:rFonts w:ascii="AdvTimes" w:hAnsi="AdvTimes" w:cs="AdvTimes"/>
          <w:color w:val="000000"/>
          <w:sz w:val="20"/>
          <w:szCs w:val="20"/>
        </w:rPr>
        <w:t xml:space="preserve"> fungicides (</w:t>
      </w:r>
      <w:proofErr w:type="spellStart"/>
      <w:r>
        <w:rPr>
          <w:rFonts w:ascii="AdvTimes" w:hAnsi="AdvTimes" w:cs="AdvTimes"/>
          <w:color w:val="000066"/>
          <w:sz w:val="20"/>
          <w:szCs w:val="20"/>
        </w:rPr>
        <w:t>Koenraadt</w:t>
      </w:r>
      <w:proofErr w:type="spellEnd"/>
      <w:r>
        <w:rPr>
          <w:rFonts w:ascii="AdvTimes" w:hAnsi="AdvTimes" w:cs="AdvTimes"/>
          <w:color w:val="000066"/>
          <w:sz w:val="20"/>
          <w:szCs w:val="20"/>
        </w:rPr>
        <w:t xml:space="preserve"> et</w:t>
      </w:r>
    </w:p>
    <w:p w:rsidR="00CC493D" w:rsidRDefault="009075EF" w:rsidP="009075EF">
      <w:pPr>
        <w:autoSpaceDE w:val="0"/>
        <w:autoSpaceDN w:val="0"/>
        <w:adjustRightInd w:val="0"/>
        <w:spacing w:after="0" w:line="240" w:lineRule="auto"/>
        <w:rPr>
          <w:rFonts w:ascii="AdvTimes" w:hAnsi="AdvTimes" w:cs="AdvTimes"/>
          <w:sz w:val="20"/>
          <w:szCs w:val="20"/>
        </w:rPr>
      </w:pPr>
      <w:r>
        <w:rPr>
          <w:rFonts w:ascii="AdvTimes" w:hAnsi="AdvTimes" w:cs="AdvTimes"/>
          <w:color w:val="000066"/>
          <w:sz w:val="20"/>
          <w:szCs w:val="20"/>
        </w:rPr>
        <w:t>al., 1992</w:t>
      </w:r>
      <w:r>
        <w:rPr>
          <w:rFonts w:ascii="AdvTimes" w:hAnsi="AdvTimes" w:cs="AdvTimes"/>
          <w:color w:val="000000"/>
          <w:sz w:val="20"/>
          <w:szCs w:val="20"/>
        </w:rPr>
        <w:t xml:space="preserve">; </w:t>
      </w:r>
      <w:proofErr w:type="spellStart"/>
      <w:r>
        <w:rPr>
          <w:rFonts w:ascii="AdvTimes" w:hAnsi="AdvTimes" w:cs="AdvTimes"/>
          <w:color w:val="000066"/>
          <w:sz w:val="20"/>
          <w:szCs w:val="20"/>
        </w:rPr>
        <w:t>Baraldi</w:t>
      </w:r>
      <w:proofErr w:type="spellEnd"/>
      <w:r>
        <w:rPr>
          <w:rFonts w:ascii="AdvTimes" w:hAnsi="AdvTimes" w:cs="AdvTimes"/>
          <w:color w:val="000066"/>
          <w:sz w:val="20"/>
          <w:szCs w:val="20"/>
        </w:rPr>
        <w:t xml:space="preserve"> et al., 2003</w:t>
      </w:r>
      <w:r>
        <w:rPr>
          <w:rFonts w:ascii="AdvTimes" w:hAnsi="AdvTimes" w:cs="AdvTimes"/>
          <w:color w:val="000000"/>
          <w:sz w:val="20"/>
          <w:szCs w:val="20"/>
        </w:rPr>
        <w:t>).</w:t>
      </w:r>
    </w:p>
    <w:p w:rsidR="009075EF" w:rsidRDefault="009075EF" w:rsidP="009075EF">
      <w:pPr>
        <w:autoSpaceDE w:val="0"/>
        <w:autoSpaceDN w:val="0"/>
        <w:adjustRightInd w:val="0"/>
        <w:spacing w:after="0" w:line="240" w:lineRule="auto"/>
        <w:rPr>
          <w:rFonts w:ascii="AdvTimes" w:hAnsi="AdvTimes" w:cs="AdvTimes"/>
          <w:sz w:val="20"/>
          <w:szCs w:val="20"/>
        </w:rPr>
      </w:pPr>
    </w:p>
    <w:p w:rsidR="009075EF" w:rsidRDefault="009075EF" w:rsidP="009075EF">
      <w:pPr>
        <w:autoSpaceDE w:val="0"/>
        <w:autoSpaceDN w:val="0"/>
        <w:adjustRightInd w:val="0"/>
        <w:spacing w:after="0" w:line="240" w:lineRule="auto"/>
        <w:rPr>
          <w:rFonts w:ascii="AdvTimes" w:hAnsi="AdvTimes" w:cs="AdvTimes"/>
          <w:color w:val="000000"/>
          <w:sz w:val="20"/>
          <w:szCs w:val="20"/>
        </w:rPr>
      </w:pPr>
      <w:r>
        <w:rPr>
          <w:rFonts w:ascii="AdvTimes" w:hAnsi="AdvTimes" w:cs="AdvTimes"/>
          <w:color w:val="000000"/>
          <w:sz w:val="20"/>
          <w:szCs w:val="20"/>
        </w:rPr>
        <w:t>Fungicide resistance can be conferred by various</w:t>
      </w:r>
    </w:p>
    <w:p w:rsidR="009075EF" w:rsidRDefault="009075EF" w:rsidP="009075EF">
      <w:pPr>
        <w:autoSpaceDE w:val="0"/>
        <w:autoSpaceDN w:val="0"/>
        <w:adjustRightInd w:val="0"/>
        <w:spacing w:after="0" w:line="240" w:lineRule="auto"/>
        <w:rPr>
          <w:rFonts w:ascii="AdvTimes" w:hAnsi="AdvTimes" w:cs="AdvTimes"/>
          <w:color w:val="000066"/>
          <w:sz w:val="20"/>
          <w:szCs w:val="20"/>
        </w:rPr>
      </w:pPr>
      <w:proofErr w:type="gramStart"/>
      <w:r>
        <w:rPr>
          <w:rFonts w:ascii="AdvTimes" w:hAnsi="AdvTimes" w:cs="AdvTimes"/>
          <w:color w:val="000000"/>
          <w:sz w:val="20"/>
          <w:szCs w:val="20"/>
        </w:rPr>
        <w:t>mechanisms</w:t>
      </w:r>
      <w:proofErr w:type="gramEnd"/>
      <w:r>
        <w:rPr>
          <w:rFonts w:ascii="AdvTimes" w:hAnsi="AdvTimes" w:cs="AdvTimes"/>
          <w:color w:val="000000"/>
          <w:sz w:val="20"/>
          <w:szCs w:val="20"/>
        </w:rPr>
        <w:t xml:space="preserve"> (</w:t>
      </w:r>
      <w:proofErr w:type="spellStart"/>
      <w:r>
        <w:rPr>
          <w:rFonts w:ascii="AdvTimes" w:hAnsi="AdvTimes" w:cs="AdvTimes"/>
          <w:color w:val="000066"/>
          <w:sz w:val="20"/>
          <w:szCs w:val="20"/>
        </w:rPr>
        <w:t>Gisi</w:t>
      </w:r>
      <w:proofErr w:type="spellEnd"/>
      <w:r>
        <w:rPr>
          <w:rFonts w:ascii="AdvTimes" w:hAnsi="AdvTimes" w:cs="AdvTimes"/>
          <w:color w:val="000066"/>
          <w:sz w:val="20"/>
          <w:szCs w:val="20"/>
        </w:rPr>
        <w:t xml:space="preserve"> et al., 2000</w:t>
      </w:r>
      <w:r>
        <w:rPr>
          <w:rFonts w:ascii="AdvTimes" w:hAnsi="AdvTimes" w:cs="AdvTimes"/>
          <w:color w:val="000000"/>
          <w:sz w:val="20"/>
          <w:szCs w:val="20"/>
        </w:rPr>
        <w:t xml:space="preserve">; </w:t>
      </w:r>
      <w:proofErr w:type="spellStart"/>
      <w:r>
        <w:rPr>
          <w:rFonts w:ascii="AdvTimes" w:hAnsi="AdvTimes" w:cs="AdvTimes"/>
          <w:color w:val="000066"/>
          <w:sz w:val="20"/>
          <w:szCs w:val="20"/>
        </w:rPr>
        <w:t>Gullino</w:t>
      </w:r>
      <w:proofErr w:type="spellEnd"/>
      <w:r>
        <w:rPr>
          <w:rFonts w:ascii="AdvTimes" w:hAnsi="AdvTimes" w:cs="AdvTimes"/>
          <w:color w:val="000066"/>
          <w:sz w:val="20"/>
          <w:szCs w:val="20"/>
        </w:rPr>
        <w:t xml:space="preserve"> et al., 2000</w:t>
      </w:r>
      <w:r>
        <w:rPr>
          <w:rFonts w:ascii="AdvTimes" w:hAnsi="AdvTimes" w:cs="AdvTimes"/>
          <w:color w:val="000000"/>
          <w:sz w:val="20"/>
          <w:szCs w:val="20"/>
        </w:rPr>
        <w:t xml:space="preserve">; </w:t>
      </w:r>
      <w:proofErr w:type="spellStart"/>
      <w:r>
        <w:rPr>
          <w:rFonts w:ascii="AdvTimes" w:hAnsi="AdvTimes" w:cs="AdvTimes"/>
          <w:color w:val="000066"/>
          <w:sz w:val="20"/>
          <w:szCs w:val="20"/>
        </w:rPr>
        <w:t>Fluit</w:t>
      </w:r>
      <w:proofErr w:type="spellEnd"/>
    </w:p>
    <w:p w:rsidR="009075EF" w:rsidRDefault="009075EF" w:rsidP="009075EF">
      <w:pPr>
        <w:autoSpaceDE w:val="0"/>
        <w:autoSpaceDN w:val="0"/>
        <w:adjustRightInd w:val="0"/>
        <w:spacing w:after="0" w:line="240" w:lineRule="auto"/>
        <w:rPr>
          <w:rFonts w:ascii="AdvTimes" w:hAnsi="AdvTimes" w:cs="AdvTimes"/>
          <w:color w:val="000000"/>
          <w:sz w:val="20"/>
          <w:szCs w:val="20"/>
        </w:rPr>
      </w:pPr>
      <w:r>
        <w:rPr>
          <w:rFonts w:ascii="AdvTimes" w:hAnsi="AdvTimes" w:cs="AdvTimes"/>
          <w:color w:val="000066"/>
          <w:sz w:val="20"/>
          <w:szCs w:val="20"/>
        </w:rPr>
        <w:t>et al., 2001</w:t>
      </w:r>
      <w:r>
        <w:rPr>
          <w:rFonts w:ascii="AdvTimes" w:hAnsi="AdvTimes" w:cs="AdvTimes"/>
          <w:color w:val="000000"/>
          <w:sz w:val="20"/>
          <w:szCs w:val="20"/>
        </w:rPr>
        <w:t xml:space="preserve">; </w:t>
      </w:r>
      <w:proofErr w:type="spellStart"/>
      <w:r>
        <w:rPr>
          <w:rFonts w:ascii="AdvTimes" w:hAnsi="AdvTimes" w:cs="AdvTimes"/>
          <w:color w:val="000066"/>
          <w:sz w:val="20"/>
          <w:szCs w:val="20"/>
        </w:rPr>
        <w:t>MgGrath</w:t>
      </w:r>
      <w:proofErr w:type="spellEnd"/>
      <w:r>
        <w:rPr>
          <w:rFonts w:ascii="AdvTimes" w:hAnsi="AdvTimes" w:cs="AdvTimes"/>
          <w:color w:val="000066"/>
          <w:sz w:val="20"/>
          <w:szCs w:val="20"/>
        </w:rPr>
        <w:t>, 2001</w:t>
      </w:r>
      <w:r>
        <w:rPr>
          <w:rFonts w:ascii="AdvTimes" w:hAnsi="AdvTimes" w:cs="AdvTimes"/>
          <w:color w:val="000000"/>
          <w:sz w:val="20"/>
          <w:szCs w:val="20"/>
        </w:rPr>
        <w:t>), including: (I) an altered</w:t>
      </w:r>
    </w:p>
    <w:p w:rsidR="009075EF" w:rsidRDefault="009075EF" w:rsidP="009075EF">
      <w:pPr>
        <w:autoSpaceDE w:val="0"/>
        <w:autoSpaceDN w:val="0"/>
        <w:adjustRightInd w:val="0"/>
        <w:spacing w:after="0" w:line="240" w:lineRule="auto"/>
        <w:rPr>
          <w:rFonts w:ascii="AdvTimes" w:hAnsi="AdvTimes" w:cs="AdvTimes"/>
          <w:color w:val="000000"/>
          <w:sz w:val="20"/>
          <w:szCs w:val="20"/>
        </w:rPr>
      </w:pPr>
      <w:proofErr w:type="gramStart"/>
      <w:r>
        <w:rPr>
          <w:rFonts w:ascii="AdvTimes" w:hAnsi="AdvTimes" w:cs="AdvTimes"/>
          <w:color w:val="000000"/>
          <w:sz w:val="20"/>
          <w:szCs w:val="20"/>
        </w:rPr>
        <w:t>target</w:t>
      </w:r>
      <w:proofErr w:type="gramEnd"/>
      <w:r>
        <w:rPr>
          <w:rFonts w:ascii="AdvTimes" w:hAnsi="AdvTimes" w:cs="AdvTimes"/>
          <w:color w:val="000000"/>
          <w:sz w:val="20"/>
          <w:szCs w:val="20"/>
        </w:rPr>
        <w:t xml:space="preserve"> site, which reduces the binding of the fungicide;</w:t>
      </w:r>
    </w:p>
    <w:p w:rsidR="009075EF" w:rsidRDefault="009075EF" w:rsidP="009075EF">
      <w:pPr>
        <w:autoSpaceDE w:val="0"/>
        <w:autoSpaceDN w:val="0"/>
        <w:adjustRightInd w:val="0"/>
        <w:spacing w:after="0" w:line="240" w:lineRule="auto"/>
        <w:rPr>
          <w:rFonts w:ascii="AdvTimes" w:hAnsi="AdvTimes" w:cs="AdvTimes"/>
          <w:color w:val="000000"/>
          <w:sz w:val="20"/>
          <w:szCs w:val="20"/>
        </w:rPr>
      </w:pPr>
      <w:r>
        <w:rPr>
          <w:rFonts w:ascii="AdvTimes" w:hAnsi="AdvTimes" w:cs="AdvTimes"/>
          <w:color w:val="000000"/>
          <w:sz w:val="20"/>
          <w:szCs w:val="20"/>
        </w:rPr>
        <w:t xml:space="preserve">(II) </w:t>
      </w:r>
      <w:proofErr w:type="gramStart"/>
      <w:r>
        <w:rPr>
          <w:rFonts w:ascii="AdvTimes" w:hAnsi="AdvTimes" w:cs="AdvTimes"/>
          <w:color w:val="000000"/>
          <w:sz w:val="20"/>
          <w:szCs w:val="20"/>
        </w:rPr>
        <w:t>the</w:t>
      </w:r>
      <w:proofErr w:type="gramEnd"/>
      <w:r>
        <w:rPr>
          <w:rFonts w:ascii="AdvTimes" w:hAnsi="AdvTimes" w:cs="AdvTimes"/>
          <w:color w:val="000000"/>
          <w:sz w:val="20"/>
          <w:szCs w:val="20"/>
        </w:rPr>
        <w:t xml:space="preserve"> synthesis of an alternative enzyme capable of</w:t>
      </w:r>
    </w:p>
    <w:p w:rsidR="009075EF" w:rsidRDefault="009075EF" w:rsidP="009075EF">
      <w:pPr>
        <w:autoSpaceDE w:val="0"/>
        <w:autoSpaceDN w:val="0"/>
        <w:adjustRightInd w:val="0"/>
        <w:spacing w:after="0" w:line="240" w:lineRule="auto"/>
        <w:rPr>
          <w:rFonts w:ascii="AdvTimes" w:hAnsi="AdvTimes" w:cs="AdvTimes"/>
          <w:color w:val="000000"/>
          <w:sz w:val="20"/>
          <w:szCs w:val="20"/>
        </w:rPr>
      </w:pPr>
      <w:proofErr w:type="gramStart"/>
      <w:r>
        <w:rPr>
          <w:rFonts w:ascii="AdvTimes" w:hAnsi="AdvTimes" w:cs="AdvTimes"/>
          <w:color w:val="000000"/>
          <w:sz w:val="20"/>
          <w:szCs w:val="20"/>
        </w:rPr>
        <w:t>substituting</w:t>
      </w:r>
      <w:proofErr w:type="gramEnd"/>
      <w:r>
        <w:rPr>
          <w:rFonts w:ascii="AdvTimes" w:hAnsi="AdvTimes" w:cs="AdvTimes"/>
          <w:color w:val="000000"/>
          <w:sz w:val="20"/>
          <w:szCs w:val="20"/>
        </w:rPr>
        <w:t xml:space="preserve"> the target enzyme; (III) the overproduction</w:t>
      </w:r>
    </w:p>
    <w:p w:rsidR="009075EF" w:rsidRDefault="009075EF" w:rsidP="009075EF">
      <w:pPr>
        <w:autoSpaceDE w:val="0"/>
        <w:autoSpaceDN w:val="0"/>
        <w:adjustRightInd w:val="0"/>
        <w:spacing w:after="0" w:line="240" w:lineRule="auto"/>
        <w:rPr>
          <w:rFonts w:ascii="AdvTimes" w:hAnsi="AdvTimes" w:cs="AdvTimes"/>
          <w:color w:val="000000"/>
          <w:sz w:val="20"/>
          <w:szCs w:val="20"/>
        </w:rPr>
      </w:pPr>
      <w:proofErr w:type="gramStart"/>
      <w:r>
        <w:rPr>
          <w:rFonts w:ascii="AdvTimes" w:hAnsi="AdvTimes" w:cs="AdvTimes"/>
          <w:color w:val="000000"/>
          <w:sz w:val="20"/>
          <w:szCs w:val="20"/>
        </w:rPr>
        <w:t>of</w:t>
      </w:r>
      <w:proofErr w:type="gramEnd"/>
      <w:r>
        <w:rPr>
          <w:rFonts w:ascii="AdvTimes" w:hAnsi="AdvTimes" w:cs="AdvTimes"/>
          <w:color w:val="000000"/>
          <w:sz w:val="20"/>
          <w:szCs w:val="20"/>
        </w:rPr>
        <w:t xml:space="preserve"> the fungicide target; (IV) an active efflux or reduced</w:t>
      </w:r>
    </w:p>
    <w:p w:rsidR="009075EF" w:rsidRDefault="009075EF" w:rsidP="009075EF">
      <w:pPr>
        <w:autoSpaceDE w:val="0"/>
        <w:autoSpaceDN w:val="0"/>
        <w:adjustRightInd w:val="0"/>
        <w:spacing w:after="0" w:line="240" w:lineRule="auto"/>
        <w:rPr>
          <w:rFonts w:ascii="AdvTimes" w:hAnsi="AdvTimes" w:cs="AdvTimes"/>
          <w:color w:val="000000"/>
          <w:sz w:val="20"/>
          <w:szCs w:val="20"/>
        </w:rPr>
      </w:pPr>
      <w:proofErr w:type="gramStart"/>
      <w:r>
        <w:rPr>
          <w:rFonts w:ascii="AdvTimes" w:hAnsi="AdvTimes" w:cs="AdvTimes"/>
          <w:color w:val="000000"/>
          <w:sz w:val="20"/>
          <w:szCs w:val="20"/>
        </w:rPr>
        <w:t>uptake</w:t>
      </w:r>
      <w:proofErr w:type="gramEnd"/>
      <w:r>
        <w:rPr>
          <w:rFonts w:ascii="AdvTimes" w:hAnsi="AdvTimes" w:cs="AdvTimes"/>
          <w:color w:val="000000"/>
          <w:sz w:val="20"/>
          <w:szCs w:val="20"/>
        </w:rPr>
        <w:t xml:space="preserve"> of the fungicide; and (V) a metabolic breakdown</w:t>
      </w:r>
    </w:p>
    <w:p w:rsidR="009075EF" w:rsidRDefault="009075EF" w:rsidP="009075EF">
      <w:pPr>
        <w:autoSpaceDE w:val="0"/>
        <w:autoSpaceDN w:val="0"/>
        <w:adjustRightInd w:val="0"/>
        <w:spacing w:after="0" w:line="240" w:lineRule="auto"/>
        <w:rPr>
          <w:rFonts w:ascii="AdvTimes" w:hAnsi="AdvTimes" w:cs="AdvTimes"/>
          <w:sz w:val="20"/>
          <w:szCs w:val="20"/>
        </w:rPr>
      </w:pPr>
      <w:proofErr w:type="gramStart"/>
      <w:r>
        <w:rPr>
          <w:rFonts w:ascii="AdvTimes" w:hAnsi="AdvTimes" w:cs="AdvTimes"/>
          <w:color w:val="000000"/>
          <w:sz w:val="20"/>
          <w:szCs w:val="20"/>
        </w:rPr>
        <w:t>of</w:t>
      </w:r>
      <w:proofErr w:type="gramEnd"/>
      <w:r>
        <w:rPr>
          <w:rFonts w:ascii="AdvTimes" w:hAnsi="AdvTimes" w:cs="AdvTimes"/>
          <w:color w:val="000000"/>
          <w:sz w:val="20"/>
          <w:szCs w:val="20"/>
        </w:rPr>
        <w:t xml:space="preserve"> the fungicide.</w:t>
      </w:r>
    </w:p>
    <w:p w:rsidR="00CC493D" w:rsidRDefault="00CC493D" w:rsidP="00CC493D">
      <w:pPr>
        <w:autoSpaceDE w:val="0"/>
        <w:autoSpaceDN w:val="0"/>
        <w:adjustRightInd w:val="0"/>
        <w:spacing w:after="0" w:line="240" w:lineRule="auto"/>
        <w:rPr>
          <w:rFonts w:ascii="AdvTimes" w:hAnsi="AdvTimes" w:cs="AdvTimes"/>
          <w:sz w:val="20"/>
          <w:szCs w:val="20"/>
        </w:rPr>
      </w:pPr>
    </w:p>
    <w:p w:rsidR="009F6AF1" w:rsidRDefault="00555201" w:rsidP="005E10EE">
      <w:pPr>
        <w:rPr>
          <w:rFonts w:ascii="AdvP6EC0" w:hAnsi="AdvP6EC0" w:cs="AdvP6EC0"/>
          <w:color w:val="231F20"/>
          <w:sz w:val="18"/>
          <w:szCs w:val="18"/>
        </w:rPr>
      </w:pPr>
      <w:r w:rsidRPr="00555201">
        <w:rPr>
          <w:rFonts w:ascii="AdvP6EC0" w:hAnsi="AdvP6EC0" w:cs="AdvP6EC0"/>
          <w:color w:val="231F20"/>
          <w:sz w:val="18"/>
          <w:szCs w:val="18"/>
        </w:rPr>
        <w:t>2. Molecular mechanisms of fungicide resistance</w:t>
      </w:r>
    </w:p>
    <w:p w:rsidR="005E10EE" w:rsidRDefault="00555201" w:rsidP="005E10EE">
      <w:pPr>
        <w:rPr>
          <w:rFonts w:ascii="AdvTimes" w:hAnsi="AdvTimes" w:cs="AdvTimes"/>
          <w:sz w:val="20"/>
          <w:szCs w:val="20"/>
        </w:rPr>
      </w:pPr>
      <w:r w:rsidRPr="00555201">
        <w:rPr>
          <w:rFonts w:ascii="AdvP6EC0" w:hAnsi="AdvP6EC0" w:cs="AdvP6EC0"/>
          <w:color w:val="231F20"/>
          <w:sz w:val="18"/>
          <w:szCs w:val="18"/>
        </w:rPr>
        <w:lastRenderedPageBreak/>
        <w:t xml:space="preserve">2.1. </w:t>
      </w:r>
      <w:proofErr w:type="spellStart"/>
      <w:r w:rsidRPr="00555201">
        <w:rPr>
          <w:rFonts w:ascii="AdvP6EC0" w:hAnsi="AdvP6EC0" w:cs="AdvP6EC0"/>
          <w:color w:val="231F20"/>
          <w:sz w:val="18"/>
          <w:szCs w:val="18"/>
        </w:rPr>
        <w:t>Benzimidazoles</w:t>
      </w:r>
      <w:proofErr w:type="spellEnd"/>
      <w:r w:rsidR="00E66450">
        <w:rPr>
          <w:rFonts w:ascii="AdvP6EC0" w:hAnsi="AdvP6EC0" w:cs="AdvP6EC0"/>
          <w:color w:val="231F20"/>
          <w:sz w:val="18"/>
          <w:szCs w:val="18"/>
        </w:rPr>
        <w:t xml:space="preserve"> </w:t>
      </w:r>
      <w:r>
        <w:rPr>
          <w:rFonts w:ascii="AdvTimes" w:hAnsi="AdvTimes" w:cs="AdvTimes"/>
          <w:sz w:val="20"/>
          <w:szCs w:val="20"/>
        </w:rPr>
        <w:t>In most cases,</w:t>
      </w:r>
      <w:r w:rsidR="009F6AF1">
        <w:rPr>
          <w:rFonts w:ascii="AdvTimes" w:hAnsi="AdvTimes" w:cs="AdvTimes"/>
          <w:sz w:val="20"/>
          <w:szCs w:val="20"/>
        </w:rPr>
        <w:t xml:space="preserve"> </w:t>
      </w:r>
      <w:r>
        <w:rPr>
          <w:rFonts w:ascii="AdvTimes" w:hAnsi="AdvTimes" w:cs="AdvTimes"/>
          <w:sz w:val="20"/>
          <w:szCs w:val="20"/>
        </w:rPr>
        <w:t>resistance was correlated with</w:t>
      </w:r>
      <w:r w:rsidR="009F6AF1">
        <w:rPr>
          <w:rFonts w:ascii="AdvTimes" w:hAnsi="AdvTimes" w:cs="AdvTimes"/>
          <w:sz w:val="20"/>
          <w:szCs w:val="20"/>
        </w:rPr>
        <w:t xml:space="preserve"> </w:t>
      </w:r>
      <w:r>
        <w:rPr>
          <w:rFonts w:ascii="AdvTimes" w:hAnsi="AdvTimes" w:cs="AdvTimes"/>
          <w:sz w:val="20"/>
          <w:szCs w:val="20"/>
        </w:rPr>
        <w:t>point mutations in the</w:t>
      </w:r>
      <w:r w:rsidR="009F6AF1">
        <w:rPr>
          <w:rFonts w:ascii="AdvTimes" w:hAnsi="AdvTimes" w:cs="AdvTimes"/>
          <w:sz w:val="20"/>
          <w:szCs w:val="20"/>
        </w:rPr>
        <w:t xml:space="preserve"> </w:t>
      </w:r>
      <w:r>
        <w:rPr>
          <w:rFonts w:ascii="AdvPi2" w:hAnsi="AdvPi2" w:cs="AdvPi2"/>
          <w:sz w:val="20"/>
          <w:szCs w:val="20"/>
        </w:rPr>
        <w:t>b</w:t>
      </w:r>
      <w:r>
        <w:rPr>
          <w:rFonts w:ascii="AdvTimes" w:hAnsi="AdvTimes" w:cs="AdvTimes"/>
          <w:sz w:val="20"/>
          <w:szCs w:val="20"/>
        </w:rPr>
        <w:t>-tubulin gene, which result in altered amino acid</w:t>
      </w:r>
      <w:r w:rsidR="009F6AF1">
        <w:rPr>
          <w:rFonts w:ascii="AdvTimes" w:hAnsi="AdvTimes" w:cs="AdvTimes"/>
          <w:sz w:val="20"/>
          <w:szCs w:val="20"/>
        </w:rPr>
        <w:t xml:space="preserve"> </w:t>
      </w:r>
      <w:r>
        <w:rPr>
          <w:rFonts w:ascii="AdvTimes" w:hAnsi="AdvTimes" w:cs="AdvTimes"/>
          <w:sz w:val="20"/>
          <w:szCs w:val="20"/>
        </w:rPr>
        <w:t xml:space="preserve">sequences at the </w:t>
      </w:r>
      <w:proofErr w:type="spellStart"/>
      <w:r>
        <w:rPr>
          <w:rFonts w:ascii="AdvTimes" w:hAnsi="AdvTimes" w:cs="AdvTimes"/>
          <w:sz w:val="20"/>
          <w:szCs w:val="20"/>
        </w:rPr>
        <w:t>benzimidazole</w:t>
      </w:r>
      <w:proofErr w:type="spellEnd"/>
      <w:r>
        <w:rPr>
          <w:rFonts w:ascii="AdvTimes" w:hAnsi="AdvTimes" w:cs="AdvTimes"/>
          <w:sz w:val="20"/>
          <w:szCs w:val="20"/>
        </w:rPr>
        <w:t>-binding site.</w:t>
      </w:r>
    </w:p>
    <w:p w:rsidR="009F6AF1" w:rsidRDefault="009F6AF1" w:rsidP="005E10EE">
      <w:pPr>
        <w:rPr>
          <w:rFonts w:ascii="AdvTimes" w:hAnsi="AdvTimes" w:cs="AdvTimes"/>
          <w:sz w:val="20"/>
          <w:szCs w:val="20"/>
        </w:rPr>
      </w:pPr>
    </w:p>
    <w:p w:rsidR="009F6AF1" w:rsidRDefault="006D0711" w:rsidP="009F6AF1">
      <w:pPr>
        <w:rPr>
          <w:rFonts w:ascii="AdvP6EC0" w:hAnsi="AdvP6EC0" w:cs="AdvP6EC0"/>
          <w:color w:val="231F20"/>
          <w:sz w:val="18"/>
          <w:szCs w:val="18"/>
        </w:rPr>
      </w:pPr>
      <w:proofErr w:type="gramStart"/>
      <w:r>
        <w:rPr>
          <w:rFonts w:ascii="AdvP6EC0" w:hAnsi="AdvP6EC0" w:cs="AdvP6EC0"/>
          <w:color w:val="231F20"/>
          <w:sz w:val="18"/>
          <w:szCs w:val="18"/>
          <w:highlight w:val="yellow"/>
        </w:rPr>
        <w:t>4)</w:t>
      </w:r>
      <w:r w:rsidR="009F6AF1" w:rsidRPr="009F6AF1">
        <w:rPr>
          <w:rFonts w:ascii="AdvP6EC0" w:hAnsi="AdvP6EC0" w:cs="AdvP6EC0"/>
          <w:color w:val="231F20"/>
          <w:sz w:val="18"/>
          <w:szCs w:val="18"/>
          <w:highlight w:val="yellow"/>
        </w:rPr>
        <w:t>Rebecca</w:t>
      </w:r>
      <w:proofErr w:type="gramEnd"/>
      <w:r w:rsidR="009F6AF1" w:rsidRPr="009F6AF1">
        <w:rPr>
          <w:rFonts w:ascii="AdvP6EC0" w:hAnsi="AdvP6EC0" w:cs="AdvP6EC0"/>
          <w:color w:val="231F20"/>
          <w:sz w:val="18"/>
          <w:szCs w:val="18"/>
          <w:highlight w:val="yellow"/>
        </w:rPr>
        <w:t xml:space="preserve"> S. Shapiro</w:t>
      </w:r>
      <w:r w:rsidR="009F6AF1">
        <w:rPr>
          <w:rFonts w:ascii="AdvP6EC0" w:hAnsi="AdvP6EC0" w:cs="AdvP6EC0"/>
          <w:color w:val="231F20"/>
          <w:sz w:val="18"/>
          <w:szCs w:val="18"/>
        </w:rPr>
        <w:t xml:space="preserve">: </w:t>
      </w:r>
      <w:r w:rsidR="009F6AF1" w:rsidRPr="009F6AF1">
        <w:rPr>
          <w:rFonts w:ascii="AdvP6EC0" w:hAnsi="AdvP6EC0" w:cs="AdvP6EC0"/>
          <w:color w:val="231F20"/>
          <w:sz w:val="18"/>
          <w:szCs w:val="18"/>
        </w:rPr>
        <w:t>Antimicrobial-Induced DNA Damage and</w:t>
      </w:r>
      <w:r w:rsidR="009F6AF1">
        <w:rPr>
          <w:rFonts w:ascii="AdvP6EC0" w:hAnsi="AdvP6EC0" w:cs="AdvP6EC0"/>
          <w:color w:val="231F20"/>
          <w:sz w:val="18"/>
          <w:szCs w:val="18"/>
        </w:rPr>
        <w:t xml:space="preserve"> </w:t>
      </w:r>
      <w:r w:rsidR="009F6AF1" w:rsidRPr="009F6AF1">
        <w:rPr>
          <w:rFonts w:ascii="AdvP6EC0" w:hAnsi="AdvP6EC0" w:cs="AdvP6EC0"/>
          <w:color w:val="231F20"/>
          <w:sz w:val="18"/>
          <w:szCs w:val="18"/>
        </w:rPr>
        <w:t>Genomic Instability in Microbial Pathogens</w:t>
      </w:r>
    </w:p>
    <w:p w:rsidR="009F6AF1" w:rsidRDefault="0020333C" w:rsidP="009F6AF1">
      <w:pPr>
        <w:rPr>
          <w:rFonts w:ascii="AdvP6EC0" w:hAnsi="AdvP6EC0" w:cs="AdvP6EC0"/>
          <w:color w:val="231F20"/>
          <w:sz w:val="18"/>
          <w:szCs w:val="18"/>
        </w:rPr>
      </w:pPr>
      <w:r>
        <w:rPr>
          <w:rFonts w:ascii="AdvP6EC0" w:hAnsi="AdvP6EC0" w:cs="AdvP6EC0"/>
          <w:color w:val="231F20"/>
          <w:sz w:val="18"/>
          <w:szCs w:val="18"/>
        </w:rPr>
        <w:t xml:space="preserve">GOOD for </w:t>
      </w:r>
      <w:proofErr w:type="spellStart"/>
      <w:r>
        <w:rPr>
          <w:rFonts w:ascii="AdvP6EC0" w:hAnsi="AdvP6EC0" w:cs="AdvP6EC0"/>
          <w:color w:val="231F20"/>
          <w:sz w:val="18"/>
          <w:szCs w:val="18"/>
        </w:rPr>
        <w:t>DIScusson</w:t>
      </w:r>
      <w:proofErr w:type="spellEnd"/>
    </w:p>
    <w:p w:rsidR="009F6AF1" w:rsidRDefault="009F6AF1" w:rsidP="009F6AF1">
      <w:pPr>
        <w:rPr>
          <w:rFonts w:ascii="AdvP6EC0" w:hAnsi="AdvP6EC0" w:cs="AdvP6EC0"/>
          <w:color w:val="231F20"/>
          <w:sz w:val="18"/>
          <w:szCs w:val="18"/>
        </w:rPr>
      </w:pPr>
      <w:r w:rsidRPr="009F6AF1">
        <w:rPr>
          <w:rFonts w:ascii="AdvP6EC0" w:hAnsi="AdvP6EC0" w:cs="AdvP6EC0"/>
          <w:color w:val="231F20"/>
          <w:sz w:val="18"/>
          <w:szCs w:val="18"/>
        </w:rPr>
        <w:t>Whereas lethal</w:t>
      </w:r>
      <w:r w:rsidR="00F4076F">
        <w:rPr>
          <w:rFonts w:ascii="AdvP6EC0" w:hAnsi="AdvP6EC0" w:cs="AdvP6EC0"/>
          <w:color w:val="231F20"/>
          <w:sz w:val="18"/>
          <w:szCs w:val="18"/>
        </w:rPr>
        <w:t xml:space="preserve"> </w:t>
      </w:r>
      <w:r w:rsidRPr="009F6AF1">
        <w:rPr>
          <w:rFonts w:ascii="AdvP6EC0" w:hAnsi="AdvP6EC0" w:cs="AdvP6EC0"/>
          <w:color w:val="231F20"/>
          <w:sz w:val="18"/>
          <w:szCs w:val="18"/>
        </w:rPr>
        <w:t>doses of antimicrobials may select for preexisting resistant microbes, there is increasing interest</w:t>
      </w:r>
      <w:r w:rsidR="00F4076F">
        <w:rPr>
          <w:rFonts w:ascii="AdvP6EC0" w:hAnsi="AdvP6EC0" w:cs="AdvP6EC0"/>
          <w:color w:val="231F20"/>
          <w:sz w:val="18"/>
          <w:szCs w:val="18"/>
        </w:rPr>
        <w:t xml:space="preserve"> </w:t>
      </w:r>
      <w:r w:rsidRPr="009F6AF1">
        <w:rPr>
          <w:rFonts w:ascii="AdvP6EC0" w:hAnsi="AdvP6EC0" w:cs="AdvP6EC0"/>
          <w:color w:val="231F20"/>
          <w:sz w:val="18"/>
          <w:szCs w:val="18"/>
        </w:rPr>
        <w:t xml:space="preserve">in uncovering the cellular consequences of </w:t>
      </w:r>
      <w:proofErr w:type="spellStart"/>
      <w:r w:rsidRPr="009F6AF1">
        <w:rPr>
          <w:rFonts w:ascii="AdvP6EC0" w:hAnsi="AdvP6EC0" w:cs="AdvP6EC0"/>
          <w:color w:val="231F20"/>
          <w:sz w:val="18"/>
          <w:szCs w:val="18"/>
        </w:rPr>
        <w:t>sublethal</w:t>
      </w:r>
      <w:proofErr w:type="spellEnd"/>
      <w:r w:rsidRPr="009F6AF1">
        <w:rPr>
          <w:rFonts w:ascii="AdvP6EC0" w:hAnsi="AdvP6EC0" w:cs="AdvP6EC0"/>
          <w:color w:val="231F20"/>
          <w:sz w:val="18"/>
          <w:szCs w:val="18"/>
        </w:rPr>
        <w:t xml:space="preserve"> antimicrobial exposure on the development</w:t>
      </w:r>
      <w:r w:rsidR="00F4076F">
        <w:rPr>
          <w:rFonts w:ascii="AdvP6EC0" w:hAnsi="AdvP6EC0" w:cs="AdvP6EC0"/>
          <w:color w:val="231F20"/>
          <w:sz w:val="18"/>
          <w:szCs w:val="18"/>
        </w:rPr>
        <w:t xml:space="preserve"> </w:t>
      </w:r>
      <w:r w:rsidRPr="009F6AF1">
        <w:rPr>
          <w:rFonts w:ascii="AdvP6EC0" w:hAnsi="AdvP6EC0" w:cs="AdvP6EC0"/>
          <w:color w:val="231F20"/>
          <w:sz w:val="18"/>
          <w:szCs w:val="18"/>
        </w:rPr>
        <w:t>of antimicrobial resistance.</w:t>
      </w:r>
      <w:r w:rsidR="00F4076F">
        <w:rPr>
          <w:rFonts w:ascii="AdvP6EC0" w:hAnsi="AdvP6EC0" w:cs="AdvP6EC0"/>
          <w:color w:val="231F20"/>
          <w:sz w:val="18"/>
          <w:szCs w:val="18"/>
        </w:rPr>
        <w:t xml:space="preserve"> </w:t>
      </w:r>
      <w:proofErr w:type="spellStart"/>
      <w:r w:rsidRPr="009F6AF1">
        <w:rPr>
          <w:rFonts w:ascii="AdvP6EC0" w:hAnsi="AdvP6EC0" w:cs="AdvP6EC0"/>
          <w:color w:val="231F20"/>
          <w:sz w:val="18"/>
          <w:szCs w:val="18"/>
        </w:rPr>
        <w:t>Sublethal</w:t>
      </w:r>
      <w:proofErr w:type="spellEnd"/>
      <w:r w:rsidRPr="009F6AF1">
        <w:rPr>
          <w:rFonts w:ascii="AdvP6EC0" w:hAnsi="AdvP6EC0" w:cs="AdvP6EC0"/>
          <w:color w:val="231F20"/>
          <w:sz w:val="18"/>
          <w:szCs w:val="18"/>
        </w:rPr>
        <w:t xml:space="preserve"> antimicrobial exposure can trigger DNA damage</w:t>
      </w:r>
      <w:r w:rsidR="00F4076F">
        <w:rPr>
          <w:rFonts w:ascii="AdvP6EC0" w:hAnsi="AdvP6EC0" w:cs="AdvP6EC0"/>
          <w:color w:val="231F20"/>
          <w:sz w:val="18"/>
          <w:szCs w:val="18"/>
        </w:rPr>
        <w:t xml:space="preserve"> </w:t>
      </w:r>
      <w:r w:rsidRPr="009F6AF1">
        <w:rPr>
          <w:rFonts w:ascii="AdvP6EC0" w:hAnsi="AdvP6EC0" w:cs="AdvP6EC0"/>
          <w:color w:val="231F20"/>
          <w:sz w:val="18"/>
          <w:szCs w:val="18"/>
        </w:rPr>
        <w:t>and genomic instability across the diversity of microbial pathogens, including bacterial and</w:t>
      </w:r>
      <w:r w:rsidR="00F4076F">
        <w:rPr>
          <w:rFonts w:ascii="AdvP6EC0" w:hAnsi="AdvP6EC0" w:cs="AdvP6EC0"/>
          <w:color w:val="231F20"/>
          <w:sz w:val="18"/>
          <w:szCs w:val="18"/>
        </w:rPr>
        <w:t xml:space="preserve"> </w:t>
      </w:r>
      <w:r w:rsidRPr="009F6AF1">
        <w:rPr>
          <w:rFonts w:ascii="AdvP6EC0" w:hAnsi="AdvP6EC0" w:cs="AdvP6EC0"/>
          <w:color w:val="231F20"/>
          <w:sz w:val="18"/>
          <w:szCs w:val="18"/>
        </w:rPr>
        <w:t>fungal species.</w:t>
      </w:r>
    </w:p>
    <w:p w:rsidR="009F6AF1" w:rsidRDefault="009F6AF1" w:rsidP="009F6AF1">
      <w:pPr>
        <w:rPr>
          <w:rFonts w:ascii="AdvOT1ef757c0" w:hAnsi="AdvOT1ef757c0" w:cs="AdvOT1ef757c0"/>
          <w:sz w:val="20"/>
          <w:szCs w:val="20"/>
        </w:rPr>
      </w:pPr>
      <w:r>
        <w:rPr>
          <w:rFonts w:ascii="AdvOT1ef757c0" w:hAnsi="AdvOT1ef757c0" w:cs="AdvOT1ef757c0"/>
          <w:sz w:val="20"/>
          <w:szCs w:val="20"/>
        </w:rPr>
        <w:t>Overall, this review aims to explore genomic</w:t>
      </w:r>
      <w:r w:rsidR="00F4076F">
        <w:rPr>
          <w:rFonts w:ascii="AdvOT1ef757c0" w:hAnsi="AdvOT1ef757c0" w:cs="AdvOT1ef757c0"/>
          <w:sz w:val="20"/>
          <w:szCs w:val="20"/>
        </w:rPr>
        <w:t xml:space="preserve"> </w:t>
      </w:r>
      <w:r>
        <w:rPr>
          <w:rFonts w:ascii="AdvOT1ef757c0" w:hAnsi="AdvOT1ef757c0" w:cs="AdvOT1ef757c0"/>
          <w:sz w:val="20"/>
          <w:szCs w:val="20"/>
        </w:rPr>
        <w:t>pressure exerted on bacterial and fungal pathogens by antimicrobial treatment, and implications</w:t>
      </w:r>
      <w:r w:rsidR="00F4076F">
        <w:rPr>
          <w:rFonts w:ascii="AdvOT1ef757c0" w:hAnsi="AdvOT1ef757c0" w:cs="AdvOT1ef757c0"/>
          <w:sz w:val="20"/>
          <w:szCs w:val="20"/>
        </w:rPr>
        <w:t xml:space="preserve"> </w:t>
      </w:r>
      <w:r>
        <w:rPr>
          <w:rFonts w:ascii="AdvOT1ef757c0" w:hAnsi="AdvOT1ef757c0" w:cs="AdvOT1ef757c0"/>
          <w:sz w:val="20"/>
          <w:szCs w:val="20"/>
        </w:rPr>
        <w:t>for antimicrobial resistance.</w:t>
      </w:r>
    </w:p>
    <w:p w:rsidR="009F6AF1" w:rsidRDefault="009F6AF1" w:rsidP="009F6AF1">
      <w:pPr>
        <w:rPr>
          <w:rFonts w:ascii="AdvOT1ef757c0" w:hAnsi="AdvOT1ef757c0" w:cs="AdvOT1ef757c0"/>
          <w:sz w:val="20"/>
          <w:szCs w:val="20"/>
        </w:rPr>
      </w:pPr>
      <w:r>
        <w:rPr>
          <w:rFonts w:ascii="AdvOT1ef757c0" w:hAnsi="AdvOT1ef757c0" w:cs="AdvOT1ef757c0"/>
          <w:sz w:val="20"/>
          <w:szCs w:val="20"/>
        </w:rPr>
        <w:t>Even low doses of antimicrobials can directly</w:t>
      </w:r>
      <w:r w:rsidR="00F4076F">
        <w:rPr>
          <w:rFonts w:ascii="AdvOT1ef757c0" w:hAnsi="AdvOT1ef757c0" w:cs="AdvOT1ef757c0"/>
          <w:sz w:val="20"/>
          <w:szCs w:val="20"/>
        </w:rPr>
        <w:t xml:space="preserve"> </w:t>
      </w:r>
      <w:r>
        <w:rPr>
          <w:rFonts w:ascii="AdvOT1ef757c0" w:hAnsi="AdvOT1ef757c0" w:cs="AdvOT1ef757c0"/>
          <w:sz w:val="20"/>
          <w:szCs w:val="20"/>
        </w:rPr>
        <w:t>or indirectly induce DNA damage and alterations</w:t>
      </w:r>
    </w:p>
    <w:p w:rsidR="009F6AF1" w:rsidRDefault="005A3FDA" w:rsidP="005A3FDA">
      <w:pPr>
        <w:rPr>
          <w:rFonts w:ascii="AdvOT82c4f4c4" w:hAnsi="AdvOT82c4f4c4" w:cs="AdvOT82c4f4c4"/>
          <w:sz w:val="16"/>
          <w:szCs w:val="16"/>
        </w:rPr>
      </w:pPr>
      <w:r>
        <w:rPr>
          <w:rFonts w:ascii="AdvOT82c4f4c4" w:hAnsi="AdvOT82c4f4c4" w:cs="AdvOT82c4f4c4"/>
          <w:sz w:val="16"/>
          <w:szCs w:val="16"/>
        </w:rPr>
        <w:t>In fungi, treatment with antifungals can lead to DNA damage, resulting in</w:t>
      </w:r>
      <w:r w:rsidR="00F4076F">
        <w:rPr>
          <w:rFonts w:ascii="AdvOT82c4f4c4" w:hAnsi="AdvOT82c4f4c4" w:cs="AdvOT82c4f4c4"/>
          <w:sz w:val="16"/>
          <w:szCs w:val="16"/>
        </w:rPr>
        <w:t xml:space="preserve"> </w:t>
      </w:r>
      <w:r w:rsidRPr="00E15AAB">
        <w:rPr>
          <w:rFonts w:ascii="AdvOT82c4f4c4" w:hAnsi="AdvOT82c4f4c4" w:cs="AdvOT82c4f4c4"/>
          <w:sz w:val="16"/>
          <w:szCs w:val="16"/>
          <w:highlight w:val="cyan"/>
        </w:rPr>
        <w:t>homologous recombination and loss of heterozygosity</w:t>
      </w:r>
      <w:r>
        <w:rPr>
          <w:rFonts w:ascii="AdvOT82c4f4c4" w:hAnsi="AdvOT82c4f4c4" w:cs="AdvOT82c4f4c4"/>
          <w:sz w:val="16"/>
          <w:szCs w:val="16"/>
        </w:rPr>
        <w:t xml:space="preserve"> (LOH), or other cellular stress responses, leading to</w:t>
      </w:r>
      <w:r w:rsidR="00F4076F">
        <w:rPr>
          <w:rFonts w:ascii="AdvOT82c4f4c4" w:hAnsi="AdvOT82c4f4c4" w:cs="AdvOT82c4f4c4"/>
          <w:sz w:val="16"/>
          <w:szCs w:val="16"/>
        </w:rPr>
        <w:t xml:space="preserve"> </w:t>
      </w:r>
      <w:r>
        <w:rPr>
          <w:rFonts w:ascii="AdvOT82c4f4c4" w:hAnsi="AdvOT82c4f4c4" w:cs="AdvOT82c4f4c4"/>
          <w:sz w:val="16"/>
          <w:szCs w:val="16"/>
        </w:rPr>
        <w:t>unequal chromosomal segregation during mitosis and aneuploidy</w:t>
      </w:r>
    </w:p>
    <w:p w:rsidR="005A3FDA" w:rsidRDefault="005A3FDA" w:rsidP="005A3FDA">
      <w:pPr>
        <w:rPr>
          <w:rFonts w:ascii="AdvOT1ef757c0" w:hAnsi="AdvOT1ef757c0" w:cs="AdvOT1ef757c0"/>
          <w:sz w:val="20"/>
          <w:szCs w:val="20"/>
        </w:rPr>
      </w:pPr>
      <w:r>
        <w:rPr>
          <w:rFonts w:ascii="AdvOT1ef757c0" w:hAnsi="AdvOT1ef757c0" w:cs="AdvOT1ef757c0"/>
          <w:sz w:val="20"/>
          <w:szCs w:val="20"/>
        </w:rPr>
        <w:t>First, several</w:t>
      </w:r>
      <w:r w:rsidR="00F4076F">
        <w:rPr>
          <w:rFonts w:ascii="AdvOT1ef757c0" w:hAnsi="AdvOT1ef757c0" w:cs="AdvOT1ef757c0"/>
          <w:sz w:val="20"/>
          <w:szCs w:val="20"/>
        </w:rPr>
        <w:t xml:space="preserve"> </w:t>
      </w:r>
      <w:r>
        <w:rPr>
          <w:rFonts w:ascii="AdvOT1ef757c0" w:hAnsi="AdvOT1ef757c0" w:cs="AdvOT1ef757c0"/>
          <w:sz w:val="20"/>
          <w:szCs w:val="20"/>
        </w:rPr>
        <w:t>antimicrobial agents cause direct chemical damage to DNA. An example of this is the</w:t>
      </w:r>
    </w:p>
    <w:p w:rsidR="00D16DE8" w:rsidRDefault="00D16DE8" w:rsidP="00D16DE8">
      <w:pPr>
        <w:rPr>
          <w:rFonts w:ascii="AdvOT1ef757c0" w:hAnsi="AdvOT1ef757c0" w:cs="AdvOT1ef757c0"/>
          <w:sz w:val="20"/>
          <w:szCs w:val="20"/>
        </w:rPr>
      </w:pPr>
      <w:r>
        <w:rPr>
          <w:rFonts w:ascii="AdvOT1ef757c0" w:hAnsi="AdvOT1ef757c0" w:cs="AdvOT1ef757c0"/>
          <w:color w:val="000000"/>
          <w:sz w:val="20"/>
          <w:szCs w:val="20"/>
        </w:rPr>
        <w:t>Finally,</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numerous antimicrobials result in metabolic perturbations, downstream of the</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interaction with their respective cellular targets. A commonly observed example of this is the</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 xml:space="preserve">production of reactive oxygen species (ROS) in response to antibiotics (including </w:t>
      </w:r>
      <w:r>
        <w:rPr>
          <w:rFonts w:ascii="AdvTT05cc2067+03" w:hAnsi="AdvTT05cc2067+03" w:cs="AdvTT05cc2067+03"/>
          <w:color w:val="000000"/>
          <w:sz w:val="20"/>
          <w:szCs w:val="20"/>
        </w:rPr>
        <w:t>β</w:t>
      </w:r>
      <w:r>
        <w:rPr>
          <w:rFonts w:ascii="AdvOT1ef757c0" w:hAnsi="AdvOT1ef757c0" w:cs="AdvOT1ef757c0"/>
          <w:color w:val="000000"/>
          <w:sz w:val="20"/>
          <w:szCs w:val="20"/>
        </w:rPr>
        <w:t>-lactams,</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aminoglycosides, and quinolones) [</w:t>
      </w:r>
      <w:r>
        <w:rPr>
          <w:rFonts w:ascii="AdvOT1ef757c0" w:hAnsi="AdvOT1ef757c0" w:cs="AdvOT1ef757c0"/>
          <w:color w:val="2C5CFB"/>
          <w:sz w:val="20"/>
          <w:szCs w:val="20"/>
        </w:rPr>
        <w:t>7</w:t>
      </w:r>
      <w:r>
        <w:rPr>
          <w:rFonts w:ascii="AdvOT1ef757c0+20" w:hAnsi="AdvOT1ef757c0+20" w:cs="AdvOT1ef757c0+20"/>
          <w:color w:val="000000"/>
          <w:sz w:val="20"/>
          <w:szCs w:val="20"/>
        </w:rPr>
        <w:t>–</w:t>
      </w:r>
      <w:r>
        <w:rPr>
          <w:rFonts w:ascii="AdvOT1ef757c0" w:hAnsi="AdvOT1ef757c0" w:cs="AdvOT1ef757c0"/>
          <w:color w:val="2C5CFB"/>
          <w:sz w:val="20"/>
          <w:szCs w:val="20"/>
        </w:rPr>
        <w:t>9</w:t>
      </w:r>
      <w:r>
        <w:rPr>
          <w:rFonts w:ascii="AdvOT1ef757c0" w:hAnsi="AdvOT1ef757c0" w:cs="AdvOT1ef757c0"/>
          <w:color w:val="000000"/>
          <w:sz w:val="20"/>
          <w:szCs w:val="20"/>
        </w:rPr>
        <w:t>], antifungals (including polyenes and azoles) [</w:t>
      </w:r>
      <w:r>
        <w:rPr>
          <w:rFonts w:ascii="AdvOT1ef757c0" w:hAnsi="AdvOT1ef757c0" w:cs="AdvOT1ef757c0"/>
          <w:color w:val="2C5CFB"/>
          <w:sz w:val="20"/>
          <w:szCs w:val="20"/>
        </w:rPr>
        <w:t>10</w:t>
      </w:r>
      <w:proofErr w:type="gramStart"/>
      <w:r>
        <w:rPr>
          <w:rFonts w:ascii="AdvOT1ef757c0" w:hAnsi="AdvOT1ef757c0" w:cs="AdvOT1ef757c0"/>
          <w:color w:val="000000"/>
          <w:sz w:val="20"/>
          <w:szCs w:val="20"/>
        </w:rPr>
        <w:t>,</w:t>
      </w:r>
      <w:r>
        <w:rPr>
          <w:rFonts w:ascii="AdvOT1ef757c0" w:hAnsi="AdvOT1ef757c0" w:cs="AdvOT1ef757c0"/>
          <w:color w:val="2C5CFB"/>
          <w:sz w:val="20"/>
          <w:szCs w:val="20"/>
        </w:rPr>
        <w:t>11</w:t>
      </w:r>
      <w:proofErr w:type="gramEnd"/>
      <w:r>
        <w:rPr>
          <w:rFonts w:ascii="AdvOT1ef757c0" w:hAnsi="AdvOT1ef757c0" w:cs="AdvOT1ef757c0"/>
          <w:color w:val="000000"/>
          <w:sz w:val="20"/>
          <w:szCs w:val="20"/>
        </w:rPr>
        <w:t>],</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 xml:space="preserve">and </w:t>
      </w:r>
      <w:proofErr w:type="spellStart"/>
      <w:r>
        <w:rPr>
          <w:rFonts w:ascii="AdvOT1ef757c0" w:hAnsi="AdvOT1ef757c0" w:cs="AdvOT1ef757c0"/>
          <w:color w:val="000000"/>
          <w:sz w:val="20"/>
          <w:szCs w:val="20"/>
        </w:rPr>
        <w:t>antiparasitics</w:t>
      </w:r>
      <w:proofErr w:type="spellEnd"/>
      <w:r>
        <w:rPr>
          <w:rFonts w:ascii="AdvOT1ef757c0" w:hAnsi="AdvOT1ef757c0" w:cs="AdvOT1ef757c0"/>
          <w:color w:val="000000"/>
          <w:sz w:val="20"/>
          <w:szCs w:val="20"/>
        </w:rPr>
        <w:t xml:space="preserve"> [</w:t>
      </w:r>
      <w:r>
        <w:rPr>
          <w:rFonts w:ascii="AdvOT1ef757c0" w:hAnsi="AdvOT1ef757c0" w:cs="AdvOT1ef757c0"/>
          <w:color w:val="2C5CFB"/>
          <w:sz w:val="20"/>
          <w:szCs w:val="20"/>
        </w:rPr>
        <w:t>12</w:t>
      </w:r>
      <w:r>
        <w:rPr>
          <w:rFonts w:ascii="AdvOT1ef757c0" w:hAnsi="AdvOT1ef757c0" w:cs="AdvOT1ef757c0"/>
          <w:color w:val="000000"/>
          <w:sz w:val="20"/>
          <w:szCs w:val="20"/>
        </w:rPr>
        <w:t>]. Antimicrobial-induced ROS, such as hydroxyl radicals, damage DNA</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 xml:space="preserve">through the formation </w:t>
      </w:r>
      <w:r w:rsidRPr="00620057">
        <w:rPr>
          <w:rFonts w:ascii="AdvOT1ef757c0" w:hAnsi="AdvOT1ef757c0" w:cs="AdvOT1ef757c0"/>
          <w:color w:val="000000"/>
          <w:sz w:val="20"/>
          <w:szCs w:val="20"/>
          <w:highlight w:val="yellow"/>
        </w:rPr>
        <w:t>of DNA strand breaks</w:t>
      </w:r>
      <w:r>
        <w:rPr>
          <w:rFonts w:ascii="AdvOT1ef757c0" w:hAnsi="AdvOT1ef757c0" w:cs="AdvOT1ef757c0"/>
          <w:color w:val="000000"/>
          <w:sz w:val="20"/>
          <w:szCs w:val="20"/>
        </w:rPr>
        <w:t>, and the incorporation of oxidized guanine residues</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into the genome [</w:t>
      </w:r>
      <w:r>
        <w:rPr>
          <w:rFonts w:ascii="AdvOT1ef757c0" w:hAnsi="AdvOT1ef757c0" w:cs="AdvOT1ef757c0"/>
          <w:color w:val="2C5CFB"/>
          <w:sz w:val="20"/>
          <w:szCs w:val="20"/>
        </w:rPr>
        <w:t>13</w:t>
      </w:r>
      <w:proofErr w:type="gramStart"/>
      <w:r>
        <w:rPr>
          <w:rFonts w:ascii="AdvOT1ef757c0" w:hAnsi="AdvOT1ef757c0" w:cs="AdvOT1ef757c0"/>
          <w:color w:val="000000"/>
          <w:sz w:val="20"/>
          <w:szCs w:val="20"/>
        </w:rPr>
        <w:t>,</w:t>
      </w:r>
      <w:r>
        <w:rPr>
          <w:rFonts w:ascii="AdvOT1ef757c0" w:hAnsi="AdvOT1ef757c0" w:cs="AdvOT1ef757c0"/>
          <w:color w:val="2C5CFB"/>
          <w:sz w:val="20"/>
          <w:szCs w:val="20"/>
        </w:rPr>
        <w:t>14</w:t>
      </w:r>
      <w:proofErr w:type="gramEnd"/>
      <w:r>
        <w:rPr>
          <w:rFonts w:ascii="AdvOT1ef757c0" w:hAnsi="AdvOT1ef757c0" w:cs="AdvOT1ef757c0"/>
          <w:color w:val="000000"/>
          <w:sz w:val="20"/>
          <w:szCs w:val="20"/>
        </w:rPr>
        <w:t>].</w:t>
      </w:r>
    </w:p>
    <w:p w:rsidR="00D16DE8" w:rsidRDefault="00D16DE8" w:rsidP="00D16DE8">
      <w:pPr>
        <w:rPr>
          <w:rFonts w:ascii="AdvOT1ef757c0" w:hAnsi="AdvOT1ef757c0" w:cs="AdvOT1ef757c0"/>
          <w:sz w:val="20"/>
          <w:szCs w:val="20"/>
        </w:rPr>
      </w:pPr>
      <w:r>
        <w:rPr>
          <w:rFonts w:ascii="AdvOT1ef757c0" w:hAnsi="AdvOT1ef757c0" w:cs="AdvOT1ef757c0"/>
          <w:sz w:val="20"/>
          <w:szCs w:val="20"/>
        </w:rPr>
        <w:t>Repair of damaged DNA is critical for microbial survival, yet certain DNA damage repair</w:t>
      </w:r>
      <w:r w:rsidR="00F4076F">
        <w:rPr>
          <w:rFonts w:ascii="AdvOT1ef757c0" w:hAnsi="AdvOT1ef757c0" w:cs="AdvOT1ef757c0"/>
          <w:sz w:val="20"/>
          <w:szCs w:val="20"/>
        </w:rPr>
        <w:t xml:space="preserve"> </w:t>
      </w:r>
      <w:r>
        <w:rPr>
          <w:rFonts w:ascii="AdvOT1ef757c0" w:hAnsi="AdvOT1ef757c0" w:cs="AdvOT1ef757c0"/>
          <w:sz w:val="20"/>
          <w:szCs w:val="20"/>
        </w:rPr>
        <w:t>pathways may introduce mutations into the genome.</w:t>
      </w:r>
    </w:p>
    <w:p w:rsidR="00D16DE8" w:rsidRDefault="00D16DE8" w:rsidP="00D16DE8">
      <w:pPr>
        <w:rPr>
          <w:rFonts w:ascii="AdvOT1ef757c0" w:hAnsi="AdvOT1ef757c0" w:cs="AdvOT1ef757c0"/>
          <w:sz w:val="20"/>
          <w:szCs w:val="20"/>
        </w:rPr>
      </w:pPr>
      <w:r>
        <w:rPr>
          <w:rFonts w:ascii="AdvOT1ef757c0" w:hAnsi="AdvOT1ef757c0" w:cs="AdvOT1ef757c0"/>
          <w:sz w:val="20"/>
          <w:szCs w:val="20"/>
        </w:rPr>
        <w:t>For bacteria, the SOS response is the</w:t>
      </w:r>
      <w:r w:rsidR="00F4076F">
        <w:rPr>
          <w:rFonts w:ascii="AdvOT1ef757c0" w:hAnsi="AdvOT1ef757c0" w:cs="AdvOT1ef757c0"/>
          <w:sz w:val="20"/>
          <w:szCs w:val="20"/>
        </w:rPr>
        <w:t xml:space="preserve"> </w:t>
      </w:r>
      <w:r>
        <w:rPr>
          <w:rFonts w:ascii="AdvOT1ef757c0" w:hAnsi="AdvOT1ef757c0" w:cs="AdvOT1ef757c0"/>
          <w:sz w:val="20"/>
          <w:szCs w:val="20"/>
        </w:rPr>
        <w:t>global response to DNA damage. Triggered</w:t>
      </w:r>
    </w:p>
    <w:p w:rsidR="00771A6B" w:rsidRDefault="00771A6B" w:rsidP="00D16DE8">
      <w:pPr>
        <w:rPr>
          <w:rFonts w:ascii="AdvOT1ef757c0" w:hAnsi="AdvOT1ef757c0" w:cs="AdvOT1ef757c0"/>
          <w:sz w:val="20"/>
          <w:szCs w:val="20"/>
        </w:rPr>
      </w:pPr>
    </w:p>
    <w:p w:rsidR="00771A6B" w:rsidRPr="00771A6B" w:rsidRDefault="00771A6B" w:rsidP="00771A6B">
      <w:pPr>
        <w:spacing w:after="45" w:line="240" w:lineRule="auto"/>
        <w:rPr>
          <w:rFonts w:ascii="inherit" w:eastAsia="Times New Roman" w:hAnsi="inherit" w:cs="Arial"/>
          <w:b/>
          <w:bCs/>
          <w:color w:val="222222"/>
          <w:sz w:val="24"/>
          <w:szCs w:val="24"/>
        </w:rPr>
      </w:pPr>
      <w:r w:rsidRPr="00771A6B">
        <w:rPr>
          <w:rFonts w:ascii="inherit" w:eastAsia="Times New Roman" w:hAnsi="inherit" w:cs="Arial"/>
          <w:b/>
          <w:bCs/>
          <w:color w:val="222222"/>
          <w:sz w:val="24"/>
          <w:szCs w:val="24"/>
        </w:rPr>
        <w:t>Description</w:t>
      </w:r>
      <w:r>
        <w:rPr>
          <w:rFonts w:ascii="inherit" w:eastAsia="Times New Roman" w:hAnsi="inherit" w:cs="Arial"/>
          <w:b/>
          <w:bCs/>
          <w:color w:val="222222"/>
          <w:sz w:val="24"/>
          <w:szCs w:val="24"/>
        </w:rPr>
        <w:t xml:space="preserve"> of </w:t>
      </w:r>
      <w:r w:rsidRPr="00771A6B">
        <w:rPr>
          <w:rFonts w:ascii="inherit" w:eastAsia="Times New Roman" w:hAnsi="inherit" w:cs="Arial"/>
          <w:b/>
          <w:bCs/>
          <w:color w:val="222222"/>
          <w:sz w:val="24"/>
          <w:szCs w:val="24"/>
        </w:rPr>
        <w:t xml:space="preserve">Gene Ontology Term: </w:t>
      </w:r>
      <w:r w:rsidRPr="00771A6B">
        <w:rPr>
          <w:rFonts w:ascii="inherit" w:eastAsia="Times New Roman" w:hAnsi="inherit"/>
          <w:color w:val="222222"/>
          <w:sz w:val="24"/>
          <w:szCs w:val="24"/>
        </w:rPr>
        <w:t xml:space="preserve">error-prone </w:t>
      </w:r>
      <w:proofErr w:type="spellStart"/>
      <w:r w:rsidRPr="00771A6B">
        <w:rPr>
          <w:rFonts w:ascii="inherit" w:eastAsia="Times New Roman" w:hAnsi="inherit"/>
          <w:color w:val="222222"/>
          <w:sz w:val="24"/>
          <w:szCs w:val="24"/>
        </w:rPr>
        <w:t>translesion</w:t>
      </w:r>
      <w:proofErr w:type="spellEnd"/>
      <w:r w:rsidRPr="00771A6B">
        <w:rPr>
          <w:rFonts w:ascii="inherit" w:eastAsia="Times New Roman" w:hAnsi="inherit"/>
          <w:color w:val="222222"/>
          <w:sz w:val="24"/>
          <w:szCs w:val="24"/>
        </w:rPr>
        <w:t xml:space="preserve"> synthesis</w:t>
      </w:r>
    </w:p>
    <w:p w:rsidR="00771A6B" w:rsidRPr="00771A6B" w:rsidRDefault="00771A6B" w:rsidP="00771A6B">
      <w:pPr>
        <w:spacing w:after="45" w:line="240" w:lineRule="auto"/>
        <w:ind w:left="720"/>
        <w:rPr>
          <w:rFonts w:ascii="inherit" w:eastAsia="Times New Roman" w:hAnsi="inherit" w:cs="Arial"/>
          <w:color w:val="222222"/>
          <w:sz w:val="24"/>
          <w:szCs w:val="24"/>
        </w:rPr>
      </w:pPr>
      <w:r w:rsidRPr="00771A6B">
        <w:rPr>
          <w:rFonts w:ascii="inherit" w:eastAsia="Times New Roman" w:hAnsi="inherit" w:cs="Arial"/>
          <w:color w:val="222222"/>
          <w:sz w:val="24"/>
          <w:szCs w:val="24"/>
        </w:rPr>
        <w:t xml:space="preserve">The conversion of DNA-damage induced single-stranded gaps into large molecular weight DNA after replication by using a specialized DNA polymerase or replication complex to insert a defined nucleotide across the lesion. This process does not remove the replication-blocking lesions and causes an increase in the endogenous mutation level. For example, in E. coli, a low fidelity DNA polymerase, pol V, copies lesions that block replication fork progress. </w:t>
      </w:r>
      <w:r w:rsidRPr="008A46FF">
        <w:rPr>
          <w:rFonts w:ascii="inherit" w:eastAsia="Times New Roman" w:hAnsi="inherit" w:cs="Arial"/>
          <w:color w:val="222222"/>
          <w:sz w:val="24"/>
          <w:szCs w:val="24"/>
          <w:highlight w:val="green"/>
        </w:rPr>
        <w:t>This produces mutations specifically targeted to DNA template damage sites, but it can also produce mutations at undamaged sites</w:t>
      </w:r>
      <w:r w:rsidRPr="00771A6B">
        <w:rPr>
          <w:rFonts w:ascii="inherit" w:eastAsia="Times New Roman" w:hAnsi="inherit" w:cs="Arial"/>
          <w:color w:val="222222"/>
          <w:sz w:val="24"/>
          <w:szCs w:val="24"/>
        </w:rPr>
        <w:t>.</w:t>
      </w:r>
    </w:p>
    <w:p w:rsidR="00771A6B" w:rsidRDefault="00771A6B" w:rsidP="00D16DE8">
      <w:pPr>
        <w:rPr>
          <w:rFonts w:ascii="AdvOT1ef757c0" w:hAnsi="AdvOT1ef757c0" w:cs="AdvOT1ef757c0"/>
          <w:sz w:val="20"/>
          <w:szCs w:val="20"/>
        </w:rPr>
      </w:pPr>
    </w:p>
    <w:p w:rsidR="00D16DE8" w:rsidRDefault="00771A6B" w:rsidP="00D16DE8">
      <w:pPr>
        <w:rPr>
          <w:rFonts w:ascii="AdvOT1ef757c0" w:hAnsi="AdvOT1ef757c0" w:cs="AdvOT1ef757c0"/>
          <w:sz w:val="20"/>
          <w:szCs w:val="20"/>
        </w:rPr>
      </w:pPr>
      <w:r>
        <w:rPr>
          <w:rStyle w:val="Emphasis"/>
          <w:rFonts w:ascii="Arial" w:hAnsi="Arial" w:cs="Arial"/>
          <w:color w:val="545454"/>
        </w:rPr>
        <w:t>Nucleotide excision repair</w:t>
      </w:r>
      <w:r>
        <w:rPr>
          <w:rStyle w:val="st1"/>
          <w:rFonts w:ascii="Arial" w:hAnsi="Arial" w:cs="Arial"/>
          <w:color w:val="545454"/>
        </w:rPr>
        <w:t xml:space="preserve"> (NER) is a particularly important </w:t>
      </w:r>
      <w:r>
        <w:rPr>
          <w:rStyle w:val="Emphasis"/>
          <w:rFonts w:ascii="Arial" w:hAnsi="Arial" w:cs="Arial"/>
          <w:color w:val="545454"/>
        </w:rPr>
        <w:t>excision</w:t>
      </w:r>
      <w:r>
        <w:rPr>
          <w:rStyle w:val="st1"/>
          <w:rFonts w:ascii="Arial" w:hAnsi="Arial" w:cs="Arial"/>
          <w:color w:val="545454"/>
        </w:rPr>
        <w:t xml:space="preserve"> mechanism that removes DNA damage induced by ultraviolet light (UV). UV DNA damage results in bulky DNA adducts - these adducts are mostly thymine dimers and 6</w:t>
      </w:r>
      <w:proofErr w:type="gramStart"/>
      <w:r>
        <w:rPr>
          <w:rStyle w:val="st1"/>
          <w:rFonts w:ascii="Arial" w:hAnsi="Arial" w:cs="Arial"/>
          <w:color w:val="545454"/>
        </w:rPr>
        <w:t>,4</w:t>
      </w:r>
      <w:proofErr w:type="gramEnd"/>
      <w:r>
        <w:rPr>
          <w:rStyle w:val="st1"/>
          <w:rFonts w:ascii="Arial" w:hAnsi="Arial" w:cs="Arial"/>
          <w:color w:val="545454"/>
        </w:rPr>
        <w:t>-photoproducts.</w:t>
      </w:r>
    </w:p>
    <w:p w:rsidR="00D16DE8" w:rsidRDefault="009541B8" w:rsidP="009541B8">
      <w:pPr>
        <w:rPr>
          <w:rFonts w:ascii="AdvOT1ef757c0" w:hAnsi="AdvOT1ef757c0" w:cs="AdvOT1ef757c0"/>
          <w:color w:val="000000"/>
          <w:sz w:val="20"/>
          <w:szCs w:val="20"/>
        </w:rPr>
      </w:pPr>
      <w:r>
        <w:rPr>
          <w:rFonts w:ascii="AdvOT1ef757c0" w:hAnsi="AdvOT1ef757c0" w:cs="AdvOT1ef757c0"/>
          <w:color w:val="000000"/>
          <w:sz w:val="20"/>
          <w:szCs w:val="20"/>
        </w:rPr>
        <w:t>Eukaryotic microbes have homologous strategies to repair or tolerate DNA</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damage, with a global response involving the expression of genes involved in nucleotide excision</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 xml:space="preserve">repair, and error-prone </w:t>
      </w:r>
      <w:proofErr w:type="spellStart"/>
      <w:r>
        <w:rPr>
          <w:rFonts w:ascii="AdvOT1ef757c0" w:hAnsi="AdvOT1ef757c0" w:cs="AdvOT1ef757c0"/>
          <w:color w:val="000000"/>
          <w:sz w:val="20"/>
          <w:szCs w:val="20"/>
        </w:rPr>
        <w:t>translesion</w:t>
      </w:r>
      <w:proofErr w:type="spellEnd"/>
      <w:r>
        <w:rPr>
          <w:rFonts w:ascii="AdvOT1ef757c0" w:hAnsi="AdvOT1ef757c0" w:cs="AdvOT1ef757c0"/>
          <w:color w:val="000000"/>
          <w:sz w:val="20"/>
          <w:szCs w:val="20"/>
        </w:rPr>
        <w:t xml:space="preserve"> synthesis polymerases such as DNA polymerase zeta,</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and Rev1 [</w:t>
      </w:r>
      <w:r>
        <w:rPr>
          <w:rFonts w:ascii="AdvOT1ef757c0" w:hAnsi="AdvOT1ef757c0" w:cs="AdvOT1ef757c0"/>
          <w:color w:val="2C5CFB"/>
          <w:sz w:val="20"/>
          <w:szCs w:val="20"/>
        </w:rPr>
        <w:t>18</w:t>
      </w:r>
      <w:r>
        <w:rPr>
          <w:rFonts w:ascii="AdvOT1ef757c0" w:hAnsi="AdvOT1ef757c0" w:cs="AdvOT1ef757c0"/>
          <w:color w:val="000000"/>
          <w:sz w:val="20"/>
          <w:szCs w:val="20"/>
        </w:rPr>
        <w:t>]. In both bacteria and fungi, repair of DNA double-strand breaks may occur</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through non-homologous end joining, where cut ends are re-ligated in a manner that may be</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mutagenic, or through homologous recombination, using a homologous sequence as a template</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for repair [</w:t>
      </w:r>
      <w:r>
        <w:rPr>
          <w:rFonts w:ascii="AdvOT1ef757c0" w:hAnsi="AdvOT1ef757c0" w:cs="AdvOT1ef757c0"/>
          <w:color w:val="2C5CFB"/>
          <w:sz w:val="20"/>
          <w:szCs w:val="20"/>
        </w:rPr>
        <w:t>18</w:t>
      </w:r>
      <w:proofErr w:type="gramStart"/>
      <w:r>
        <w:rPr>
          <w:rFonts w:ascii="AdvOT1ef757c0" w:hAnsi="AdvOT1ef757c0" w:cs="AdvOT1ef757c0"/>
          <w:color w:val="000000"/>
          <w:sz w:val="20"/>
          <w:szCs w:val="20"/>
        </w:rPr>
        <w:t>,</w:t>
      </w:r>
      <w:r>
        <w:rPr>
          <w:rFonts w:ascii="AdvOT1ef757c0" w:hAnsi="AdvOT1ef757c0" w:cs="AdvOT1ef757c0"/>
          <w:color w:val="2C5CFB"/>
          <w:sz w:val="20"/>
          <w:szCs w:val="20"/>
        </w:rPr>
        <w:t>19</w:t>
      </w:r>
      <w:proofErr w:type="gramEnd"/>
      <w:r>
        <w:rPr>
          <w:rFonts w:ascii="AdvOT1ef757c0" w:hAnsi="AdvOT1ef757c0" w:cs="AdvOT1ef757c0"/>
          <w:color w:val="000000"/>
          <w:sz w:val="20"/>
          <w:szCs w:val="20"/>
        </w:rPr>
        <w:t>].</w:t>
      </w:r>
    </w:p>
    <w:p w:rsidR="009541B8" w:rsidRDefault="009541B8" w:rsidP="009541B8">
      <w:pPr>
        <w:rPr>
          <w:rFonts w:ascii="AdvOT1ef757c0" w:hAnsi="AdvOT1ef757c0" w:cs="AdvOT1ef757c0"/>
          <w:color w:val="000000"/>
          <w:sz w:val="20"/>
          <w:szCs w:val="20"/>
        </w:rPr>
      </w:pPr>
      <w:r>
        <w:rPr>
          <w:rFonts w:ascii="AdvOT1ef757c0" w:hAnsi="AdvOT1ef757c0" w:cs="AdvOT1ef757c0"/>
          <w:sz w:val="20"/>
          <w:szCs w:val="20"/>
        </w:rPr>
        <w:lastRenderedPageBreak/>
        <w:t>As a result of antimicrobial-induced DNA damage and repair discussed above, as well as additional</w:t>
      </w:r>
      <w:r w:rsidR="00F4076F">
        <w:rPr>
          <w:rFonts w:ascii="AdvOT1ef757c0" w:hAnsi="AdvOT1ef757c0" w:cs="AdvOT1ef757c0"/>
          <w:sz w:val="20"/>
          <w:szCs w:val="20"/>
        </w:rPr>
        <w:t xml:space="preserve"> </w:t>
      </w:r>
      <w:r>
        <w:rPr>
          <w:rFonts w:ascii="AdvOT1ef757c0" w:hAnsi="AdvOT1ef757c0" w:cs="AdvOT1ef757c0"/>
          <w:sz w:val="20"/>
          <w:szCs w:val="20"/>
        </w:rPr>
        <w:t>stress-response pathways, microbial species may experience genomic instability. One example</w:t>
      </w:r>
      <w:r w:rsidR="00F4076F">
        <w:rPr>
          <w:rFonts w:ascii="AdvOT1ef757c0" w:hAnsi="AdvOT1ef757c0" w:cs="AdvOT1ef757c0"/>
          <w:sz w:val="20"/>
          <w:szCs w:val="20"/>
        </w:rPr>
        <w:t xml:space="preserve"> </w:t>
      </w:r>
      <w:r>
        <w:rPr>
          <w:rFonts w:ascii="AdvOT1ef757c0" w:hAnsi="AdvOT1ef757c0" w:cs="AdvOT1ef757c0"/>
          <w:sz w:val="20"/>
          <w:szCs w:val="20"/>
        </w:rPr>
        <w:t>of this is an increase in the number of single nucleotide polymorphisms (SNPs) in</w:t>
      </w:r>
      <w:r w:rsidR="00F4076F">
        <w:rPr>
          <w:rFonts w:ascii="AdvOT1ef757c0" w:hAnsi="AdvOT1ef757c0" w:cs="AdvOT1ef757c0"/>
          <w:sz w:val="20"/>
          <w:szCs w:val="20"/>
        </w:rPr>
        <w:t xml:space="preserve"> </w:t>
      </w:r>
      <w:r>
        <w:rPr>
          <w:rFonts w:ascii="AdvOT1ef757c0" w:hAnsi="AdvOT1ef757c0" w:cs="AdvOT1ef757c0"/>
          <w:sz w:val="20"/>
          <w:szCs w:val="20"/>
        </w:rPr>
        <w:t>response to antimicrobial treatment</w:t>
      </w:r>
      <w:r w:rsidR="003E32E9">
        <w:rPr>
          <w:rFonts w:ascii="AdvOT1ef757c0" w:hAnsi="AdvOT1ef757c0" w:cs="AdvOT1ef757c0"/>
          <w:sz w:val="20"/>
          <w:szCs w:val="20"/>
        </w:rPr>
        <w:t xml:space="preserve"> </w:t>
      </w:r>
      <w:r w:rsidR="003E32E9">
        <w:rPr>
          <w:rFonts w:ascii="AdvOT1ef757c0" w:hAnsi="AdvOT1ef757c0" w:cs="AdvOT1ef757c0"/>
          <w:color w:val="000000"/>
          <w:sz w:val="20"/>
          <w:szCs w:val="20"/>
        </w:rPr>
        <w:t>(</w:t>
      </w:r>
      <w:r w:rsidR="003E32E9">
        <w:rPr>
          <w:rFonts w:ascii="AdvOT1ef757c0" w:hAnsi="AdvOT1ef757c0" w:cs="AdvOT1ef757c0"/>
          <w:color w:val="2C5CFB"/>
          <w:sz w:val="20"/>
          <w:szCs w:val="20"/>
        </w:rPr>
        <w:t>Fig. 1</w:t>
      </w:r>
      <w:r w:rsidR="003E32E9">
        <w:rPr>
          <w:rFonts w:ascii="AdvOT1ef757c0" w:hAnsi="AdvOT1ef757c0" w:cs="AdvOT1ef757c0"/>
          <w:color w:val="000000"/>
          <w:sz w:val="20"/>
          <w:szCs w:val="20"/>
        </w:rPr>
        <w:t>).</w:t>
      </w:r>
      <w:r>
        <w:rPr>
          <w:rFonts w:ascii="AdvOT1ef757c0" w:hAnsi="AdvOT1ef757c0" w:cs="AdvOT1ef757c0"/>
          <w:sz w:val="20"/>
          <w:szCs w:val="20"/>
        </w:rPr>
        <w:t xml:space="preserve"> The mechanisms by which this occurs can broadly</w:t>
      </w:r>
      <w:r w:rsidR="00F4076F">
        <w:rPr>
          <w:rFonts w:ascii="AdvOT1ef757c0" w:hAnsi="AdvOT1ef757c0" w:cs="AdvOT1ef757c0"/>
          <w:sz w:val="20"/>
          <w:szCs w:val="20"/>
        </w:rPr>
        <w:t xml:space="preserve"> </w:t>
      </w:r>
      <w:r>
        <w:rPr>
          <w:rFonts w:ascii="AdvOT1ef757c0" w:hAnsi="AdvOT1ef757c0" w:cs="AdvOT1ef757c0"/>
          <w:sz w:val="20"/>
          <w:szCs w:val="20"/>
        </w:rPr>
        <w:t>be categorized into DNA damage response pathways, and other stress response</w:t>
      </w:r>
      <w:r w:rsidR="00F4076F">
        <w:rPr>
          <w:rFonts w:ascii="AdvOT1ef757c0" w:hAnsi="AdvOT1ef757c0" w:cs="AdvOT1ef757c0"/>
          <w:sz w:val="20"/>
          <w:szCs w:val="20"/>
        </w:rPr>
        <w:t xml:space="preserve"> </w:t>
      </w:r>
      <w:r>
        <w:rPr>
          <w:rFonts w:ascii="AdvOT1ef757c0" w:hAnsi="AdvOT1ef757c0" w:cs="AdvOT1ef757c0"/>
          <w:sz w:val="20"/>
          <w:szCs w:val="20"/>
        </w:rPr>
        <w:t>signaling pathways.</w:t>
      </w:r>
    </w:p>
    <w:p w:rsidR="009541B8" w:rsidRDefault="003E32E9" w:rsidP="009724D7">
      <w:pPr>
        <w:autoSpaceDE w:val="0"/>
        <w:autoSpaceDN w:val="0"/>
        <w:adjustRightInd w:val="0"/>
        <w:spacing w:after="0" w:line="240" w:lineRule="auto"/>
        <w:rPr>
          <w:rFonts w:ascii="AdvOT1ef757c0" w:hAnsi="AdvOT1ef757c0" w:cs="AdvOT1ef757c0"/>
          <w:color w:val="000000"/>
          <w:sz w:val="20"/>
          <w:szCs w:val="20"/>
        </w:rPr>
      </w:pPr>
      <w:r>
        <w:rPr>
          <w:rFonts w:ascii="AdvOT1ef757c0" w:hAnsi="AdvOT1ef757c0" w:cs="AdvOT1ef757c0"/>
          <w:sz w:val="20"/>
          <w:szCs w:val="20"/>
        </w:rPr>
        <w:t>Up-regulation of</w:t>
      </w:r>
      <w:r w:rsidR="009724D7">
        <w:rPr>
          <w:rFonts w:ascii="AdvOT1ef757c0" w:hAnsi="AdvOT1ef757c0" w:cs="AdvOT1ef757c0"/>
          <w:sz w:val="20"/>
          <w:szCs w:val="20"/>
        </w:rPr>
        <w:t xml:space="preserve"> </w:t>
      </w:r>
      <w:r>
        <w:rPr>
          <w:rFonts w:ascii="AdvOT1ef757c0" w:hAnsi="AdvOT1ef757c0" w:cs="AdvOT1ef757c0"/>
          <w:sz w:val="20"/>
          <w:szCs w:val="20"/>
        </w:rPr>
        <w:t xml:space="preserve">general stress response pathways similarly mediate stress-induced mutations in fungal species. In the model yeast </w:t>
      </w:r>
      <w:r>
        <w:rPr>
          <w:rFonts w:ascii="AdvOT7d6df7ab.I" w:hAnsi="AdvOT7d6df7ab.I" w:cs="AdvOT7d6df7ab.I"/>
          <w:sz w:val="20"/>
          <w:szCs w:val="20"/>
        </w:rPr>
        <w:t>Saccharomyces cerevisiae</w:t>
      </w:r>
      <w:r>
        <w:rPr>
          <w:rFonts w:ascii="AdvOT1ef757c0" w:hAnsi="AdvOT1ef757c0" w:cs="AdvOT1ef757c0"/>
          <w:sz w:val="20"/>
          <w:szCs w:val="20"/>
        </w:rPr>
        <w:t>, stress triggers an environmental stress response</w:t>
      </w:r>
      <w:r w:rsidR="00F4076F">
        <w:rPr>
          <w:rFonts w:ascii="AdvOT1ef757c0" w:hAnsi="AdvOT1ef757c0" w:cs="AdvOT1ef757c0"/>
          <w:sz w:val="20"/>
          <w:szCs w:val="20"/>
        </w:rPr>
        <w:t xml:space="preserve"> </w:t>
      </w:r>
      <w:r>
        <w:rPr>
          <w:rFonts w:ascii="AdvOT1ef757c0" w:hAnsi="AdvOT1ef757c0" w:cs="AdvOT1ef757c0"/>
          <w:sz w:val="20"/>
          <w:szCs w:val="20"/>
        </w:rPr>
        <w:t>pathway, mediated through transcriptional regulators Msn2 and Msn4.</w:t>
      </w:r>
      <w:r w:rsidR="0020333C">
        <w:rPr>
          <w:rFonts w:ascii="AdvOT1ef757c0" w:hAnsi="AdvOT1ef757c0" w:cs="AdvOT1ef757c0"/>
          <w:sz w:val="20"/>
          <w:szCs w:val="20"/>
        </w:rPr>
        <w:t xml:space="preserve"> </w:t>
      </w:r>
      <w:r w:rsidR="0020333C">
        <w:rPr>
          <w:rFonts w:ascii="AdvOT1ef757c0" w:hAnsi="AdvOT1ef757c0" w:cs="AdvOT1ef757c0"/>
          <w:color w:val="000000"/>
          <w:sz w:val="20"/>
          <w:szCs w:val="20"/>
        </w:rPr>
        <w:t>Similar to what is observed</w:t>
      </w:r>
      <w:r w:rsidR="00F4076F">
        <w:rPr>
          <w:rFonts w:ascii="AdvOT1ef757c0" w:hAnsi="AdvOT1ef757c0" w:cs="AdvOT1ef757c0"/>
          <w:color w:val="000000"/>
          <w:sz w:val="20"/>
          <w:szCs w:val="20"/>
        </w:rPr>
        <w:t xml:space="preserve"> </w:t>
      </w:r>
      <w:r w:rsidR="0020333C">
        <w:rPr>
          <w:rFonts w:ascii="AdvOT1ef757c0" w:hAnsi="AdvOT1ef757c0" w:cs="AdvOT1ef757c0"/>
          <w:color w:val="000000"/>
          <w:sz w:val="20"/>
          <w:szCs w:val="20"/>
        </w:rPr>
        <w:t xml:space="preserve">in bacteria, </w:t>
      </w:r>
      <w:r w:rsidR="0020333C" w:rsidRPr="006B15E1">
        <w:rPr>
          <w:rFonts w:ascii="AdvOT1ef757c0" w:hAnsi="AdvOT1ef757c0" w:cs="AdvOT1ef757c0"/>
          <w:color w:val="000000"/>
          <w:sz w:val="20"/>
          <w:szCs w:val="20"/>
          <w:highlight w:val="yellow"/>
        </w:rPr>
        <w:t>these transcription factors</w:t>
      </w:r>
      <w:r w:rsidR="0020333C">
        <w:rPr>
          <w:rFonts w:ascii="AdvOT1ef757c0" w:hAnsi="AdvOT1ef757c0" w:cs="AdvOT1ef757c0"/>
          <w:color w:val="000000"/>
          <w:sz w:val="20"/>
          <w:szCs w:val="20"/>
        </w:rPr>
        <w:t xml:space="preserve"> activate downstream error-prone </w:t>
      </w:r>
      <w:proofErr w:type="spellStart"/>
      <w:r w:rsidR="0020333C">
        <w:rPr>
          <w:rFonts w:ascii="AdvOT1ef757c0" w:hAnsi="AdvOT1ef757c0" w:cs="AdvOT1ef757c0"/>
          <w:color w:val="000000"/>
          <w:sz w:val="20"/>
          <w:szCs w:val="20"/>
        </w:rPr>
        <w:t>translesion</w:t>
      </w:r>
      <w:proofErr w:type="spellEnd"/>
      <w:r w:rsidR="0020333C">
        <w:rPr>
          <w:rFonts w:ascii="AdvOT1ef757c0" w:hAnsi="AdvOT1ef757c0" w:cs="AdvOT1ef757c0"/>
          <w:color w:val="000000"/>
          <w:sz w:val="20"/>
          <w:szCs w:val="20"/>
        </w:rPr>
        <w:t xml:space="preserve"> synthesis</w:t>
      </w:r>
      <w:r w:rsidR="00F4076F">
        <w:rPr>
          <w:rFonts w:ascii="AdvOT1ef757c0" w:hAnsi="AdvOT1ef757c0" w:cs="AdvOT1ef757c0"/>
          <w:color w:val="000000"/>
          <w:sz w:val="20"/>
          <w:szCs w:val="20"/>
        </w:rPr>
        <w:t xml:space="preserve"> </w:t>
      </w:r>
      <w:r w:rsidR="0020333C">
        <w:rPr>
          <w:rFonts w:ascii="AdvOT1ef757c0" w:hAnsi="AdvOT1ef757c0" w:cs="AdvOT1ef757c0"/>
          <w:color w:val="000000"/>
          <w:sz w:val="20"/>
          <w:szCs w:val="20"/>
        </w:rPr>
        <w:t>via the Rev1 polymerase, thus increasing mutagenesis [</w:t>
      </w:r>
      <w:r w:rsidR="0020333C">
        <w:rPr>
          <w:rFonts w:ascii="AdvOT1ef757c0" w:hAnsi="AdvOT1ef757c0" w:cs="AdvOT1ef757c0"/>
          <w:color w:val="2C5CFB"/>
          <w:sz w:val="20"/>
          <w:szCs w:val="20"/>
        </w:rPr>
        <w:t>25</w:t>
      </w:r>
      <w:r w:rsidR="0020333C">
        <w:rPr>
          <w:rFonts w:ascii="AdvOT1ef757c0" w:hAnsi="AdvOT1ef757c0" w:cs="AdvOT1ef757c0"/>
          <w:color w:val="000000"/>
          <w:sz w:val="20"/>
          <w:szCs w:val="20"/>
        </w:rPr>
        <w:t>]. While antifungal-induced</w:t>
      </w:r>
      <w:r w:rsidR="00F4076F">
        <w:rPr>
          <w:rFonts w:ascii="AdvOT1ef757c0" w:hAnsi="AdvOT1ef757c0" w:cs="AdvOT1ef757c0"/>
          <w:color w:val="000000"/>
          <w:sz w:val="20"/>
          <w:szCs w:val="20"/>
        </w:rPr>
        <w:t xml:space="preserve"> </w:t>
      </w:r>
      <w:r w:rsidR="0020333C" w:rsidRPr="006B15E1">
        <w:rPr>
          <w:rFonts w:ascii="AdvOT1ef757c0" w:hAnsi="AdvOT1ef757c0" w:cs="AdvOT1ef757c0"/>
          <w:color w:val="000000"/>
          <w:sz w:val="20"/>
          <w:szCs w:val="20"/>
          <w:highlight w:val="yellow"/>
        </w:rPr>
        <w:t>SNP mutagenesis</w:t>
      </w:r>
      <w:r w:rsidR="0020333C">
        <w:rPr>
          <w:rFonts w:ascii="AdvOT1ef757c0" w:hAnsi="AdvOT1ef757c0" w:cs="AdvOT1ef757c0"/>
          <w:color w:val="000000"/>
          <w:sz w:val="20"/>
          <w:szCs w:val="20"/>
        </w:rPr>
        <w:t xml:space="preserve"> has not been well documented in fungal pathogens, analysis of </w:t>
      </w:r>
      <w:r w:rsidR="0020333C">
        <w:rPr>
          <w:rFonts w:ascii="AdvOT7d6df7ab.I" w:hAnsi="AdvOT7d6df7ab.I" w:cs="AdvOT7d6df7ab.I"/>
          <w:color w:val="000000"/>
          <w:sz w:val="20"/>
          <w:szCs w:val="20"/>
        </w:rPr>
        <w:t>S</w:t>
      </w:r>
      <w:r w:rsidR="0020333C">
        <w:rPr>
          <w:rFonts w:ascii="AdvOT1ef757c0" w:hAnsi="AdvOT1ef757c0" w:cs="AdvOT1ef757c0"/>
          <w:color w:val="000000"/>
          <w:sz w:val="20"/>
          <w:szCs w:val="20"/>
        </w:rPr>
        <w:t xml:space="preserve">. </w:t>
      </w:r>
      <w:r w:rsidR="0020333C">
        <w:rPr>
          <w:rFonts w:ascii="AdvOT7d6df7ab.I" w:hAnsi="AdvOT7d6df7ab.I" w:cs="AdvOT7d6df7ab.I"/>
          <w:color w:val="000000"/>
          <w:sz w:val="20"/>
          <w:szCs w:val="20"/>
        </w:rPr>
        <w:t>cerevisiae</w:t>
      </w:r>
      <w:r w:rsidR="0020333C">
        <w:rPr>
          <w:rFonts w:ascii="AdvOT1ef757c0" w:hAnsi="AdvOT1ef757c0" w:cs="AdvOT1ef757c0"/>
          <w:color w:val="000000"/>
          <w:sz w:val="20"/>
          <w:szCs w:val="20"/>
        </w:rPr>
        <w:t>,</w:t>
      </w:r>
      <w:r w:rsidR="00F4076F">
        <w:rPr>
          <w:rFonts w:ascii="AdvOT1ef757c0" w:hAnsi="AdvOT1ef757c0" w:cs="AdvOT1ef757c0"/>
          <w:color w:val="000000"/>
          <w:sz w:val="20"/>
          <w:szCs w:val="20"/>
        </w:rPr>
        <w:t xml:space="preserve"> </w:t>
      </w:r>
      <w:r w:rsidR="0020333C">
        <w:rPr>
          <w:rFonts w:ascii="AdvOT1ef757c0" w:hAnsi="AdvOT1ef757c0" w:cs="AdvOT1ef757c0"/>
          <w:color w:val="000000"/>
          <w:sz w:val="20"/>
          <w:szCs w:val="20"/>
        </w:rPr>
        <w:t>with conserved regulatory machinery with pathogenic fungi [</w:t>
      </w:r>
      <w:r w:rsidR="0020333C">
        <w:rPr>
          <w:rFonts w:ascii="AdvOT1ef757c0" w:hAnsi="AdvOT1ef757c0" w:cs="AdvOT1ef757c0"/>
          <w:color w:val="2C5CFB"/>
          <w:sz w:val="20"/>
          <w:szCs w:val="20"/>
        </w:rPr>
        <w:t>26</w:t>
      </w:r>
      <w:r w:rsidR="0020333C">
        <w:rPr>
          <w:rFonts w:ascii="AdvOT1ef757c0" w:hAnsi="AdvOT1ef757c0" w:cs="AdvOT1ef757c0"/>
          <w:color w:val="000000"/>
          <w:sz w:val="20"/>
          <w:szCs w:val="20"/>
        </w:rPr>
        <w:t>], may provide novel mechanistic</w:t>
      </w:r>
      <w:r w:rsidR="00F4076F">
        <w:rPr>
          <w:rFonts w:ascii="AdvOT1ef757c0" w:hAnsi="AdvOT1ef757c0" w:cs="AdvOT1ef757c0"/>
          <w:color w:val="000000"/>
          <w:sz w:val="20"/>
          <w:szCs w:val="20"/>
        </w:rPr>
        <w:t xml:space="preserve"> </w:t>
      </w:r>
      <w:r w:rsidR="0020333C">
        <w:rPr>
          <w:rFonts w:ascii="AdvOT1ef757c0" w:hAnsi="AdvOT1ef757c0" w:cs="AdvOT1ef757c0"/>
          <w:color w:val="000000"/>
          <w:sz w:val="20"/>
          <w:szCs w:val="20"/>
        </w:rPr>
        <w:t>insight for fungal pathogens.</w:t>
      </w:r>
    </w:p>
    <w:p w:rsidR="0020333C" w:rsidRDefault="0020333C" w:rsidP="0020333C">
      <w:pPr>
        <w:rPr>
          <w:rFonts w:ascii="AdvOT1ef757c0" w:hAnsi="AdvOT1ef757c0" w:cs="AdvOT1ef757c0"/>
          <w:sz w:val="20"/>
          <w:szCs w:val="20"/>
        </w:rPr>
      </w:pPr>
      <w:r>
        <w:rPr>
          <w:rFonts w:ascii="AdvOT1ef757c0" w:hAnsi="AdvOT1ef757c0" w:cs="AdvOT1ef757c0"/>
          <w:color w:val="000000"/>
          <w:sz w:val="20"/>
          <w:szCs w:val="20"/>
        </w:rPr>
        <w:t>For both bacterial and fungal pathogens, antimicrobial</w:t>
      </w:r>
      <w:r w:rsidR="006B15E1">
        <w:rPr>
          <w:rFonts w:ascii="AdvOT1ef757c0" w:hAnsi="AdvOT1ef757c0" w:cs="AdvOT1ef757c0"/>
          <w:color w:val="000000"/>
          <w:sz w:val="20"/>
          <w:szCs w:val="20"/>
        </w:rPr>
        <w:t xml:space="preserve"> </w:t>
      </w:r>
      <w:r>
        <w:rPr>
          <w:rFonts w:ascii="AdvOT1ef757c0" w:hAnsi="AdvOT1ef757c0" w:cs="AdvOT1ef757c0"/>
          <w:color w:val="000000"/>
          <w:sz w:val="20"/>
          <w:szCs w:val="20"/>
        </w:rPr>
        <w:t>induced</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mutagenesis has the capability to accelerate the acquisition of drug resistance and</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multi-drug resistance by increasing genetic and phenotypic diversity within the population</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w:t>
      </w:r>
      <w:r>
        <w:rPr>
          <w:rFonts w:ascii="AdvOT1ef757c0" w:hAnsi="AdvOT1ef757c0" w:cs="AdvOT1ef757c0"/>
          <w:color w:val="2C5CFB"/>
          <w:sz w:val="20"/>
          <w:szCs w:val="20"/>
        </w:rPr>
        <w:t>27</w:t>
      </w:r>
      <w:r>
        <w:rPr>
          <w:rFonts w:ascii="AdvOT1ef757c0" w:hAnsi="AdvOT1ef757c0" w:cs="AdvOT1ef757c0"/>
          <w:color w:val="000000"/>
          <w:sz w:val="20"/>
          <w:szCs w:val="20"/>
        </w:rPr>
        <w:t>], with important consequences for clinical use of antibiotics.</w:t>
      </w:r>
    </w:p>
    <w:p w:rsidR="00D16DE8" w:rsidRDefault="0020333C" w:rsidP="0020333C">
      <w:pPr>
        <w:rPr>
          <w:rFonts w:ascii="AdvOT1ef757c0" w:hAnsi="AdvOT1ef757c0" w:cs="AdvOT1ef757c0"/>
          <w:sz w:val="20"/>
          <w:szCs w:val="20"/>
        </w:rPr>
      </w:pPr>
      <w:r w:rsidRPr="0020333C">
        <w:rPr>
          <w:rFonts w:ascii="AdvOT1ef757c0" w:hAnsi="AdvOT1ef757c0" w:cs="AdvOT1ef757c0"/>
          <w:b/>
          <w:sz w:val="20"/>
          <w:szCs w:val="20"/>
        </w:rPr>
        <w:t>Large-Scale Genomic Alterations Induced by Antimicrobial Treatmen</w:t>
      </w:r>
      <w:r w:rsidRPr="0020333C">
        <w:rPr>
          <w:rFonts w:ascii="AdvOT1ef757c0" w:hAnsi="AdvOT1ef757c0" w:cs="AdvOT1ef757c0"/>
          <w:sz w:val="20"/>
          <w:szCs w:val="20"/>
        </w:rPr>
        <w:t>t</w:t>
      </w:r>
    </w:p>
    <w:p w:rsidR="00D16DE8" w:rsidRDefault="0020333C" w:rsidP="0020333C">
      <w:pPr>
        <w:rPr>
          <w:rFonts w:ascii="AdvOT1ef757c0" w:hAnsi="AdvOT1ef757c0" w:cs="AdvOT1ef757c0"/>
          <w:sz w:val="20"/>
          <w:szCs w:val="20"/>
        </w:rPr>
      </w:pPr>
      <w:r>
        <w:rPr>
          <w:rFonts w:ascii="AdvOT1ef757c0" w:hAnsi="AdvOT1ef757c0" w:cs="AdvOT1ef757c0"/>
          <w:sz w:val="20"/>
          <w:szCs w:val="20"/>
        </w:rPr>
        <w:t xml:space="preserve">In addition to nucleotide mutagenesis, treatment with </w:t>
      </w:r>
      <w:proofErr w:type="spellStart"/>
      <w:r>
        <w:rPr>
          <w:rFonts w:ascii="AdvOT1ef757c0" w:hAnsi="AdvOT1ef757c0" w:cs="AdvOT1ef757c0"/>
          <w:sz w:val="20"/>
          <w:szCs w:val="20"/>
        </w:rPr>
        <w:t>sublethal</w:t>
      </w:r>
      <w:proofErr w:type="spellEnd"/>
      <w:r>
        <w:rPr>
          <w:rFonts w:ascii="AdvOT1ef757c0" w:hAnsi="AdvOT1ef757c0" w:cs="AdvOT1ef757c0"/>
          <w:sz w:val="20"/>
          <w:szCs w:val="20"/>
        </w:rPr>
        <w:t xml:space="preserve"> antimicrobial agents can also</w:t>
      </w:r>
      <w:r w:rsidR="00F4076F">
        <w:rPr>
          <w:rFonts w:ascii="AdvOT1ef757c0" w:hAnsi="AdvOT1ef757c0" w:cs="AdvOT1ef757c0"/>
          <w:sz w:val="20"/>
          <w:szCs w:val="20"/>
        </w:rPr>
        <w:t xml:space="preserve"> </w:t>
      </w:r>
      <w:r>
        <w:rPr>
          <w:rFonts w:ascii="AdvOT1ef757c0" w:hAnsi="AdvOT1ef757c0" w:cs="AdvOT1ef757c0"/>
          <w:sz w:val="20"/>
          <w:szCs w:val="20"/>
        </w:rPr>
        <w:t>promote larger-scale genomic rearrangements in microbial pathogens. This includes movement</w:t>
      </w:r>
      <w:r w:rsidR="00F4076F">
        <w:rPr>
          <w:rFonts w:ascii="AdvOT1ef757c0" w:hAnsi="AdvOT1ef757c0" w:cs="AdvOT1ef757c0"/>
          <w:sz w:val="20"/>
          <w:szCs w:val="20"/>
        </w:rPr>
        <w:t xml:space="preserve"> </w:t>
      </w:r>
      <w:r>
        <w:rPr>
          <w:rFonts w:ascii="AdvOT1ef757c0" w:hAnsi="AdvOT1ef757c0" w:cs="AdvOT1ef757c0"/>
          <w:sz w:val="20"/>
          <w:szCs w:val="20"/>
        </w:rPr>
        <w:t>of mobile genetic elements, chromosomal rearrangements, and whole chromosome aneuploidies.</w:t>
      </w:r>
    </w:p>
    <w:p w:rsidR="001E1F25" w:rsidRDefault="001E1F25" w:rsidP="001E1F25">
      <w:pPr>
        <w:rPr>
          <w:rFonts w:ascii="AdvOT1ef757c0" w:hAnsi="AdvOT1ef757c0" w:cs="AdvOT1ef757c0"/>
          <w:sz w:val="20"/>
          <w:szCs w:val="20"/>
        </w:rPr>
      </w:pPr>
      <w:r>
        <w:rPr>
          <w:rFonts w:ascii="AdvOT1ef757c0" w:hAnsi="AdvOT1ef757c0" w:cs="AdvOT1ef757c0"/>
          <w:sz w:val="20"/>
          <w:szCs w:val="20"/>
        </w:rPr>
        <w:t>Thus antibiotic</w:t>
      </w:r>
      <w:r w:rsidR="00F4076F">
        <w:rPr>
          <w:rFonts w:ascii="AdvOT1ef757c0" w:hAnsi="AdvOT1ef757c0" w:cs="AdvOT1ef757c0"/>
          <w:sz w:val="20"/>
          <w:szCs w:val="20"/>
        </w:rPr>
        <w:t xml:space="preserve"> </w:t>
      </w:r>
      <w:r>
        <w:rPr>
          <w:rFonts w:ascii="AdvOT1ef757c0" w:hAnsi="AdvOT1ef757c0" w:cs="AdvOT1ef757c0"/>
          <w:sz w:val="20"/>
          <w:szCs w:val="20"/>
        </w:rPr>
        <w:t>treatment can both induce movement of antibiotic-encoding mobile elements, and stimulate</w:t>
      </w:r>
      <w:r w:rsidR="00F4076F">
        <w:rPr>
          <w:rFonts w:ascii="AdvOT1ef757c0" w:hAnsi="AdvOT1ef757c0" w:cs="AdvOT1ef757c0"/>
          <w:sz w:val="20"/>
          <w:szCs w:val="20"/>
        </w:rPr>
        <w:t xml:space="preserve"> </w:t>
      </w:r>
      <w:r>
        <w:rPr>
          <w:rFonts w:ascii="AdvOT1ef757c0" w:hAnsi="AdvOT1ef757c0" w:cs="AdvOT1ef757c0"/>
          <w:sz w:val="20"/>
          <w:szCs w:val="20"/>
        </w:rPr>
        <w:t xml:space="preserve">cellular competence, which together can strongly promote the acquisition and spread of </w:t>
      </w:r>
      <w:r w:rsidRPr="00657E70">
        <w:rPr>
          <w:rFonts w:ascii="AdvOT1ef757c0" w:hAnsi="AdvOT1ef757c0" w:cs="AdvOT1ef757c0"/>
          <w:sz w:val="20"/>
          <w:szCs w:val="20"/>
          <w:highlight w:val="green"/>
        </w:rPr>
        <w:t>genetic</w:t>
      </w:r>
      <w:r w:rsidR="00F4076F" w:rsidRPr="00657E70">
        <w:rPr>
          <w:rFonts w:ascii="AdvOT1ef757c0" w:hAnsi="AdvOT1ef757c0" w:cs="AdvOT1ef757c0"/>
          <w:sz w:val="20"/>
          <w:szCs w:val="20"/>
          <w:highlight w:val="green"/>
        </w:rPr>
        <w:t xml:space="preserve"> </w:t>
      </w:r>
      <w:r w:rsidRPr="00657E70">
        <w:rPr>
          <w:rFonts w:ascii="AdvOT1ef757c0" w:hAnsi="AdvOT1ef757c0" w:cs="AdvOT1ef757c0"/>
          <w:sz w:val="20"/>
          <w:szCs w:val="20"/>
          <w:highlight w:val="green"/>
        </w:rPr>
        <w:t>resistance determinants</w:t>
      </w:r>
      <w:r>
        <w:rPr>
          <w:rFonts w:ascii="AdvOT1ef757c0" w:hAnsi="AdvOT1ef757c0" w:cs="AdvOT1ef757c0"/>
          <w:sz w:val="20"/>
          <w:szCs w:val="20"/>
        </w:rPr>
        <w:t xml:space="preserve"> within populations.</w:t>
      </w:r>
    </w:p>
    <w:p w:rsidR="001E1F25" w:rsidRDefault="001E1F25" w:rsidP="001E1F25">
      <w:pPr>
        <w:rPr>
          <w:rFonts w:ascii="AdvOT1ef757c0" w:hAnsi="AdvOT1ef757c0" w:cs="AdvOT1ef757c0"/>
          <w:sz w:val="20"/>
          <w:szCs w:val="20"/>
        </w:rPr>
      </w:pPr>
    </w:p>
    <w:p w:rsidR="001E1F25" w:rsidRDefault="001E1F25" w:rsidP="001E1F25">
      <w:pPr>
        <w:rPr>
          <w:rFonts w:ascii="AdvOT1ef757c0" w:hAnsi="AdvOT1ef757c0" w:cs="AdvOT1ef757c0"/>
          <w:color w:val="000000"/>
          <w:sz w:val="20"/>
          <w:szCs w:val="20"/>
        </w:rPr>
      </w:pPr>
      <w:r>
        <w:rPr>
          <w:rFonts w:ascii="AdvOT1ef757c0" w:hAnsi="AdvOT1ef757c0" w:cs="AdvOT1ef757c0"/>
          <w:color w:val="000000"/>
          <w:sz w:val="20"/>
          <w:szCs w:val="20"/>
        </w:rPr>
        <w:t>Although horizontal gene transfer is rarely observed amongst human fungal pathogens,</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treatment with antifungals can promote alternative forms of genomic instability, via gross</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chromosomal rearrangements. The antifungal fluconazole, which targets fungal membrane integrity,</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also leads to the up-regulation of cellular stress response pathways [</w:t>
      </w:r>
      <w:r>
        <w:rPr>
          <w:rFonts w:ascii="AdvOT1ef757c0" w:hAnsi="AdvOT1ef757c0" w:cs="AdvOT1ef757c0"/>
          <w:color w:val="2C5CFB"/>
          <w:sz w:val="20"/>
          <w:szCs w:val="20"/>
        </w:rPr>
        <w:t>29</w:t>
      </w:r>
      <w:r>
        <w:rPr>
          <w:rFonts w:ascii="AdvOT1ef757c0" w:hAnsi="AdvOT1ef757c0" w:cs="AdvOT1ef757c0"/>
          <w:color w:val="000000"/>
          <w:sz w:val="20"/>
          <w:szCs w:val="20"/>
        </w:rPr>
        <w:t>], and promotes</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genomic rearrangements [</w:t>
      </w:r>
      <w:r>
        <w:rPr>
          <w:rFonts w:ascii="AdvOT1ef757c0" w:hAnsi="AdvOT1ef757c0" w:cs="AdvOT1ef757c0"/>
          <w:color w:val="2C5CFB"/>
          <w:sz w:val="20"/>
          <w:szCs w:val="20"/>
        </w:rPr>
        <w:t>4</w:t>
      </w:r>
      <w:r>
        <w:rPr>
          <w:rFonts w:ascii="AdvOT1ef757c0" w:hAnsi="AdvOT1ef757c0" w:cs="AdvOT1ef757c0"/>
          <w:color w:val="000000"/>
          <w:sz w:val="20"/>
          <w:szCs w:val="20"/>
        </w:rPr>
        <w:t xml:space="preserve">]. For the </w:t>
      </w:r>
      <w:r w:rsidRPr="00551990">
        <w:rPr>
          <w:rFonts w:ascii="AdvOT1ef757c0" w:hAnsi="AdvOT1ef757c0" w:cs="AdvOT1ef757c0"/>
          <w:color w:val="000000"/>
          <w:sz w:val="20"/>
          <w:szCs w:val="20"/>
          <w:highlight w:val="yellow"/>
        </w:rPr>
        <w:t>diploid fungal</w:t>
      </w:r>
      <w:r>
        <w:rPr>
          <w:rFonts w:ascii="AdvOT1ef757c0" w:hAnsi="AdvOT1ef757c0" w:cs="AdvOT1ef757c0"/>
          <w:color w:val="000000"/>
          <w:sz w:val="20"/>
          <w:szCs w:val="20"/>
        </w:rPr>
        <w:t xml:space="preserve"> pathogen </w:t>
      </w:r>
      <w:r>
        <w:rPr>
          <w:rFonts w:ascii="AdvOT7d6df7ab.I" w:hAnsi="AdvOT7d6df7ab.I" w:cs="AdvOT7d6df7ab.I"/>
          <w:color w:val="000000"/>
          <w:sz w:val="20"/>
          <w:szCs w:val="20"/>
        </w:rPr>
        <w:t xml:space="preserve">Candida </w:t>
      </w:r>
      <w:proofErr w:type="spellStart"/>
      <w:r>
        <w:rPr>
          <w:rFonts w:ascii="AdvOT7d6df7ab.I" w:hAnsi="AdvOT7d6df7ab.I" w:cs="AdvOT7d6df7ab.I"/>
          <w:color w:val="000000"/>
          <w:sz w:val="20"/>
          <w:szCs w:val="20"/>
        </w:rPr>
        <w:t>albicans</w:t>
      </w:r>
      <w:proofErr w:type="spellEnd"/>
      <w:r>
        <w:rPr>
          <w:rFonts w:ascii="AdvOT1ef757c0" w:hAnsi="AdvOT1ef757c0" w:cs="AdvOT1ef757c0"/>
          <w:color w:val="000000"/>
          <w:sz w:val="20"/>
          <w:szCs w:val="20"/>
        </w:rPr>
        <w:t xml:space="preserve">, </w:t>
      </w:r>
      <w:proofErr w:type="spellStart"/>
      <w:r>
        <w:rPr>
          <w:rFonts w:ascii="AdvOT1ef757c0" w:hAnsi="AdvOT1ef757c0" w:cs="AdvOT1ef757c0"/>
          <w:color w:val="000000"/>
          <w:sz w:val="20"/>
          <w:szCs w:val="20"/>
        </w:rPr>
        <w:t>sublethal</w:t>
      </w:r>
      <w:proofErr w:type="spellEnd"/>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doses of fluconazole promote increased rates of loss of heterozygosity (LOH) [</w:t>
      </w:r>
      <w:r>
        <w:rPr>
          <w:rFonts w:ascii="AdvOT1ef757c0" w:hAnsi="AdvOT1ef757c0" w:cs="AdvOT1ef757c0"/>
          <w:color w:val="2C5CFB"/>
          <w:sz w:val="20"/>
          <w:szCs w:val="20"/>
        </w:rPr>
        <w:t>34</w:t>
      </w:r>
      <w:r>
        <w:rPr>
          <w:rFonts w:ascii="AdvOT1ef757c0" w:hAnsi="AdvOT1ef757c0" w:cs="AdvOT1ef757c0"/>
          <w:color w:val="000000"/>
          <w:sz w:val="20"/>
          <w:szCs w:val="20"/>
        </w:rPr>
        <w:t>], a form of</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gross chromosomal rearrangement in diploid organisms that results in the loss of genetic heterozygosity</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at a particular locus or throughout an entire chromosome (</w:t>
      </w:r>
      <w:r>
        <w:rPr>
          <w:rFonts w:ascii="AdvOT1ef757c0" w:hAnsi="AdvOT1ef757c0" w:cs="AdvOT1ef757c0"/>
          <w:color w:val="2C5CFB"/>
          <w:sz w:val="20"/>
          <w:szCs w:val="20"/>
        </w:rPr>
        <w:t>Fig. 1</w:t>
      </w:r>
      <w:r>
        <w:rPr>
          <w:rFonts w:ascii="AdvOT1ef757c0" w:hAnsi="AdvOT1ef757c0" w:cs="AdvOT1ef757c0"/>
          <w:color w:val="000000"/>
          <w:sz w:val="20"/>
          <w:szCs w:val="20"/>
        </w:rPr>
        <w:t>). Furthermore,</w:t>
      </w:r>
      <w:r w:rsidR="00F4076F">
        <w:rPr>
          <w:rFonts w:ascii="AdvOT1ef757c0" w:hAnsi="AdvOT1ef757c0" w:cs="AdvOT1ef757c0"/>
          <w:color w:val="000000"/>
          <w:sz w:val="20"/>
          <w:szCs w:val="20"/>
        </w:rPr>
        <w:t xml:space="preserve"> </w:t>
      </w:r>
      <w:r>
        <w:rPr>
          <w:rFonts w:ascii="AdvOT7d6df7ab.I" w:hAnsi="AdvOT7d6df7ab.I" w:cs="AdvOT7d6df7ab.I"/>
          <w:color w:val="000000"/>
          <w:sz w:val="20"/>
          <w:szCs w:val="20"/>
        </w:rPr>
        <w:t>C</w:t>
      </w:r>
      <w:r>
        <w:rPr>
          <w:rFonts w:ascii="AdvOT1ef757c0" w:hAnsi="AdvOT1ef757c0" w:cs="AdvOT1ef757c0"/>
          <w:color w:val="000000"/>
          <w:sz w:val="20"/>
          <w:szCs w:val="20"/>
        </w:rPr>
        <w:t xml:space="preserve">. </w:t>
      </w:r>
      <w:proofErr w:type="spellStart"/>
      <w:r>
        <w:rPr>
          <w:rFonts w:ascii="AdvOT7d6df7ab.I" w:hAnsi="AdvOT7d6df7ab.I" w:cs="AdvOT7d6df7ab.I"/>
          <w:color w:val="000000"/>
          <w:sz w:val="20"/>
          <w:szCs w:val="20"/>
        </w:rPr>
        <w:t>albicans</w:t>
      </w:r>
      <w:proofErr w:type="spellEnd"/>
      <w:r>
        <w:rPr>
          <w:rFonts w:ascii="AdvOT7d6df7ab.I" w:hAnsi="AdvOT7d6df7ab.I" w:cs="AdvOT7d6df7ab.I"/>
          <w:color w:val="000000"/>
          <w:sz w:val="20"/>
          <w:szCs w:val="20"/>
        </w:rPr>
        <w:t xml:space="preserve"> </w:t>
      </w:r>
      <w:r>
        <w:rPr>
          <w:rFonts w:ascii="AdvOT1ef757c0" w:hAnsi="AdvOT1ef757c0" w:cs="AdvOT1ef757c0"/>
          <w:color w:val="000000"/>
          <w:sz w:val="20"/>
          <w:szCs w:val="20"/>
        </w:rPr>
        <w:t xml:space="preserve">exposed to antifungal stress promotes the formation of </w:t>
      </w:r>
      <w:proofErr w:type="spellStart"/>
      <w:r>
        <w:rPr>
          <w:rFonts w:ascii="AdvOT1ef757c0" w:hAnsi="AdvOT1ef757c0" w:cs="AdvOT1ef757c0"/>
          <w:color w:val="000000"/>
          <w:sz w:val="20"/>
          <w:szCs w:val="20"/>
        </w:rPr>
        <w:t>isochromosomes</w:t>
      </w:r>
      <w:proofErr w:type="spellEnd"/>
      <w:r>
        <w:rPr>
          <w:rFonts w:ascii="AdvOT1ef757c0" w:hAnsi="AdvOT1ef757c0" w:cs="AdvOT1ef757c0"/>
          <w:color w:val="000000"/>
          <w:sz w:val="20"/>
          <w:szCs w:val="20"/>
        </w:rPr>
        <w:t>, in which</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entire chromosome arms are exchanged, creating a chromosome comprised of two identical</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chromosome arms flanking a centromere [</w:t>
      </w:r>
      <w:r>
        <w:rPr>
          <w:rFonts w:ascii="AdvOT1ef757c0" w:hAnsi="AdvOT1ef757c0" w:cs="AdvOT1ef757c0"/>
          <w:color w:val="2C5CFB"/>
          <w:sz w:val="20"/>
          <w:szCs w:val="20"/>
        </w:rPr>
        <w:t>35</w:t>
      </w:r>
      <w:r>
        <w:rPr>
          <w:rFonts w:ascii="AdvOT1ef757c0" w:hAnsi="AdvOT1ef757c0" w:cs="AdvOT1ef757c0"/>
          <w:color w:val="000000"/>
          <w:sz w:val="20"/>
          <w:szCs w:val="20"/>
        </w:rPr>
        <w:t>]. Although the mechanism of antifungal</w:t>
      </w:r>
      <w:r w:rsidR="00551990">
        <w:rPr>
          <w:rFonts w:ascii="AdvOT1ef757c0" w:hAnsi="AdvOT1ef757c0" w:cs="AdvOT1ef757c0"/>
          <w:color w:val="000000"/>
          <w:sz w:val="20"/>
          <w:szCs w:val="20"/>
        </w:rPr>
        <w:t xml:space="preserve"> </w:t>
      </w:r>
      <w:r>
        <w:rPr>
          <w:rFonts w:ascii="AdvOT1ef757c0" w:hAnsi="AdvOT1ef757c0" w:cs="AdvOT1ef757c0"/>
          <w:color w:val="000000"/>
          <w:sz w:val="20"/>
          <w:szCs w:val="20"/>
        </w:rPr>
        <w:t>mediated</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 xml:space="preserve">chromosomal alterations is unknown, it has been suggested that </w:t>
      </w:r>
      <w:r w:rsidRPr="00551990">
        <w:rPr>
          <w:rFonts w:ascii="AdvOT1ef757c0" w:hAnsi="AdvOT1ef757c0" w:cs="AdvOT1ef757c0"/>
          <w:color w:val="000000"/>
          <w:sz w:val="20"/>
          <w:szCs w:val="20"/>
          <w:highlight w:val="yellow"/>
        </w:rPr>
        <w:t>DNA double-strand</w:t>
      </w:r>
      <w:r w:rsidR="00F4076F" w:rsidRPr="00551990">
        <w:rPr>
          <w:rFonts w:ascii="AdvOT1ef757c0" w:hAnsi="AdvOT1ef757c0" w:cs="AdvOT1ef757c0"/>
          <w:color w:val="000000"/>
          <w:sz w:val="20"/>
          <w:szCs w:val="20"/>
          <w:highlight w:val="yellow"/>
        </w:rPr>
        <w:t xml:space="preserve"> </w:t>
      </w:r>
      <w:r w:rsidRPr="00551990">
        <w:rPr>
          <w:rFonts w:ascii="AdvOT1ef757c0" w:hAnsi="AdvOT1ef757c0" w:cs="AdvOT1ef757c0"/>
          <w:color w:val="000000"/>
          <w:sz w:val="20"/>
          <w:szCs w:val="20"/>
          <w:highlight w:val="yellow"/>
        </w:rPr>
        <w:t>breaks</w:t>
      </w:r>
      <w:r>
        <w:rPr>
          <w:rFonts w:ascii="AdvOT1ef757c0" w:hAnsi="AdvOT1ef757c0" w:cs="AdvOT1ef757c0"/>
          <w:color w:val="000000"/>
          <w:sz w:val="20"/>
          <w:szCs w:val="20"/>
        </w:rPr>
        <w:t xml:space="preserve"> induced by antifungal agents [</w:t>
      </w:r>
      <w:r>
        <w:rPr>
          <w:rFonts w:ascii="AdvOT1ef757c0" w:hAnsi="AdvOT1ef757c0" w:cs="AdvOT1ef757c0"/>
          <w:color w:val="2C5CFB"/>
          <w:sz w:val="20"/>
          <w:szCs w:val="20"/>
        </w:rPr>
        <w:t>34</w:t>
      </w:r>
      <w:proofErr w:type="gramStart"/>
      <w:r>
        <w:rPr>
          <w:rFonts w:ascii="AdvOT1ef757c0" w:hAnsi="AdvOT1ef757c0" w:cs="AdvOT1ef757c0"/>
          <w:color w:val="000000"/>
          <w:sz w:val="20"/>
          <w:szCs w:val="20"/>
        </w:rPr>
        <w:t>,</w:t>
      </w:r>
      <w:r>
        <w:rPr>
          <w:rFonts w:ascii="AdvOT1ef757c0" w:hAnsi="AdvOT1ef757c0" w:cs="AdvOT1ef757c0"/>
          <w:color w:val="2C5CFB"/>
          <w:sz w:val="20"/>
          <w:szCs w:val="20"/>
        </w:rPr>
        <w:t>36</w:t>
      </w:r>
      <w:proofErr w:type="gramEnd"/>
      <w:r>
        <w:rPr>
          <w:rFonts w:ascii="AdvOT1ef757c0" w:hAnsi="AdvOT1ef757c0" w:cs="AdvOT1ef757c0"/>
          <w:color w:val="000000"/>
          <w:sz w:val="20"/>
          <w:szCs w:val="20"/>
        </w:rPr>
        <w:t>] and repaired via recombination between chromosomes,</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may contribute to such genomic rearrangements.</w:t>
      </w:r>
      <w:r w:rsidR="001B0D91">
        <w:rPr>
          <w:rFonts w:ascii="AdvOT1ef757c0" w:hAnsi="AdvOT1ef757c0" w:cs="AdvOT1ef757c0"/>
          <w:color w:val="000000"/>
          <w:sz w:val="20"/>
          <w:szCs w:val="20"/>
        </w:rPr>
        <w:t xml:space="preserve"> </w:t>
      </w:r>
    </w:p>
    <w:p w:rsidR="001B0D91" w:rsidRDefault="001B0D91" w:rsidP="001E1F25">
      <w:pPr>
        <w:rPr>
          <w:rFonts w:ascii="AdvOT1ef757c0" w:hAnsi="AdvOT1ef757c0" w:cs="AdvOT1ef757c0"/>
          <w:color w:val="000000"/>
          <w:sz w:val="20"/>
          <w:szCs w:val="20"/>
        </w:rPr>
      </w:pPr>
    </w:p>
    <w:p w:rsidR="001B0D91" w:rsidRDefault="001B0D91" w:rsidP="001B0D91">
      <w:pPr>
        <w:rPr>
          <w:rFonts w:ascii="AdvOT1ef757c0" w:hAnsi="AdvOT1ef757c0" w:cs="AdvOT1ef757c0"/>
          <w:color w:val="000000"/>
          <w:sz w:val="20"/>
          <w:szCs w:val="20"/>
        </w:rPr>
      </w:pPr>
      <w:r>
        <w:rPr>
          <w:rFonts w:ascii="AdvOT1ef757c0" w:hAnsi="AdvOT1ef757c0" w:cs="AdvOT1ef757c0"/>
          <w:color w:val="000000"/>
          <w:sz w:val="20"/>
          <w:szCs w:val="20"/>
        </w:rPr>
        <w:t xml:space="preserve">Both LOH and </w:t>
      </w:r>
      <w:proofErr w:type="spellStart"/>
      <w:r>
        <w:rPr>
          <w:rFonts w:ascii="AdvOT1ef757c0" w:hAnsi="AdvOT1ef757c0" w:cs="AdvOT1ef757c0"/>
          <w:color w:val="000000"/>
          <w:sz w:val="20"/>
          <w:szCs w:val="20"/>
        </w:rPr>
        <w:t>isochromosomes</w:t>
      </w:r>
      <w:proofErr w:type="spellEnd"/>
      <w:r>
        <w:rPr>
          <w:rFonts w:ascii="AdvOT1ef757c0" w:hAnsi="AdvOT1ef757c0" w:cs="AdvOT1ef757c0"/>
          <w:color w:val="000000"/>
          <w:sz w:val="20"/>
          <w:szCs w:val="20"/>
        </w:rPr>
        <w:t xml:space="preserve"> play</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 xml:space="preserve">an important role in acquired resistance to antifungals in </w:t>
      </w:r>
      <w:r>
        <w:rPr>
          <w:rFonts w:ascii="AdvOT7d6df7ab.I" w:hAnsi="AdvOT7d6df7ab.I" w:cs="AdvOT7d6df7ab.I"/>
          <w:color w:val="000000"/>
          <w:sz w:val="20"/>
          <w:szCs w:val="20"/>
        </w:rPr>
        <w:t>C</w:t>
      </w:r>
      <w:r>
        <w:rPr>
          <w:rFonts w:ascii="AdvOT1ef757c0" w:hAnsi="AdvOT1ef757c0" w:cs="AdvOT1ef757c0"/>
          <w:color w:val="000000"/>
          <w:sz w:val="20"/>
          <w:szCs w:val="20"/>
        </w:rPr>
        <w:t xml:space="preserve">. </w:t>
      </w:r>
      <w:proofErr w:type="spellStart"/>
      <w:r>
        <w:rPr>
          <w:rFonts w:ascii="AdvOT7d6df7ab.I" w:hAnsi="AdvOT7d6df7ab.I" w:cs="AdvOT7d6df7ab.I"/>
          <w:color w:val="000000"/>
          <w:sz w:val="20"/>
          <w:szCs w:val="20"/>
        </w:rPr>
        <w:t>albicans</w:t>
      </w:r>
      <w:proofErr w:type="spellEnd"/>
      <w:r>
        <w:rPr>
          <w:rFonts w:ascii="AdvOT1ef757c0" w:hAnsi="AdvOT1ef757c0" w:cs="AdvOT1ef757c0"/>
          <w:color w:val="000000"/>
          <w:sz w:val="20"/>
          <w:szCs w:val="20"/>
        </w:rPr>
        <w:t>, through homozygosis</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and duplication of genes encoding both the drug target of the azoles (</w:t>
      </w:r>
      <w:proofErr w:type="spellStart"/>
      <w:r>
        <w:rPr>
          <w:rFonts w:ascii="AdvOT1ef757c0" w:hAnsi="AdvOT1ef757c0" w:cs="AdvOT1ef757c0"/>
          <w:color w:val="000000"/>
          <w:sz w:val="20"/>
          <w:szCs w:val="20"/>
        </w:rPr>
        <w:t>ergosterol</w:t>
      </w:r>
      <w:proofErr w:type="spellEnd"/>
      <w:r>
        <w:rPr>
          <w:rFonts w:ascii="AdvOT1ef757c0" w:hAnsi="AdvOT1ef757c0" w:cs="AdvOT1ef757c0"/>
          <w:color w:val="000000"/>
          <w:sz w:val="20"/>
          <w:szCs w:val="20"/>
        </w:rPr>
        <w:t xml:space="preserve"> biosynthesis</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enzyme Erg11), and regulators of drug efflux [</w:t>
      </w:r>
      <w:r>
        <w:rPr>
          <w:rFonts w:ascii="AdvOT1ef757c0" w:hAnsi="AdvOT1ef757c0" w:cs="AdvOT1ef757c0"/>
          <w:color w:val="2C5CFB"/>
          <w:sz w:val="20"/>
          <w:szCs w:val="20"/>
        </w:rPr>
        <w:t>4</w:t>
      </w:r>
      <w:r>
        <w:rPr>
          <w:rFonts w:ascii="AdvOT1ef757c0" w:hAnsi="AdvOT1ef757c0" w:cs="AdvOT1ef757c0"/>
          <w:color w:val="000000"/>
          <w:sz w:val="20"/>
          <w:szCs w:val="20"/>
        </w:rPr>
        <w:t>]. Duplication and thus overexpression of</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Erg11 reduces the efficacy of the azole drugs and promotes resistance, while duplication of</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transcriptional regulators of drug efflux pumps (such as Tac1 and Mrr1), may promote multidrug</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resistance by increasing the efficacy by which antifungals are exported from the cell [</w:t>
      </w:r>
      <w:r>
        <w:rPr>
          <w:rFonts w:ascii="AdvOT1ef757c0" w:hAnsi="AdvOT1ef757c0" w:cs="AdvOT1ef757c0"/>
          <w:color w:val="2C5CFB"/>
          <w:sz w:val="20"/>
          <w:szCs w:val="20"/>
        </w:rPr>
        <w:t>4</w:t>
      </w:r>
      <w:r>
        <w:rPr>
          <w:rFonts w:ascii="AdvOT1ef757c0" w:hAnsi="AdvOT1ef757c0" w:cs="AdvOT1ef757c0"/>
          <w:color w:val="000000"/>
          <w:sz w:val="20"/>
          <w:szCs w:val="20"/>
        </w:rPr>
        <w:t>].</w:t>
      </w:r>
    </w:p>
    <w:p w:rsidR="001E1F25" w:rsidRDefault="001E1F25" w:rsidP="001E1F25">
      <w:pPr>
        <w:rPr>
          <w:rFonts w:ascii="AdvOT1ef757c0" w:hAnsi="AdvOT1ef757c0" w:cs="AdvOT1ef757c0"/>
          <w:color w:val="000000"/>
          <w:sz w:val="20"/>
          <w:szCs w:val="20"/>
        </w:rPr>
      </w:pPr>
    </w:p>
    <w:p w:rsidR="001E1F25" w:rsidRPr="001E1F25" w:rsidRDefault="001E1F25" w:rsidP="001E1F25">
      <w:pPr>
        <w:shd w:val="clear" w:color="auto" w:fill="FFFFFF"/>
        <w:spacing w:before="280" w:after="120" w:line="240" w:lineRule="auto"/>
        <w:outlineLvl w:val="1"/>
        <w:rPr>
          <w:rFonts w:ascii="Times New Roman" w:eastAsia="Times New Roman" w:hAnsi="Times New Roman" w:cs="Times New Roman"/>
          <w:b/>
          <w:bCs/>
          <w:color w:val="000066"/>
          <w:sz w:val="26"/>
          <w:szCs w:val="26"/>
        </w:rPr>
      </w:pPr>
      <w:r w:rsidRPr="001E1F25">
        <w:rPr>
          <w:rFonts w:ascii="Times New Roman" w:eastAsia="Times New Roman" w:hAnsi="Times New Roman" w:cs="Times New Roman"/>
          <w:b/>
          <w:bCs/>
          <w:color w:val="000066"/>
          <w:sz w:val="26"/>
          <w:szCs w:val="26"/>
        </w:rPr>
        <w:t>Definition(s)</w:t>
      </w:r>
    </w:p>
    <w:p w:rsidR="001E1F25" w:rsidRPr="001E1F25" w:rsidRDefault="001E1F25" w:rsidP="001E1F25">
      <w:pPr>
        <w:shd w:val="clear" w:color="auto" w:fill="FFFFFF"/>
        <w:spacing w:before="120" w:after="0" w:line="240" w:lineRule="auto"/>
        <w:rPr>
          <w:rFonts w:ascii="Times New Roman" w:eastAsia="Times New Roman" w:hAnsi="Times New Roman" w:cs="Times New Roman"/>
          <w:color w:val="000066"/>
          <w:sz w:val="24"/>
          <w:szCs w:val="24"/>
        </w:rPr>
      </w:pPr>
      <w:r w:rsidRPr="001E1F25">
        <w:rPr>
          <w:rFonts w:ascii="Times New Roman" w:eastAsia="Times New Roman" w:hAnsi="Times New Roman" w:cs="Times New Roman"/>
          <w:color w:val="000066"/>
          <w:sz w:val="24"/>
          <w:szCs w:val="24"/>
        </w:rPr>
        <w:lastRenderedPageBreak/>
        <w:t>(LOH) At a particular locus heterozygous for a deleterious mutant allele and a normal allele, a deletion or other mutational event within the normal allele renders the cell either hemizygous (one deleterious allele and one deleted allele) or homozygous for the deleterious allele</w:t>
      </w:r>
    </w:p>
    <w:p w:rsidR="001E1F25" w:rsidRDefault="001E1F25" w:rsidP="001E1F25">
      <w:pPr>
        <w:rPr>
          <w:rFonts w:ascii="AdvOT1ef757c0" w:hAnsi="AdvOT1ef757c0" w:cs="AdvOT1ef757c0"/>
          <w:sz w:val="20"/>
          <w:szCs w:val="20"/>
        </w:rPr>
      </w:pPr>
    </w:p>
    <w:p w:rsidR="001B0D91" w:rsidRDefault="001B0D91" w:rsidP="001B0D91">
      <w:pPr>
        <w:rPr>
          <w:rFonts w:ascii="AdvOT1ef757c0" w:hAnsi="AdvOT1ef757c0" w:cs="AdvOT1ef757c0"/>
          <w:color w:val="000000"/>
          <w:sz w:val="20"/>
          <w:szCs w:val="20"/>
        </w:rPr>
      </w:pPr>
      <w:r>
        <w:rPr>
          <w:rFonts w:ascii="AdvOT1ef757c0" w:hAnsi="AdvOT1ef757c0" w:cs="AdvOT1ef757c0"/>
          <w:color w:val="000000"/>
          <w:sz w:val="20"/>
          <w:szCs w:val="20"/>
        </w:rPr>
        <w:t>The antifungal agent fluconazole induces</w:t>
      </w:r>
      <w:r w:rsidR="00281DAE">
        <w:rPr>
          <w:rFonts w:ascii="AdvOT1ef757c0" w:hAnsi="AdvOT1ef757c0" w:cs="AdvOT1ef757c0"/>
          <w:color w:val="000000"/>
          <w:sz w:val="20"/>
          <w:szCs w:val="20"/>
        </w:rPr>
        <w:t xml:space="preserve"> </w:t>
      </w:r>
      <w:r>
        <w:rPr>
          <w:rFonts w:ascii="AdvOT1ef757c0" w:hAnsi="AdvOT1ef757c0" w:cs="AdvOT1ef757c0"/>
          <w:color w:val="000000"/>
          <w:sz w:val="20"/>
          <w:szCs w:val="20"/>
        </w:rPr>
        <w:t xml:space="preserve">the formation of aneuploidies in </w:t>
      </w:r>
      <w:r>
        <w:rPr>
          <w:rFonts w:ascii="AdvOT7d6df7ab.I" w:hAnsi="AdvOT7d6df7ab.I" w:cs="AdvOT7d6df7ab.I"/>
          <w:color w:val="000000"/>
          <w:sz w:val="20"/>
          <w:szCs w:val="20"/>
        </w:rPr>
        <w:t>C</w:t>
      </w:r>
      <w:r>
        <w:rPr>
          <w:rFonts w:ascii="AdvOT1ef757c0" w:hAnsi="AdvOT1ef757c0" w:cs="AdvOT1ef757c0"/>
          <w:color w:val="000000"/>
          <w:sz w:val="20"/>
          <w:szCs w:val="20"/>
        </w:rPr>
        <w:t xml:space="preserve">. </w:t>
      </w:r>
      <w:proofErr w:type="spellStart"/>
      <w:r>
        <w:rPr>
          <w:rFonts w:ascii="AdvOT7d6df7ab.I" w:hAnsi="AdvOT7d6df7ab.I" w:cs="AdvOT7d6df7ab.I"/>
          <w:color w:val="000000"/>
          <w:sz w:val="20"/>
          <w:szCs w:val="20"/>
        </w:rPr>
        <w:t>albicans</w:t>
      </w:r>
      <w:proofErr w:type="spellEnd"/>
      <w:r>
        <w:rPr>
          <w:rFonts w:ascii="AdvOT7d6df7ab.I" w:hAnsi="AdvOT7d6df7ab.I" w:cs="AdvOT7d6df7ab.I"/>
          <w:color w:val="000000"/>
          <w:sz w:val="20"/>
          <w:szCs w:val="20"/>
        </w:rPr>
        <w:t xml:space="preserve"> </w:t>
      </w:r>
      <w:r>
        <w:rPr>
          <w:rFonts w:ascii="AdvOT1ef757c0" w:hAnsi="AdvOT1ef757c0" w:cs="AdvOT1ef757c0"/>
          <w:color w:val="000000"/>
          <w:sz w:val="20"/>
          <w:szCs w:val="20"/>
        </w:rPr>
        <w:t>[</w:t>
      </w:r>
      <w:r>
        <w:rPr>
          <w:rFonts w:ascii="AdvOT1ef757c0" w:hAnsi="AdvOT1ef757c0" w:cs="AdvOT1ef757c0"/>
          <w:color w:val="2C5CFB"/>
          <w:sz w:val="20"/>
          <w:szCs w:val="20"/>
        </w:rPr>
        <w:t>35</w:t>
      </w:r>
      <w:r>
        <w:rPr>
          <w:rFonts w:ascii="AdvOT1ef757c0" w:hAnsi="AdvOT1ef757c0" w:cs="AdvOT1ef757c0"/>
          <w:color w:val="000000"/>
          <w:sz w:val="20"/>
          <w:szCs w:val="20"/>
        </w:rPr>
        <w:t>,</w:t>
      </w:r>
      <w:r>
        <w:rPr>
          <w:rFonts w:ascii="AdvOT1ef757c0" w:hAnsi="AdvOT1ef757c0" w:cs="AdvOT1ef757c0"/>
          <w:color w:val="2C5CFB"/>
          <w:sz w:val="20"/>
          <w:szCs w:val="20"/>
        </w:rPr>
        <w:t>39</w:t>
      </w:r>
      <w:r>
        <w:rPr>
          <w:rFonts w:ascii="AdvOT1ef757c0" w:hAnsi="AdvOT1ef757c0" w:cs="AdvOT1ef757c0"/>
          <w:color w:val="000000"/>
          <w:sz w:val="20"/>
          <w:szCs w:val="20"/>
        </w:rPr>
        <w:t xml:space="preserve">], and chromosome </w:t>
      </w:r>
      <w:proofErr w:type="spellStart"/>
      <w:r>
        <w:rPr>
          <w:rFonts w:ascii="AdvOT1ef757c0" w:hAnsi="AdvOT1ef757c0" w:cs="AdvOT1ef757c0"/>
          <w:color w:val="000000"/>
          <w:sz w:val="20"/>
          <w:szCs w:val="20"/>
        </w:rPr>
        <w:t>disomies</w:t>
      </w:r>
      <w:proofErr w:type="spellEnd"/>
      <w:r>
        <w:rPr>
          <w:rFonts w:ascii="AdvOT1ef757c0" w:hAnsi="AdvOT1ef757c0" w:cs="AdvOT1ef757c0"/>
          <w:color w:val="000000"/>
          <w:sz w:val="20"/>
          <w:szCs w:val="20"/>
        </w:rPr>
        <w:t xml:space="preserve"> in</w:t>
      </w:r>
      <w:r w:rsidR="00281DAE">
        <w:rPr>
          <w:rFonts w:ascii="AdvOT1ef757c0" w:hAnsi="AdvOT1ef757c0" w:cs="AdvOT1ef757c0"/>
          <w:color w:val="000000"/>
          <w:sz w:val="20"/>
          <w:szCs w:val="20"/>
        </w:rPr>
        <w:t xml:space="preserve"> </w:t>
      </w:r>
      <w:r>
        <w:rPr>
          <w:rFonts w:ascii="AdvOT7d6df7ab.I" w:hAnsi="AdvOT7d6df7ab.I" w:cs="AdvOT7d6df7ab.I"/>
          <w:color w:val="000000"/>
          <w:sz w:val="20"/>
          <w:szCs w:val="20"/>
        </w:rPr>
        <w:t>C</w:t>
      </w:r>
      <w:r>
        <w:rPr>
          <w:rFonts w:ascii="AdvOT1ef757c0" w:hAnsi="AdvOT1ef757c0" w:cs="AdvOT1ef757c0"/>
          <w:color w:val="000000"/>
          <w:sz w:val="20"/>
          <w:szCs w:val="20"/>
        </w:rPr>
        <w:t xml:space="preserve">. </w:t>
      </w:r>
      <w:proofErr w:type="spellStart"/>
      <w:r>
        <w:rPr>
          <w:rFonts w:ascii="AdvOT7d6df7ab.I" w:hAnsi="AdvOT7d6df7ab.I" w:cs="AdvOT7d6df7ab.I"/>
          <w:color w:val="000000"/>
          <w:sz w:val="20"/>
          <w:szCs w:val="20"/>
        </w:rPr>
        <w:t>neoformans</w:t>
      </w:r>
      <w:proofErr w:type="spellEnd"/>
      <w:r>
        <w:rPr>
          <w:rFonts w:ascii="AdvOT7d6df7ab.I" w:hAnsi="AdvOT7d6df7ab.I" w:cs="AdvOT7d6df7ab.I"/>
          <w:color w:val="000000"/>
          <w:sz w:val="20"/>
          <w:szCs w:val="20"/>
        </w:rPr>
        <w:t xml:space="preserve"> </w:t>
      </w:r>
      <w:r>
        <w:rPr>
          <w:rFonts w:ascii="AdvOT1ef757c0" w:hAnsi="AdvOT1ef757c0" w:cs="AdvOT1ef757c0"/>
          <w:color w:val="000000"/>
          <w:sz w:val="20"/>
          <w:szCs w:val="20"/>
        </w:rPr>
        <w:t>[</w:t>
      </w:r>
      <w:r>
        <w:rPr>
          <w:rFonts w:ascii="AdvOT1ef757c0" w:hAnsi="AdvOT1ef757c0" w:cs="AdvOT1ef757c0"/>
          <w:color w:val="2C5CFB"/>
          <w:sz w:val="20"/>
          <w:szCs w:val="20"/>
        </w:rPr>
        <w:t>40</w:t>
      </w:r>
      <w:r>
        <w:rPr>
          <w:rFonts w:ascii="AdvOT1ef757c0" w:hAnsi="AdvOT1ef757c0" w:cs="AdvOT1ef757c0"/>
          <w:color w:val="000000"/>
          <w:sz w:val="20"/>
          <w:szCs w:val="20"/>
        </w:rPr>
        <w:t>,</w:t>
      </w:r>
      <w:r>
        <w:rPr>
          <w:rFonts w:ascii="AdvOT1ef757c0" w:hAnsi="AdvOT1ef757c0" w:cs="AdvOT1ef757c0"/>
          <w:color w:val="2C5CFB"/>
          <w:sz w:val="20"/>
          <w:szCs w:val="20"/>
        </w:rPr>
        <w:t>41</w:t>
      </w:r>
      <w:r>
        <w:rPr>
          <w:rFonts w:ascii="AdvOT1ef757c0" w:hAnsi="AdvOT1ef757c0" w:cs="AdvOT1ef757c0"/>
          <w:color w:val="000000"/>
          <w:sz w:val="20"/>
          <w:szCs w:val="20"/>
        </w:rPr>
        <w:t>] (</w:t>
      </w:r>
      <w:r>
        <w:rPr>
          <w:rFonts w:ascii="AdvOT1ef757c0" w:hAnsi="AdvOT1ef757c0" w:cs="AdvOT1ef757c0"/>
          <w:color w:val="2C5CFB"/>
          <w:sz w:val="20"/>
          <w:szCs w:val="20"/>
        </w:rPr>
        <w:t>Fig. 1</w:t>
      </w:r>
      <w:r>
        <w:rPr>
          <w:rFonts w:ascii="AdvOT1ef757c0" w:hAnsi="AdvOT1ef757c0" w:cs="AdvOT1ef757c0"/>
          <w:color w:val="000000"/>
          <w:sz w:val="20"/>
          <w:szCs w:val="20"/>
        </w:rPr>
        <w:t>), both of which are linked with the development of antifungal</w:t>
      </w:r>
      <w:r w:rsidR="00281DAE">
        <w:rPr>
          <w:rFonts w:ascii="AdvOT1ef757c0" w:hAnsi="AdvOT1ef757c0" w:cs="AdvOT1ef757c0"/>
          <w:color w:val="000000"/>
          <w:sz w:val="20"/>
          <w:szCs w:val="20"/>
        </w:rPr>
        <w:t xml:space="preserve"> </w:t>
      </w:r>
      <w:r>
        <w:rPr>
          <w:rFonts w:ascii="AdvOT1ef757c0" w:hAnsi="AdvOT1ef757c0" w:cs="AdvOT1ef757c0"/>
          <w:color w:val="000000"/>
          <w:sz w:val="20"/>
          <w:szCs w:val="20"/>
        </w:rPr>
        <w:t>drug resistance from increased copy numbers of key antifungal resistance determinants,</w:t>
      </w:r>
      <w:r w:rsidR="00281DAE">
        <w:rPr>
          <w:rFonts w:ascii="AdvOT1ef757c0" w:hAnsi="AdvOT1ef757c0" w:cs="AdvOT1ef757c0"/>
          <w:color w:val="000000"/>
          <w:sz w:val="20"/>
          <w:szCs w:val="20"/>
        </w:rPr>
        <w:t xml:space="preserve"> </w:t>
      </w:r>
      <w:r>
        <w:rPr>
          <w:rFonts w:ascii="AdvOT1ef757c0" w:hAnsi="AdvOT1ef757c0" w:cs="AdvOT1ef757c0"/>
          <w:color w:val="000000"/>
          <w:sz w:val="20"/>
          <w:szCs w:val="20"/>
        </w:rPr>
        <w:t>including antifungal target proteins and drug transporters [</w:t>
      </w:r>
      <w:r>
        <w:rPr>
          <w:rFonts w:ascii="AdvOT1ef757c0" w:hAnsi="AdvOT1ef757c0" w:cs="AdvOT1ef757c0"/>
          <w:color w:val="2C5CFB"/>
          <w:sz w:val="20"/>
          <w:szCs w:val="20"/>
        </w:rPr>
        <w:t>40</w:t>
      </w:r>
      <w:r>
        <w:rPr>
          <w:rFonts w:ascii="AdvOT1ef757c0" w:hAnsi="AdvOT1ef757c0" w:cs="AdvOT1ef757c0"/>
          <w:color w:val="000000"/>
          <w:sz w:val="20"/>
          <w:szCs w:val="20"/>
        </w:rPr>
        <w:t>].</w:t>
      </w:r>
    </w:p>
    <w:p w:rsidR="001B0D91" w:rsidRDefault="001B0D91" w:rsidP="001B0D91">
      <w:pPr>
        <w:rPr>
          <w:rFonts w:ascii="AdvOT1ef757c0" w:hAnsi="AdvOT1ef757c0" w:cs="AdvOT1ef757c0"/>
          <w:color w:val="000000"/>
          <w:sz w:val="20"/>
          <w:szCs w:val="20"/>
        </w:rPr>
      </w:pPr>
      <w:r>
        <w:rPr>
          <w:rFonts w:ascii="AdvOT1ef757c0" w:hAnsi="AdvOT1ef757c0" w:cs="AdvOT1ef757c0"/>
          <w:color w:val="000000"/>
          <w:sz w:val="20"/>
          <w:szCs w:val="20"/>
        </w:rPr>
        <w:t xml:space="preserve">In </w:t>
      </w:r>
      <w:r>
        <w:rPr>
          <w:rFonts w:ascii="AdvOT7d6df7ab.I" w:hAnsi="AdvOT7d6df7ab.I" w:cs="AdvOT7d6df7ab.I"/>
          <w:color w:val="000000"/>
          <w:sz w:val="20"/>
          <w:szCs w:val="20"/>
        </w:rPr>
        <w:t xml:space="preserve">Candida </w:t>
      </w:r>
      <w:r>
        <w:rPr>
          <w:rFonts w:ascii="AdvOT1ef757c0" w:hAnsi="AdvOT1ef757c0" w:cs="AdvOT1ef757c0"/>
          <w:color w:val="000000"/>
          <w:sz w:val="20"/>
          <w:szCs w:val="20"/>
        </w:rPr>
        <w:t>species, this stress</w:t>
      </w:r>
      <w:r w:rsidR="00281DAE">
        <w:rPr>
          <w:rFonts w:ascii="AdvOT1ef757c0" w:hAnsi="AdvOT1ef757c0" w:cs="AdvOT1ef757c0"/>
          <w:color w:val="000000"/>
          <w:sz w:val="20"/>
          <w:szCs w:val="20"/>
        </w:rPr>
        <w:t xml:space="preserve"> </w:t>
      </w:r>
      <w:r>
        <w:rPr>
          <w:rFonts w:ascii="AdvOT1ef757c0" w:hAnsi="AdvOT1ef757c0" w:cs="AdvOT1ef757c0"/>
          <w:color w:val="000000"/>
          <w:sz w:val="20"/>
          <w:szCs w:val="20"/>
        </w:rPr>
        <w:t>induced</w:t>
      </w:r>
      <w:r w:rsidR="00281DAE">
        <w:rPr>
          <w:rFonts w:ascii="AdvOT1ef757c0" w:hAnsi="AdvOT1ef757c0" w:cs="AdvOT1ef757c0"/>
          <w:color w:val="000000"/>
          <w:sz w:val="20"/>
          <w:szCs w:val="20"/>
        </w:rPr>
        <w:t xml:space="preserve"> </w:t>
      </w:r>
      <w:r>
        <w:rPr>
          <w:rFonts w:ascii="AdvOT1ef757c0" w:hAnsi="AdvOT1ef757c0" w:cs="AdvOT1ef757c0"/>
          <w:color w:val="000000"/>
          <w:sz w:val="20"/>
          <w:szCs w:val="20"/>
        </w:rPr>
        <w:t>aneuploidy occurs from aberrant mitosis due to antifungal stress, resulting in the</w:t>
      </w:r>
      <w:r w:rsidR="00281DAE">
        <w:rPr>
          <w:rFonts w:ascii="AdvOT1ef757c0" w:hAnsi="AdvOT1ef757c0" w:cs="AdvOT1ef757c0"/>
          <w:color w:val="000000"/>
          <w:sz w:val="20"/>
          <w:szCs w:val="20"/>
        </w:rPr>
        <w:t xml:space="preserve"> </w:t>
      </w:r>
      <w:r>
        <w:rPr>
          <w:rFonts w:ascii="AdvOT1ef757c0" w:hAnsi="AdvOT1ef757c0" w:cs="AdvOT1ef757c0"/>
          <w:color w:val="000000"/>
          <w:sz w:val="20"/>
          <w:szCs w:val="20"/>
        </w:rPr>
        <w:t>formation of tetraploid cells, and unequal chromosomal segregation [</w:t>
      </w:r>
      <w:r>
        <w:rPr>
          <w:rFonts w:ascii="AdvOT1ef757c0" w:hAnsi="AdvOT1ef757c0" w:cs="AdvOT1ef757c0"/>
          <w:color w:val="2C5CFB"/>
          <w:sz w:val="20"/>
          <w:szCs w:val="20"/>
        </w:rPr>
        <w:t>42</w:t>
      </w:r>
      <w:r>
        <w:rPr>
          <w:rFonts w:ascii="AdvOT1ef757c0" w:hAnsi="AdvOT1ef757c0" w:cs="AdvOT1ef757c0"/>
          <w:color w:val="000000"/>
          <w:sz w:val="20"/>
          <w:szCs w:val="20"/>
        </w:rPr>
        <w:t xml:space="preserve">]. In </w:t>
      </w:r>
      <w:r>
        <w:rPr>
          <w:rFonts w:ascii="AdvOT7d6df7ab.I" w:hAnsi="AdvOT7d6df7ab.I" w:cs="AdvOT7d6df7ab.I"/>
          <w:color w:val="000000"/>
          <w:sz w:val="20"/>
          <w:szCs w:val="20"/>
        </w:rPr>
        <w:t>S</w:t>
      </w:r>
      <w:r>
        <w:rPr>
          <w:rFonts w:ascii="AdvOT1ef757c0" w:hAnsi="AdvOT1ef757c0" w:cs="AdvOT1ef757c0"/>
          <w:color w:val="000000"/>
          <w:sz w:val="20"/>
          <w:szCs w:val="20"/>
        </w:rPr>
        <w:t xml:space="preserve">. </w:t>
      </w:r>
      <w:r>
        <w:rPr>
          <w:rFonts w:ascii="AdvOT7d6df7ab.I" w:hAnsi="AdvOT7d6df7ab.I" w:cs="AdvOT7d6df7ab.I"/>
          <w:color w:val="000000"/>
          <w:sz w:val="20"/>
          <w:szCs w:val="20"/>
        </w:rPr>
        <w:t>cerevisiae</w:t>
      </w:r>
      <w:r>
        <w:rPr>
          <w:rFonts w:ascii="AdvOT1ef757c0" w:hAnsi="AdvOT1ef757c0" w:cs="AdvOT1ef757c0"/>
          <w:color w:val="000000"/>
          <w:sz w:val="20"/>
          <w:szCs w:val="20"/>
        </w:rPr>
        <w:t>,</w:t>
      </w:r>
      <w:r w:rsidR="00281DAE">
        <w:rPr>
          <w:rFonts w:ascii="AdvOT1ef757c0" w:hAnsi="AdvOT1ef757c0" w:cs="AdvOT1ef757c0"/>
          <w:color w:val="000000"/>
          <w:sz w:val="20"/>
          <w:szCs w:val="20"/>
        </w:rPr>
        <w:t xml:space="preserve"> </w:t>
      </w:r>
      <w:r>
        <w:rPr>
          <w:rFonts w:ascii="AdvOT1ef757c0" w:hAnsi="AdvOT1ef757c0" w:cs="AdvOT1ef757c0"/>
          <w:color w:val="000000"/>
          <w:sz w:val="20"/>
          <w:szCs w:val="20"/>
        </w:rPr>
        <w:t>stress-induced aneuploidies occur under diverse stress conditions, including low-dose antifungal</w:t>
      </w:r>
      <w:r w:rsidR="00281DAE">
        <w:rPr>
          <w:rFonts w:ascii="AdvOT1ef757c0" w:hAnsi="AdvOT1ef757c0" w:cs="AdvOT1ef757c0"/>
          <w:color w:val="000000"/>
          <w:sz w:val="20"/>
          <w:szCs w:val="20"/>
        </w:rPr>
        <w:t xml:space="preserve"> </w:t>
      </w:r>
      <w:r>
        <w:rPr>
          <w:rFonts w:ascii="AdvOT1ef757c0" w:hAnsi="AdvOT1ef757c0" w:cs="AdvOT1ef757c0"/>
          <w:color w:val="000000"/>
          <w:sz w:val="20"/>
          <w:szCs w:val="20"/>
        </w:rPr>
        <w:t>treatment, and are linked to protein chaperone Hsp90-mediated disruption of the kinetochore</w:t>
      </w:r>
      <w:r w:rsidR="00281DAE">
        <w:rPr>
          <w:rFonts w:ascii="AdvOT1ef757c0" w:hAnsi="AdvOT1ef757c0" w:cs="AdvOT1ef757c0"/>
          <w:color w:val="000000"/>
          <w:sz w:val="20"/>
          <w:szCs w:val="20"/>
        </w:rPr>
        <w:t xml:space="preserve"> </w:t>
      </w:r>
      <w:r>
        <w:rPr>
          <w:rFonts w:ascii="AdvOT1ef757c0" w:hAnsi="AdvOT1ef757c0" w:cs="AdvOT1ef757c0"/>
          <w:color w:val="000000"/>
          <w:sz w:val="20"/>
          <w:szCs w:val="20"/>
        </w:rPr>
        <w:t>complex, leading to chromosomal instability [</w:t>
      </w:r>
      <w:r>
        <w:rPr>
          <w:rFonts w:ascii="AdvOT1ef757c0" w:hAnsi="AdvOT1ef757c0" w:cs="AdvOT1ef757c0"/>
          <w:color w:val="2C5CFB"/>
          <w:sz w:val="20"/>
          <w:szCs w:val="20"/>
        </w:rPr>
        <w:t>43</w:t>
      </w:r>
      <w:r>
        <w:rPr>
          <w:rFonts w:ascii="AdvOT1ef757c0" w:hAnsi="AdvOT1ef757c0" w:cs="AdvOT1ef757c0"/>
          <w:color w:val="000000"/>
          <w:sz w:val="20"/>
          <w:szCs w:val="20"/>
        </w:rPr>
        <w:t>].</w:t>
      </w:r>
    </w:p>
    <w:p w:rsidR="00D61AAA" w:rsidRDefault="00D61AAA" w:rsidP="00D61AAA">
      <w:pPr>
        <w:rPr>
          <w:rFonts w:ascii="AdvOT1ef757c0" w:hAnsi="AdvOT1ef757c0" w:cs="AdvOT1ef757c0"/>
          <w:sz w:val="20"/>
          <w:szCs w:val="20"/>
        </w:rPr>
      </w:pPr>
      <w:r w:rsidRPr="006A06C2">
        <w:rPr>
          <w:rFonts w:ascii="AdvOT1ef757c0" w:hAnsi="AdvOT1ef757c0" w:cs="AdvOT1ef757c0"/>
          <w:sz w:val="20"/>
          <w:szCs w:val="20"/>
          <w:highlight w:val="green"/>
        </w:rPr>
        <w:t>Antimicrobial-induced genomic</w:t>
      </w:r>
      <w:r w:rsidR="00F4076F" w:rsidRPr="006A06C2">
        <w:rPr>
          <w:rFonts w:ascii="AdvOT1ef757c0" w:hAnsi="AdvOT1ef757c0" w:cs="AdvOT1ef757c0"/>
          <w:sz w:val="20"/>
          <w:szCs w:val="20"/>
          <w:highlight w:val="green"/>
        </w:rPr>
        <w:t xml:space="preserve"> </w:t>
      </w:r>
      <w:r w:rsidRPr="006A06C2">
        <w:rPr>
          <w:rFonts w:ascii="AdvOT1ef757c0" w:hAnsi="AdvOT1ef757c0" w:cs="AdvOT1ef757c0"/>
          <w:sz w:val="20"/>
          <w:szCs w:val="20"/>
          <w:highlight w:val="green"/>
        </w:rPr>
        <w:t>instability leading the chromosomal aneuploidies</w:t>
      </w:r>
      <w:r>
        <w:rPr>
          <w:rFonts w:ascii="AdvOT1ef757c0" w:hAnsi="AdvOT1ef757c0" w:cs="AdvOT1ef757c0"/>
          <w:sz w:val="20"/>
          <w:szCs w:val="20"/>
        </w:rPr>
        <w:t>, including those associated with drug resistance,</w:t>
      </w:r>
      <w:r w:rsidR="00F4076F">
        <w:rPr>
          <w:rFonts w:ascii="AdvOT1ef757c0" w:hAnsi="AdvOT1ef757c0" w:cs="AdvOT1ef757c0"/>
          <w:sz w:val="20"/>
          <w:szCs w:val="20"/>
        </w:rPr>
        <w:t xml:space="preserve"> </w:t>
      </w:r>
      <w:r>
        <w:rPr>
          <w:rFonts w:ascii="AdvOT1ef757c0" w:hAnsi="AdvOT1ef757c0" w:cs="AdvOT1ef757c0"/>
          <w:sz w:val="20"/>
          <w:szCs w:val="20"/>
        </w:rPr>
        <w:t>is a unique way in which fungal pathogens adapt to antimicrobial stress conditions.</w:t>
      </w:r>
    </w:p>
    <w:p w:rsidR="00D16DE8" w:rsidRDefault="00D16DE8" w:rsidP="005A3FDA">
      <w:pPr>
        <w:rPr>
          <w:rFonts w:ascii="AdvOT82c4f4c4" w:hAnsi="AdvOT82c4f4c4" w:cs="AdvOT82c4f4c4"/>
          <w:sz w:val="16"/>
          <w:szCs w:val="16"/>
        </w:rPr>
      </w:pPr>
    </w:p>
    <w:p w:rsidR="00D61AAA" w:rsidRDefault="00D61AAA" w:rsidP="00D61AAA">
      <w:pPr>
        <w:autoSpaceDE w:val="0"/>
        <w:autoSpaceDN w:val="0"/>
        <w:adjustRightInd w:val="0"/>
        <w:spacing w:after="0" w:line="240" w:lineRule="auto"/>
        <w:rPr>
          <w:rFonts w:ascii="AdvOT1ef757c0" w:hAnsi="AdvOT1ef757c0" w:cs="AdvOT1ef757c0"/>
          <w:color w:val="000000"/>
          <w:sz w:val="20"/>
          <w:szCs w:val="20"/>
        </w:rPr>
      </w:pPr>
      <w:r>
        <w:rPr>
          <w:rFonts w:ascii="AdvOT1ef757c0" w:hAnsi="AdvOT1ef757c0" w:cs="AdvOT1ef757c0"/>
          <w:color w:val="000000"/>
          <w:sz w:val="20"/>
          <w:szCs w:val="20"/>
        </w:rPr>
        <w:t>The scale of stress-induced genomic alterations, from SNPs to whole chromosome aneuploidy,</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likely has varying degrees of phenotypic consequences for microbial pathogens. For</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many fungal pathogens, which unlike bacteria, cannot increase their genetic diversity through</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horizontal gene transfer, and which rarely undergo sexual reproduction for genetic recombination</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w:t>
      </w:r>
      <w:r>
        <w:rPr>
          <w:rFonts w:ascii="AdvOT1ef757c0" w:hAnsi="AdvOT1ef757c0" w:cs="AdvOT1ef757c0"/>
          <w:color w:val="2C5CFB"/>
          <w:sz w:val="20"/>
          <w:szCs w:val="20"/>
        </w:rPr>
        <w:t>44</w:t>
      </w:r>
      <w:r>
        <w:rPr>
          <w:rFonts w:ascii="AdvOT1ef757c0" w:hAnsi="AdvOT1ef757c0" w:cs="AdvOT1ef757c0"/>
          <w:color w:val="000000"/>
          <w:sz w:val="20"/>
          <w:szCs w:val="20"/>
        </w:rPr>
        <w:t>], large-scale chromosomal rearrangements and aneuploidies may provide a unique</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mechanism to rapidly generate genetic diversity and adapt to their environments under conditions</w:t>
      </w:r>
    </w:p>
    <w:p w:rsidR="005A3FDA" w:rsidRDefault="00D61AAA" w:rsidP="00D61AAA">
      <w:pPr>
        <w:rPr>
          <w:rFonts w:ascii="AdvOT1ef757c0" w:hAnsi="AdvOT1ef757c0" w:cs="AdvOT1ef757c0"/>
          <w:color w:val="000000"/>
          <w:sz w:val="20"/>
          <w:szCs w:val="20"/>
        </w:rPr>
      </w:pPr>
      <w:proofErr w:type="gramStart"/>
      <w:r>
        <w:rPr>
          <w:rFonts w:ascii="AdvOT1ef757c0" w:hAnsi="AdvOT1ef757c0" w:cs="AdvOT1ef757c0"/>
          <w:color w:val="000000"/>
          <w:sz w:val="20"/>
          <w:szCs w:val="20"/>
        </w:rPr>
        <w:t>of</w:t>
      </w:r>
      <w:proofErr w:type="gramEnd"/>
      <w:r>
        <w:rPr>
          <w:rFonts w:ascii="AdvOT1ef757c0" w:hAnsi="AdvOT1ef757c0" w:cs="AdvOT1ef757c0"/>
          <w:color w:val="000000"/>
          <w:sz w:val="20"/>
          <w:szCs w:val="20"/>
        </w:rPr>
        <w:t xml:space="preserve"> stress.</w:t>
      </w:r>
    </w:p>
    <w:p w:rsidR="00D61AAA" w:rsidRDefault="00D61AAA" w:rsidP="00D61AAA">
      <w:pPr>
        <w:rPr>
          <w:rFonts w:ascii="AdvOT1ef757c0" w:hAnsi="AdvOT1ef757c0" w:cs="AdvOT1ef757c0"/>
          <w:color w:val="000000"/>
          <w:sz w:val="20"/>
          <w:szCs w:val="20"/>
        </w:rPr>
      </w:pPr>
    </w:p>
    <w:p w:rsidR="00D61AAA" w:rsidRDefault="00D61AAA" w:rsidP="00D61AAA">
      <w:pPr>
        <w:autoSpaceDE w:val="0"/>
        <w:autoSpaceDN w:val="0"/>
        <w:adjustRightInd w:val="0"/>
        <w:spacing w:after="0" w:line="240" w:lineRule="auto"/>
        <w:rPr>
          <w:rFonts w:ascii="AdvOT1ef757c0" w:hAnsi="AdvOT1ef757c0" w:cs="AdvOT1ef757c0"/>
          <w:color w:val="000000"/>
          <w:sz w:val="20"/>
          <w:szCs w:val="20"/>
        </w:rPr>
      </w:pPr>
      <w:r>
        <w:rPr>
          <w:rFonts w:ascii="AdvOT1ef757c0" w:hAnsi="AdvOT1ef757c0" w:cs="AdvOT1ef757c0"/>
          <w:color w:val="000000"/>
          <w:sz w:val="20"/>
          <w:szCs w:val="20"/>
        </w:rPr>
        <w:t>As stress-induced mutation provides a mechanism for microbial pathogens to develop resistance,</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it is critical to understand how antimicrobial therapeutics may enhance or limit pathogen</w:t>
      </w:r>
      <w:r w:rsidR="00F4076F">
        <w:rPr>
          <w:rFonts w:ascii="AdvOT1ef757c0" w:hAnsi="AdvOT1ef757c0" w:cs="AdvOT1ef757c0"/>
          <w:color w:val="000000"/>
          <w:sz w:val="20"/>
          <w:szCs w:val="20"/>
        </w:rPr>
        <w:t xml:space="preserve"> </w:t>
      </w:r>
      <w:proofErr w:type="spellStart"/>
      <w:r>
        <w:rPr>
          <w:rFonts w:ascii="AdvOT1ef757c0" w:hAnsi="AdvOT1ef757c0" w:cs="AdvOT1ef757c0"/>
          <w:color w:val="000000"/>
          <w:sz w:val="20"/>
          <w:szCs w:val="20"/>
        </w:rPr>
        <w:t>evolvability</w:t>
      </w:r>
      <w:proofErr w:type="spellEnd"/>
      <w:r>
        <w:rPr>
          <w:rFonts w:ascii="AdvOT1ef757c0" w:hAnsi="AdvOT1ef757c0" w:cs="AdvOT1ef757c0"/>
          <w:color w:val="000000"/>
          <w:sz w:val="20"/>
          <w:szCs w:val="20"/>
        </w:rPr>
        <w:t xml:space="preserve">. </w:t>
      </w:r>
      <w:r w:rsidRPr="006A06C2">
        <w:rPr>
          <w:rFonts w:ascii="AdvOT1ef757c0" w:hAnsi="AdvOT1ef757c0" w:cs="AdvOT1ef757c0"/>
          <w:color w:val="000000"/>
          <w:sz w:val="20"/>
          <w:szCs w:val="20"/>
          <w:highlight w:val="green"/>
        </w:rPr>
        <w:t>One therapeutic strategy to limit acquired drug resistance is to target the</w:t>
      </w:r>
      <w:r w:rsidR="00F4076F" w:rsidRPr="006A06C2">
        <w:rPr>
          <w:rFonts w:ascii="AdvOT1ef757c0" w:hAnsi="AdvOT1ef757c0" w:cs="AdvOT1ef757c0"/>
          <w:color w:val="000000"/>
          <w:sz w:val="20"/>
          <w:szCs w:val="20"/>
          <w:highlight w:val="green"/>
        </w:rPr>
        <w:t xml:space="preserve"> </w:t>
      </w:r>
      <w:r w:rsidRPr="006A06C2">
        <w:rPr>
          <w:rFonts w:ascii="AdvOT1ef757c0" w:hAnsi="AdvOT1ef757c0" w:cs="AdvOT1ef757c0"/>
          <w:color w:val="000000"/>
          <w:sz w:val="20"/>
          <w:szCs w:val="20"/>
          <w:highlight w:val="green"/>
        </w:rPr>
        <w:t>pathogen response to antimicrobials</w:t>
      </w:r>
      <w:r>
        <w:rPr>
          <w:rFonts w:ascii="AdvOT1ef757c0" w:hAnsi="AdvOT1ef757c0" w:cs="AdvOT1ef757c0"/>
          <w:color w:val="000000"/>
          <w:sz w:val="20"/>
          <w:szCs w:val="20"/>
        </w:rPr>
        <w:t xml:space="preserve"> [</w:t>
      </w:r>
      <w:r>
        <w:rPr>
          <w:rFonts w:ascii="AdvOT1ef757c0" w:hAnsi="AdvOT1ef757c0" w:cs="AdvOT1ef757c0"/>
          <w:color w:val="2C5CFB"/>
          <w:sz w:val="20"/>
          <w:szCs w:val="20"/>
        </w:rPr>
        <w:t>19</w:t>
      </w:r>
      <w:r>
        <w:rPr>
          <w:rFonts w:ascii="AdvOT1ef757c0" w:hAnsi="AdvOT1ef757c0" w:cs="AdvOT1ef757c0"/>
          <w:color w:val="000000"/>
          <w:sz w:val="20"/>
          <w:szCs w:val="20"/>
        </w:rPr>
        <w:t>]. For instance, preventing SOS induction by targeting</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 xml:space="preserve">central SOS regulators such as the protease </w:t>
      </w:r>
      <w:proofErr w:type="spellStart"/>
      <w:r>
        <w:rPr>
          <w:rFonts w:ascii="AdvOT1ef757c0" w:hAnsi="AdvOT1ef757c0" w:cs="AdvOT1ef757c0"/>
          <w:color w:val="000000"/>
          <w:sz w:val="20"/>
          <w:szCs w:val="20"/>
        </w:rPr>
        <w:t>LexA</w:t>
      </w:r>
      <w:proofErr w:type="spellEnd"/>
      <w:r>
        <w:rPr>
          <w:rFonts w:ascii="AdvOT1ef757c0" w:hAnsi="AdvOT1ef757c0" w:cs="AdvOT1ef757c0"/>
          <w:color w:val="000000"/>
          <w:sz w:val="20"/>
          <w:szCs w:val="20"/>
        </w:rPr>
        <w:t xml:space="preserve"> can prevent mutations and the evolution of</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 xml:space="preserve">antibiotic drug resistance in </w:t>
      </w:r>
      <w:r>
        <w:rPr>
          <w:rFonts w:ascii="AdvOT7d6df7ab.I" w:hAnsi="AdvOT7d6df7ab.I" w:cs="AdvOT7d6df7ab.I"/>
          <w:color w:val="000000"/>
          <w:sz w:val="20"/>
          <w:szCs w:val="20"/>
        </w:rPr>
        <w:t>E</w:t>
      </w:r>
      <w:r>
        <w:rPr>
          <w:rFonts w:ascii="AdvOT1ef757c0" w:hAnsi="AdvOT1ef757c0" w:cs="AdvOT1ef757c0"/>
          <w:color w:val="000000"/>
          <w:sz w:val="20"/>
          <w:szCs w:val="20"/>
        </w:rPr>
        <w:t xml:space="preserve">. </w:t>
      </w:r>
      <w:r>
        <w:rPr>
          <w:rFonts w:ascii="AdvOT7d6df7ab.I" w:hAnsi="AdvOT7d6df7ab.I" w:cs="AdvOT7d6df7ab.I"/>
          <w:color w:val="000000"/>
          <w:sz w:val="20"/>
          <w:szCs w:val="20"/>
        </w:rPr>
        <w:t xml:space="preserve">coli </w:t>
      </w:r>
      <w:r>
        <w:rPr>
          <w:rFonts w:ascii="AdvOT1ef757c0" w:hAnsi="AdvOT1ef757c0" w:cs="AdvOT1ef757c0"/>
          <w:color w:val="000000"/>
          <w:sz w:val="20"/>
          <w:szCs w:val="20"/>
        </w:rPr>
        <w:t>[</w:t>
      </w:r>
      <w:r>
        <w:rPr>
          <w:rFonts w:ascii="AdvOT1ef757c0" w:hAnsi="AdvOT1ef757c0" w:cs="AdvOT1ef757c0"/>
          <w:color w:val="2C5CFB"/>
          <w:sz w:val="20"/>
          <w:szCs w:val="20"/>
        </w:rPr>
        <w:t>22</w:t>
      </w:r>
      <w:proofErr w:type="gramStart"/>
      <w:r>
        <w:rPr>
          <w:rFonts w:ascii="AdvOT1ef757c0" w:hAnsi="AdvOT1ef757c0" w:cs="AdvOT1ef757c0"/>
          <w:color w:val="000000"/>
          <w:sz w:val="20"/>
          <w:szCs w:val="20"/>
        </w:rPr>
        <w:t>,</w:t>
      </w:r>
      <w:r>
        <w:rPr>
          <w:rFonts w:ascii="AdvOT1ef757c0" w:hAnsi="AdvOT1ef757c0" w:cs="AdvOT1ef757c0"/>
          <w:color w:val="2C5CFB"/>
          <w:sz w:val="20"/>
          <w:szCs w:val="20"/>
        </w:rPr>
        <w:t>46</w:t>
      </w:r>
      <w:proofErr w:type="gramEnd"/>
      <w:r>
        <w:rPr>
          <w:rFonts w:ascii="AdvOT1ef757c0" w:hAnsi="AdvOT1ef757c0" w:cs="AdvOT1ef757c0"/>
          <w:color w:val="000000"/>
          <w:sz w:val="20"/>
          <w:szCs w:val="20"/>
        </w:rPr>
        <w:t>]. Similarly, quinolone antibiotics do not induce mutations</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 xml:space="preserve">in </w:t>
      </w:r>
      <w:r>
        <w:rPr>
          <w:rFonts w:ascii="AdvOT7d6df7ab.I" w:hAnsi="AdvOT7d6df7ab.I" w:cs="AdvOT7d6df7ab.I"/>
          <w:color w:val="000000"/>
          <w:sz w:val="20"/>
          <w:szCs w:val="20"/>
        </w:rPr>
        <w:t xml:space="preserve">Salmonella typhimurium </w:t>
      </w:r>
      <w:r>
        <w:rPr>
          <w:rFonts w:ascii="AdvOT1ef757c0" w:hAnsi="AdvOT1ef757c0" w:cs="AdvOT1ef757c0"/>
          <w:color w:val="000000"/>
          <w:sz w:val="20"/>
          <w:szCs w:val="20"/>
        </w:rPr>
        <w:t>strains lacking the Pol V homolog [</w:t>
      </w:r>
      <w:r>
        <w:rPr>
          <w:rFonts w:ascii="AdvOT1ef757c0" w:hAnsi="AdvOT1ef757c0" w:cs="AdvOT1ef757c0"/>
          <w:color w:val="2C5CFB"/>
          <w:sz w:val="20"/>
          <w:szCs w:val="20"/>
        </w:rPr>
        <w:t>47</w:t>
      </w:r>
      <w:r>
        <w:rPr>
          <w:rFonts w:ascii="AdvOT1ef757c0" w:hAnsi="AdvOT1ef757c0" w:cs="AdvOT1ef757c0"/>
          <w:color w:val="000000"/>
          <w:sz w:val="20"/>
          <w:szCs w:val="20"/>
        </w:rPr>
        <w:t>]. Additionally, new</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research has identified certain antimicrobial peptides that, unlike antibiotics, do not elicit an</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SOS response or increase bacterial mutation rate [</w:t>
      </w:r>
      <w:r>
        <w:rPr>
          <w:rFonts w:ascii="AdvOT1ef757c0" w:hAnsi="AdvOT1ef757c0" w:cs="AdvOT1ef757c0"/>
          <w:color w:val="2C5CFB"/>
          <w:sz w:val="20"/>
          <w:szCs w:val="20"/>
        </w:rPr>
        <w:t>48</w:t>
      </w:r>
      <w:r>
        <w:rPr>
          <w:rFonts w:ascii="AdvOT1ef757c0" w:hAnsi="AdvOT1ef757c0" w:cs="AdvOT1ef757c0"/>
          <w:color w:val="000000"/>
          <w:sz w:val="20"/>
          <w:szCs w:val="20"/>
        </w:rPr>
        <w:t>]. This finding suggests promising avenues</w:t>
      </w:r>
      <w:r w:rsidR="00F4076F">
        <w:rPr>
          <w:rFonts w:ascii="AdvOT1ef757c0" w:hAnsi="AdvOT1ef757c0" w:cs="AdvOT1ef757c0"/>
          <w:color w:val="000000"/>
          <w:sz w:val="20"/>
          <w:szCs w:val="20"/>
        </w:rPr>
        <w:t xml:space="preserve"> </w:t>
      </w:r>
      <w:r>
        <w:rPr>
          <w:rFonts w:ascii="AdvOT1ef757c0" w:hAnsi="AdvOT1ef757c0" w:cs="AdvOT1ef757c0"/>
          <w:color w:val="000000"/>
          <w:sz w:val="20"/>
          <w:szCs w:val="20"/>
        </w:rPr>
        <w:t>for identifying novel antimicrobial agents that do not expedite the evolution of</w:t>
      </w:r>
    </w:p>
    <w:p w:rsidR="00D61AAA" w:rsidRDefault="00D61AAA" w:rsidP="00D61AAA">
      <w:pPr>
        <w:rPr>
          <w:rFonts w:ascii="AdvOT1ef757c0" w:hAnsi="AdvOT1ef757c0" w:cs="AdvOT1ef757c0"/>
          <w:color w:val="000000"/>
          <w:sz w:val="20"/>
          <w:szCs w:val="20"/>
        </w:rPr>
      </w:pPr>
      <w:proofErr w:type="gramStart"/>
      <w:r>
        <w:rPr>
          <w:rFonts w:ascii="AdvOT1ef757c0" w:hAnsi="AdvOT1ef757c0" w:cs="AdvOT1ef757c0"/>
          <w:color w:val="000000"/>
          <w:sz w:val="20"/>
          <w:szCs w:val="20"/>
        </w:rPr>
        <w:t>antimicrobial</w:t>
      </w:r>
      <w:proofErr w:type="gramEnd"/>
      <w:r>
        <w:rPr>
          <w:rFonts w:ascii="AdvOT1ef757c0" w:hAnsi="AdvOT1ef757c0" w:cs="AdvOT1ef757c0"/>
          <w:color w:val="000000"/>
          <w:sz w:val="20"/>
          <w:szCs w:val="20"/>
        </w:rPr>
        <w:t xml:space="preserve"> resistance.</w:t>
      </w:r>
    </w:p>
    <w:p w:rsidR="00323035" w:rsidRDefault="00323035" w:rsidP="00D61AAA">
      <w:pPr>
        <w:rPr>
          <w:rFonts w:ascii="AdvOT1ef757c0" w:hAnsi="AdvOT1ef757c0" w:cs="AdvOT1ef757c0"/>
          <w:color w:val="000000"/>
          <w:sz w:val="20"/>
          <w:szCs w:val="20"/>
        </w:rPr>
      </w:pPr>
    </w:p>
    <w:p w:rsidR="00323035" w:rsidRDefault="006D0711" w:rsidP="00D61AAA">
      <w:pPr>
        <w:rPr>
          <w:rFonts w:ascii="AdvOT1ef757c0" w:hAnsi="AdvOT1ef757c0" w:cs="AdvOT1ef757c0"/>
          <w:color w:val="000000"/>
          <w:sz w:val="20"/>
          <w:szCs w:val="20"/>
        </w:rPr>
      </w:pPr>
      <w:proofErr w:type="gramStart"/>
      <w:r>
        <w:rPr>
          <w:rFonts w:ascii="AdvOT1ef757c0" w:hAnsi="AdvOT1ef757c0" w:cs="AdvOT1ef757c0"/>
          <w:color w:val="000000"/>
          <w:sz w:val="20"/>
          <w:szCs w:val="20"/>
        </w:rPr>
        <w:t>5)</w:t>
      </w:r>
      <w:r w:rsidR="00323035">
        <w:rPr>
          <w:rFonts w:ascii="AdvOT1ef757c0" w:hAnsi="AdvOT1ef757c0" w:cs="AdvOT1ef757c0"/>
          <w:color w:val="000000"/>
          <w:sz w:val="20"/>
          <w:szCs w:val="20"/>
        </w:rPr>
        <w:t>Book</w:t>
      </w:r>
      <w:proofErr w:type="gramEnd"/>
      <w:r w:rsidR="00323035">
        <w:rPr>
          <w:rFonts w:ascii="AdvOT1ef757c0" w:hAnsi="AdvOT1ef757c0" w:cs="AdvOT1ef757c0"/>
          <w:color w:val="000000"/>
          <w:sz w:val="20"/>
          <w:szCs w:val="20"/>
        </w:rPr>
        <w:t xml:space="preserve"> chapter 2</w:t>
      </w:r>
    </w:p>
    <w:p w:rsidR="00323035" w:rsidRPr="007819D2" w:rsidRDefault="00323035" w:rsidP="00323035">
      <w:pPr>
        <w:autoSpaceDE w:val="0"/>
        <w:autoSpaceDN w:val="0"/>
        <w:adjustRightInd w:val="0"/>
        <w:spacing w:after="0" w:line="240" w:lineRule="auto"/>
        <w:rPr>
          <w:rFonts w:ascii="AdvOT1ef757c0" w:hAnsi="AdvOT1ef757c0" w:cs="AdvOT1ef757c0"/>
          <w:color w:val="000000"/>
          <w:sz w:val="20"/>
          <w:szCs w:val="20"/>
          <w:highlight w:val="yellow"/>
        </w:rPr>
      </w:pPr>
      <w:r w:rsidRPr="007819D2">
        <w:rPr>
          <w:rFonts w:ascii="AdvOT1ef757c0" w:hAnsi="AdvOT1ef757c0" w:cs="AdvOT1ef757c0"/>
          <w:color w:val="000000"/>
          <w:sz w:val="20"/>
          <w:szCs w:val="20"/>
          <w:highlight w:val="yellow"/>
        </w:rPr>
        <w:t>The Evolution of Fungicide</w:t>
      </w:r>
      <w:r w:rsidR="007819D2" w:rsidRPr="007819D2">
        <w:rPr>
          <w:rFonts w:ascii="AdvOT1ef757c0" w:hAnsi="AdvOT1ef757c0" w:cs="AdvOT1ef757c0"/>
          <w:color w:val="000000"/>
          <w:sz w:val="20"/>
          <w:szCs w:val="20"/>
          <w:highlight w:val="yellow"/>
        </w:rPr>
        <w:t xml:space="preserve"> </w:t>
      </w:r>
      <w:r w:rsidRPr="007819D2">
        <w:rPr>
          <w:rFonts w:ascii="AdvOT1ef757c0" w:hAnsi="AdvOT1ef757c0" w:cs="AdvOT1ef757c0"/>
          <w:color w:val="000000"/>
          <w:sz w:val="20"/>
          <w:szCs w:val="20"/>
          <w:highlight w:val="yellow"/>
        </w:rPr>
        <w:t>Resistance</w:t>
      </w:r>
    </w:p>
    <w:p w:rsidR="00323035" w:rsidRPr="007819D2" w:rsidRDefault="00323035" w:rsidP="00323035">
      <w:pPr>
        <w:autoSpaceDE w:val="0"/>
        <w:autoSpaceDN w:val="0"/>
        <w:adjustRightInd w:val="0"/>
        <w:spacing w:after="0" w:line="240" w:lineRule="auto"/>
        <w:rPr>
          <w:rFonts w:ascii="AdvOT1ef757c0" w:hAnsi="AdvOT1ef757c0" w:cs="AdvOT1ef757c0"/>
          <w:color w:val="000000"/>
          <w:sz w:val="20"/>
          <w:szCs w:val="20"/>
        </w:rPr>
      </w:pPr>
      <w:r w:rsidRPr="007819D2">
        <w:rPr>
          <w:rFonts w:ascii="AdvOT1ef757c0" w:hAnsi="AdvOT1ef757c0" w:cs="AdvOT1ef757c0"/>
          <w:color w:val="000000"/>
          <w:sz w:val="20"/>
          <w:szCs w:val="20"/>
          <w:highlight w:val="yellow"/>
        </w:rPr>
        <w:t xml:space="preserve">John A. Lucas1, </w:t>
      </w:r>
      <w:proofErr w:type="spellStart"/>
      <w:r w:rsidRPr="007819D2">
        <w:rPr>
          <w:rFonts w:ascii="AdvOT1ef757c0" w:hAnsi="AdvOT1ef757c0" w:cs="AdvOT1ef757c0"/>
          <w:color w:val="000000"/>
          <w:sz w:val="20"/>
          <w:szCs w:val="20"/>
          <w:highlight w:val="yellow"/>
        </w:rPr>
        <w:t>Nichola</w:t>
      </w:r>
      <w:proofErr w:type="spellEnd"/>
      <w:r w:rsidRPr="007819D2">
        <w:rPr>
          <w:rFonts w:ascii="AdvOT1ef757c0" w:hAnsi="AdvOT1ef757c0" w:cs="AdvOT1ef757c0"/>
          <w:color w:val="000000"/>
          <w:sz w:val="20"/>
          <w:szCs w:val="20"/>
          <w:highlight w:val="yellow"/>
        </w:rPr>
        <w:t xml:space="preserve"> J. Hawkins and Bart A.</w:t>
      </w:r>
      <w:r w:rsidRPr="007819D2">
        <w:rPr>
          <w:rFonts w:ascii="AdvOT1ef757c0" w:hAnsi="AdvOT1ef757c0" w:cs="AdvOT1ef757c0"/>
          <w:color w:val="000000"/>
          <w:sz w:val="20"/>
          <w:szCs w:val="20"/>
        </w:rPr>
        <w:t xml:space="preserve"> </w:t>
      </w:r>
      <w:proofErr w:type="spellStart"/>
      <w:r w:rsidRPr="007819D2">
        <w:rPr>
          <w:rFonts w:ascii="AdvOT1ef757c0" w:hAnsi="AdvOT1ef757c0" w:cs="AdvOT1ef757c0"/>
          <w:color w:val="000000"/>
          <w:sz w:val="20"/>
          <w:szCs w:val="20"/>
        </w:rPr>
        <w:t>Fraaije</w:t>
      </w:r>
      <w:proofErr w:type="spellEnd"/>
    </w:p>
    <w:p w:rsidR="00323035" w:rsidRDefault="00323035" w:rsidP="00323035">
      <w:pPr>
        <w:autoSpaceDE w:val="0"/>
        <w:autoSpaceDN w:val="0"/>
        <w:adjustRightInd w:val="0"/>
        <w:spacing w:after="0" w:line="240" w:lineRule="auto"/>
        <w:rPr>
          <w:rFonts w:ascii="AdvOTce2aec1c" w:hAnsi="AdvOTce2aec1c" w:cs="AdvOTce2aec1c"/>
          <w:color w:val="000000"/>
        </w:rPr>
      </w:pPr>
    </w:p>
    <w:p w:rsidR="00323035" w:rsidRDefault="00323035" w:rsidP="00323035">
      <w:pPr>
        <w:rPr>
          <w:rFonts w:ascii="AdvOT1ef757c0" w:hAnsi="AdvOT1ef757c0" w:cs="AdvOT1ef757c0"/>
          <w:color w:val="000000"/>
          <w:sz w:val="20"/>
          <w:szCs w:val="20"/>
        </w:rPr>
      </w:pPr>
      <w:r>
        <w:rPr>
          <w:rFonts w:ascii="AdvOTce2aec1c" w:hAnsi="AdvOTce2aec1c" w:cs="AdvOTce2aec1c"/>
          <w:color w:val="000000"/>
        </w:rPr>
        <w:t xml:space="preserve">Similarly, for the </w:t>
      </w:r>
      <w:proofErr w:type="spellStart"/>
      <w:r>
        <w:rPr>
          <w:rFonts w:ascii="AdvOTce2aec1c" w:hAnsi="AdvOTce2aec1c" w:cs="AdvOTce2aec1c"/>
          <w:color w:val="000000"/>
        </w:rPr>
        <w:t>QoI</w:t>
      </w:r>
      <w:proofErr w:type="spellEnd"/>
      <w:r>
        <w:rPr>
          <w:rFonts w:ascii="AdvOTce2aec1c" w:hAnsi="AdvOTce2aec1c" w:cs="AdvOTce2aec1c"/>
          <w:color w:val="000000"/>
        </w:rPr>
        <w:t xml:space="preserve"> fungicides, a review of </w:t>
      </w:r>
      <w:r>
        <w:rPr>
          <w:rFonts w:ascii="AdvOTa5ebdc7c.I" w:hAnsi="AdvOTa5ebdc7c.I" w:cs="AdvOTa5ebdc7c.I"/>
          <w:color w:val="000000"/>
        </w:rPr>
        <w:t xml:space="preserve">cytochrome b </w:t>
      </w:r>
      <w:r>
        <w:rPr>
          <w:rFonts w:ascii="AdvOTce2aec1c" w:hAnsi="AdvOTce2aec1c" w:cs="AdvOTce2aec1c"/>
          <w:color w:val="000000"/>
        </w:rPr>
        <w:t>mutations in</w:t>
      </w:r>
      <w:r w:rsidR="00F4076F">
        <w:rPr>
          <w:rFonts w:ascii="AdvOTce2aec1c" w:hAnsi="AdvOTce2aec1c" w:cs="AdvOTce2aec1c"/>
          <w:color w:val="000000"/>
        </w:rPr>
        <w:t xml:space="preserve"> </w:t>
      </w:r>
      <w:r>
        <w:rPr>
          <w:rFonts w:ascii="AdvOTce2aec1c" w:hAnsi="AdvOTce2aec1c" w:cs="AdvOTce2aec1c"/>
          <w:color w:val="000000"/>
        </w:rPr>
        <w:t>yeast and other eukaryotes listed 22 mutations over 12 codons conferring</w:t>
      </w:r>
      <w:r w:rsidR="00F4076F">
        <w:rPr>
          <w:rFonts w:ascii="AdvOTce2aec1c" w:hAnsi="AdvOTce2aec1c" w:cs="AdvOTce2aec1c"/>
          <w:color w:val="000000"/>
        </w:rPr>
        <w:t xml:space="preserve"> </w:t>
      </w:r>
      <w:r>
        <w:rPr>
          <w:rFonts w:ascii="AdvOTce2aec1c" w:hAnsi="AdvOTce2aec1c" w:cs="AdvOTce2aec1c"/>
          <w:color w:val="000000"/>
        </w:rPr>
        <w:t xml:space="preserve">resistance to </w:t>
      </w:r>
      <w:proofErr w:type="spellStart"/>
      <w:r>
        <w:rPr>
          <w:rFonts w:ascii="AdvOTce2aec1c" w:hAnsi="AdvOTce2aec1c" w:cs="AdvOTce2aec1c"/>
          <w:color w:val="000000"/>
        </w:rPr>
        <w:t>QoIs</w:t>
      </w:r>
      <w:proofErr w:type="spellEnd"/>
      <w:r>
        <w:rPr>
          <w:rFonts w:ascii="AdvOTce2aec1c" w:hAnsi="AdvOTce2aec1c" w:cs="AdvOTce2aec1c"/>
          <w:color w:val="000000"/>
        </w:rPr>
        <w:t xml:space="preserve"> (</w:t>
      </w:r>
      <w:r>
        <w:rPr>
          <w:rFonts w:ascii="AdvOTce2aec1c" w:hAnsi="AdvOTce2aec1c" w:cs="AdvOTce2aec1c"/>
          <w:color w:val="2197D2"/>
        </w:rPr>
        <w:t xml:space="preserve">Brasseur, </w:t>
      </w:r>
      <w:proofErr w:type="spellStart"/>
      <w:r>
        <w:rPr>
          <w:rFonts w:ascii="AdvOTce2aec1c" w:hAnsi="AdvOTce2aec1c" w:cs="AdvOTce2aec1c"/>
          <w:color w:val="2197D2"/>
        </w:rPr>
        <w:t>Saribas</w:t>
      </w:r>
      <w:proofErr w:type="spellEnd"/>
      <w:r>
        <w:rPr>
          <w:rFonts w:ascii="AdvOTce2aec1c" w:hAnsi="AdvOTce2aec1c" w:cs="AdvOTce2aec1c"/>
          <w:color w:val="2197D2"/>
        </w:rPr>
        <w:t xml:space="preserve">, &amp; </w:t>
      </w:r>
      <w:proofErr w:type="spellStart"/>
      <w:r>
        <w:rPr>
          <w:rFonts w:ascii="AdvOTce2aec1c" w:hAnsi="AdvOTce2aec1c" w:cs="AdvOTce2aec1c"/>
          <w:color w:val="2197D2"/>
        </w:rPr>
        <w:t>Daldal</w:t>
      </w:r>
      <w:proofErr w:type="spellEnd"/>
      <w:r>
        <w:rPr>
          <w:rFonts w:ascii="AdvOTce2aec1c" w:hAnsi="AdvOTce2aec1c" w:cs="AdvOTce2aec1c"/>
          <w:color w:val="2197D2"/>
        </w:rPr>
        <w:t>, 1996</w:t>
      </w:r>
      <w:r>
        <w:rPr>
          <w:rFonts w:ascii="AdvOTce2aec1c" w:hAnsi="AdvOTce2aec1c" w:cs="AdvOTce2aec1c"/>
          <w:color w:val="000000"/>
        </w:rPr>
        <w:t>), of which 3</w:t>
      </w:r>
      <w:r w:rsidR="00F4076F">
        <w:rPr>
          <w:rFonts w:ascii="AdvOTce2aec1c" w:hAnsi="AdvOTce2aec1c" w:cs="AdvOTce2aec1c"/>
          <w:color w:val="000000"/>
        </w:rPr>
        <w:t xml:space="preserve"> </w:t>
      </w:r>
      <w:r>
        <w:rPr>
          <w:rFonts w:ascii="AdvOTce2aec1c" w:hAnsi="AdvOTce2aec1c" w:cs="AdvOTce2aec1c"/>
          <w:color w:val="000000"/>
        </w:rPr>
        <w:t xml:space="preserve">(G143A, F129L, and G137R) have been reported in </w:t>
      </w:r>
      <w:r>
        <w:rPr>
          <w:rFonts w:ascii="AdvOTce2aec1c+fb" w:hAnsi="AdvOTce2aec1c+fb" w:cs="AdvOTce2aec1c+fb"/>
          <w:color w:val="000000"/>
        </w:rPr>
        <w:t>fi</w:t>
      </w:r>
      <w:r>
        <w:rPr>
          <w:rFonts w:ascii="AdvOTce2aec1c" w:hAnsi="AdvOTce2aec1c" w:cs="AdvOTce2aec1c"/>
          <w:color w:val="000000"/>
        </w:rPr>
        <w:t xml:space="preserve">eld isolates of </w:t>
      </w:r>
      <w:proofErr w:type="spellStart"/>
      <w:r>
        <w:rPr>
          <w:rFonts w:ascii="AdvOTce2aec1c" w:hAnsi="AdvOTce2aec1c" w:cs="AdvOTce2aec1c"/>
          <w:color w:val="000000"/>
        </w:rPr>
        <w:t>phytopathogenic</w:t>
      </w:r>
      <w:proofErr w:type="spellEnd"/>
      <w:r w:rsidR="00F4076F">
        <w:rPr>
          <w:rFonts w:ascii="AdvOTce2aec1c" w:hAnsi="AdvOTce2aec1c" w:cs="AdvOTce2aec1c"/>
          <w:color w:val="000000"/>
        </w:rPr>
        <w:t xml:space="preserve"> </w:t>
      </w:r>
      <w:r>
        <w:rPr>
          <w:rFonts w:ascii="AdvOTce2aec1c" w:hAnsi="AdvOTce2aec1c" w:cs="AdvOTce2aec1c"/>
          <w:color w:val="000000"/>
        </w:rPr>
        <w:t>fungi (</w:t>
      </w:r>
      <w:proofErr w:type="spellStart"/>
      <w:r>
        <w:rPr>
          <w:rFonts w:ascii="AdvOTce2aec1c" w:hAnsi="AdvOTce2aec1c" w:cs="AdvOTce2aec1c"/>
          <w:color w:val="2197D2"/>
        </w:rPr>
        <w:t>Sierotzki</w:t>
      </w:r>
      <w:proofErr w:type="spellEnd"/>
      <w:r>
        <w:rPr>
          <w:rFonts w:ascii="AdvOTce2aec1c" w:hAnsi="AdvOTce2aec1c" w:cs="AdvOTce2aec1c"/>
          <w:color w:val="2197D2"/>
        </w:rPr>
        <w:t xml:space="preserve"> et al., 2007</w:t>
      </w:r>
      <w:r>
        <w:rPr>
          <w:rFonts w:ascii="AdvOTce2aec1c" w:hAnsi="AdvOTce2aec1c" w:cs="AdvOTce2aec1c"/>
          <w:color w:val="000000"/>
        </w:rPr>
        <w:t xml:space="preserve">). In </w:t>
      </w:r>
      <w:proofErr w:type="spellStart"/>
      <w:r>
        <w:rPr>
          <w:rFonts w:ascii="AdvOTa5ebdc7c.I" w:hAnsi="AdvOTa5ebdc7c.I" w:cs="AdvOTa5ebdc7c.I"/>
          <w:color w:val="000000"/>
        </w:rPr>
        <w:t>Magnaporthe</w:t>
      </w:r>
      <w:proofErr w:type="spellEnd"/>
      <w:r>
        <w:rPr>
          <w:rFonts w:ascii="AdvOTa5ebdc7c.I" w:hAnsi="AdvOTa5ebdc7c.I" w:cs="AdvOTa5ebdc7c.I"/>
          <w:color w:val="000000"/>
        </w:rPr>
        <w:t xml:space="preserve"> </w:t>
      </w:r>
      <w:proofErr w:type="spellStart"/>
      <w:r>
        <w:rPr>
          <w:rFonts w:ascii="AdvOTa5ebdc7c.I" w:hAnsi="AdvOTa5ebdc7c.I" w:cs="AdvOTa5ebdc7c.I"/>
          <w:color w:val="000000"/>
        </w:rPr>
        <w:t>grisea</w:t>
      </w:r>
      <w:proofErr w:type="spellEnd"/>
      <w:r>
        <w:rPr>
          <w:rFonts w:ascii="AdvOTce2aec1c" w:hAnsi="AdvOTce2aec1c" w:cs="AdvOTce2aec1c"/>
          <w:color w:val="000000"/>
        </w:rPr>
        <w:t>, laboratory</w:t>
      </w:r>
      <w:r w:rsidR="00F4076F">
        <w:rPr>
          <w:rFonts w:ascii="AdvOTce2aec1c" w:hAnsi="AdvOTce2aec1c" w:cs="AdvOTce2aec1c"/>
          <w:color w:val="000000"/>
        </w:rPr>
        <w:t xml:space="preserve"> </w:t>
      </w:r>
      <w:r>
        <w:rPr>
          <w:rFonts w:ascii="AdvOTce2aec1c" w:hAnsi="AdvOTce2aec1c" w:cs="AdvOTce2aec1c"/>
          <w:color w:val="000000"/>
        </w:rPr>
        <w:t xml:space="preserve">mutants had G143A or G143S substitutions in </w:t>
      </w:r>
      <w:r>
        <w:rPr>
          <w:rFonts w:ascii="AdvOTa5ebdc7c.I" w:hAnsi="AdvOTa5ebdc7c.I" w:cs="AdvOTa5ebdc7c.I"/>
          <w:color w:val="000000"/>
        </w:rPr>
        <w:t xml:space="preserve">cytochrome b </w:t>
      </w:r>
      <w:r>
        <w:rPr>
          <w:rFonts w:ascii="AdvOTce2aec1c" w:hAnsi="AdvOTce2aec1c" w:cs="AdvOTce2aec1c"/>
          <w:color w:val="000000"/>
        </w:rPr>
        <w:t>(</w:t>
      </w:r>
      <w:r>
        <w:rPr>
          <w:rFonts w:ascii="AdvOTce2aec1c" w:hAnsi="AdvOTce2aec1c" w:cs="AdvOTce2aec1c"/>
          <w:color w:val="2197D2"/>
        </w:rPr>
        <w:t>Avila-</w:t>
      </w:r>
      <w:proofErr w:type="spellStart"/>
      <w:r>
        <w:rPr>
          <w:rFonts w:ascii="AdvOTce2aec1c" w:hAnsi="AdvOTce2aec1c" w:cs="AdvOTce2aec1c"/>
          <w:color w:val="2197D2"/>
        </w:rPr>
        <w:t>Adame</w:t>
      </w:r>
      <w:proofErr w:type="spellEnd"/>
      <w:r w:rsidR="00F4076F">
        <w:rPr>
          <w:rFonts w:ascii="AdvOTce2aec1c" w:hAnsi="AdvOTce2aec1c" w:cs="AdvOTce2aec1c"/>
          <w:color w:val="2197D2"/>
        </w:rPr>
        <w:t xml:space="preserve"> </w:t>
      </w:r>
      <w:r>
        <w:rPr>
          <w:rFonts w:ascii="AdvOTce2aec1c" w:hAnsi="AdvOTce2aec1c" w:cs="AdvOTce2aec1c"/>
          <w:color w:val="2197D2"/>
        </w:rPr>
        <w:t xml:space="preserve">&amp; </w:t>
      </w:r>
      <w:proofErr w:type="spellStart"/>
      <w:r>
        <w:rPr>
          <w:rFonts w:ascii="AdvOTce2aec1c" w:hAnsi="AdvOTce2aec1c" w:cs="AdvOTce2aec1c"/>
          <w:color w:val="2197D2"/>
        </w:rPr>
        <w:t>K</w:t>
      </w:r>
      <w:r>
        <w:rPr>
          <w:rFonts w:ascii="AdvP4C4E59" w:hAnsi="AdvP4C4E59" w:cs="AdvP4C4E59"/>
          <w:color w:val="2197D2"/>
        </w:rPr>
        <w:t>€</w:t>
      </w:r>
      <w:r>
        <w:rPr>
          <w:rFonts w:ascii="AdvOTce2aec1c" w:hAnsi="AdvOTce2aec1c" w:cs="AdvOTce2aec1c"/>
          <w:color w:val="2197D2"/>
        </w:rPr>
        <w:t>oller</w:t>
      </w:r>
      <w:proofErr w:type="spellEnd"/>
      <w:r>
        <w:rPr>
          <w:rFonts w:ascii="AdvOTce2aec1c" w:hAnsi="AdvOTce2aec1c" w:cs="AdvOTce2aec1c"/>
          <w:color w:val="2197D2"/>
        </w:rPr>
        <w:t>, 2003</w:t>
      </w:r>
      <w:r>
        <w:rPr>
          <w:rFonts w:ascii="AdvOTce2aec1c" w:hAnsi="AdvOTce2aec1c" w:cs="AdvOTce2aec1c"/>
          <w:color w:val="000000"/>
        </w:rPr>
        <w:t xml:space="preserve">), but only G143A has been reported in the </w:t>
      </w:r>
      <w:r>
        <w:rPr>
          <w:rFonts w:ascii="AdvOTce2aec1c+fb" w:hAnsi="AdvOTce2aec1c+fb" w:cs="AdvOTce2aec1c+fb"/>
          <w:color w:val="000000"/>
        </w:rPr>
        <w:t>fi</w:t>
      </w:r>
      <w:r>
        <w:rPr>
          <w:rFonts w:ascii="AdvOTce2aec1c" w:hAnsi="AdvOTce2aec1c" w:cs="AdvOTce2aec1c"/>
          <w:color w:val="000000"/>
        </w:rPr>
        <w:t>eld (</w:t>
      </w:r>
      <w:r>
        <w:rPr>
          <w:rFonts w:ascii="AdvOTce2aec1c" w:hAnsi="AdvOTce2aec1c" w:cs="AdvOTce2aec1c"/>
          <w:color w:val="2197D2"/>
        </w:rPr>
        <w:t>Ma &amp;</w:t>
      </w:r>
      <w:r w:rsidR="00F4076F">
        <w:rPr>
          <w:rFonts w:ascii="AdvOTce2aec1c" w:hAnsi="AdvOTce2aec1c" w:cs="AdvOTce2aec1c"/>
          <w:color w:val="2197D2"/>
        </w:rPr>
        <w:t xml:space="preserve"> </w:t>
      </w:r>
      <w:r>
        <w:rPr>
          <w:rFonts w:ascii="AdvOTce2aec1c" w:hAnsi="AdvOTce2aec1c" w:cs="AdvOTce2aec1c"/>
          <w:color w:val="2197D2"/>
        </w:rPr>
        <w:t>Uddin, 2009</w:t>
      </w:r>
      <w:r>
        <w:rPr>
          <w:rFonts w:ascii="AdvOTce2aec1c" w:hAnsi="AdvOTce2aec1c" w:cs="AdvOTce2aec1c"/>
          <w:color w:val="000000"/>
        </w:rPr>
        <w:t xml:space="preserve">). In </w:t>
      </w:r>
      <w:proofErr w:type="spellStart"/>
      <w:r>
        <w:rPr>
          <w:rFonts w:ascii="AdvOTa5ebdc7c.I" w:hAnsi="AdvOTa5ebdc7c.I" w:cs="AdvOTa5ebdc7c.I"/>
          <w:color w:val="000000"/>
        </w:rPr>
        <w:t>Cercospora</w:t>
      </w:r>
      <w:proofErr w:type="spellEnd"/>
      <w:r>
        <w:rPr>
          <w:rFonts w:ascii="AdvOTa5ebdc7c.I" w:hAnsi="AdvOTa5ebdc7c.I" w:cs="AdvOTa5ebdc7c.I"/>
          <w:color w:val="000000"/>
        </w:rPr>
        <w:t xml:space="preserve"> </w:t>
      </w:r>
      <w:proofErr w:type="spellStart"/>
      <w:r>
        <w:rPr>
          <w:rFonts w:ascii="AdvOTa5ebdc7c.I" w:hAnsi="AdvOTa5ebdc7c.I" w:cs="AdvOTa5ebdc7c.I"/>
          <w:color w:val="000000"/>
        </w:rPr>
        <w:t>beticola</w:t>
      </w:r>
      <w:proofErr w:type="spellEnd"/>
      <w:r>
        <w:rPr>
          <w:rFonts w:ascii="AdvOTce2aec1c" w:hAnsi="AdvOTce2aec1c" w:cs="AdvOTce2aec1c"/>
          <w:color w:val="000000"/>
        </w:rPr>
        <w:t>, UV mutants were generated with</w:t>
      </w:r>
      <w:r w:rsidR="00F4076F">
        <w:rPr>
          <w:rFonts w:ascii="AdvOTce2aec1c" w:hAnsi="AdvOTce2aec1c" w:cs="AdvOTce2aec1c"/>
          <w:color w:val="000000"/>
        </w:rPr>
        <w:t xml:space="preserve"> </w:t>
      </w:r>
      <w:r>
        <w:rPr>
          <w:rFonts w:ascii="AdvOTce2aec1c" w:hAnsi="AdvOTce2aec1c" w:cs="AdvOTce2aec1c"/>
          <w:color w:val="000000"/>
        </w:rPr>
        <w:t>G143S or F129V (</w:t>
      </w:r>
      <w:proofErr w:type="spellStart"/>
      <w:r>
        <w:rPr>
          <w:rFonts w:ascii="AdvOTce2aec1c" w:hAnsi="AdvOTce2aec1c" w:cs="AdvOTce2aec1c"/>
          <w:color w:val="2197D2"/>
        </w:rPr>
        <w:t>Malandrakis</w:t>
      </w:r>
      <w:proofErr w:type="spellEnd"/>
      <w:r>
        <w:rPr>
          <w:rFonts w:ascii="AdvOTce2aec1c" w:hAnsi="AdvOTce2aec1c" w:cs="AdvOTce2aec1c"/>
          <w:color w:val="2197D2"/>
        </w:rPr>
        <w:t xml:space="preserve">, </w:t>
      </w:r>
      <w:proofErr w:type="spellStart"/>
      <w:r>
        <w:rPr>
          <w:rFonts w:ascii="AdvOTce2aec1c" w:hAnsi="AdvOTce2aec1c" w:cs="AdvOTce2aec1c"/>
          <w:color w:val="2197D2"/>
        </w:rPr>
        <w:t>Markoglou</w:t>
      </w:r>
      <w:proofErr w:type="spellEnd"/>
      <w:r>
        <w:rPr>
          <w:rFonts w:ascii="AdvOTce2aec1c" w:hAnsi="AdvOTce2aec1c" w:cs="AdvOTce2aec1c"/>
          <w:color w:val="2197D2"/>
        </w:rPr>
        <w:t xml:space="preserve">, Nikou, </w:t>
      </w:r>
      <w:proofErr w:type="spellStart"/>
      <w:r>
        <w:rPr>
          <w:rFonts w:ascii="AdvOTce2aec1c" w:hAnsi="AdvOTce2aec1c" w:cs="AdvOTce2aec1c"/>
          <w:color w:val="2197D2"/>
        </w:rPr>
        <w:t>Vontas</w:t>
      </w:r>
      <w:proofErr w:type="spellEnd"/>
      <w:r>
        <w:rPr>
          <w:rFonts w:ascii="AdvOTce2aec1c" w:hAnsi="AdvOTce2aec1c" w:cs="AdvOTce2aec1c"/>
          <w:color w:val="2197D2"/>
        </w:rPr>
        <w:t xml:space="preserve">, &amp; </w:t>
      </w:r>
      <w:proofErr w:type="spellStart"/>
      <w:r>
        <w:rPr>
          <w:rFonts w:ascii="AdvOTce2aec1c" w:hAnsi="AdvOTce2aec1c" w:cs="AdvOTce2aec1c"/>
          <w:color w:val="2197D2"/>
        </w:rPr>
        <w:t>Ziogas</w:t>
      </w:r>
      <w:proofErr w:type="spellEnd"/>
      <w:r>
        <w:rPr>
          <w:rFonts w:ascii="AdvOTce2aec1c" w:hAnsi="AdvOTce2aec1c" w:cs="AdvOTce2aec1c"/>
          <w:color w:val="2197D2"/>
        </w:rPr>
        <w:t>,</w:t>
      </w:r>
      <w:r w:rsidR="00F4076F">
        <w:rPr>
          <w:rFonts w:ascii="AdvOTce2aec1c" w:hAnsi="AdvOTce2aec1c" w:cs="AdvOTce2aec1c"/>
          <w:color w:val="2197D2"/>
        </w:rPr>
        <w:t xml:space="preserve"> </w:t>
      </w:r>
      <w:r>
        <w:rPr>
          <w:rFonts w:ascii="AdvOTce2aec1c" w:hAnsi="AdvOTce2aec1c" w:cs="AdvOTce2aec1c"/>
          <w:color w:val="2197D2"/>
        </w:rPr>
        <w:t>2006</w:t>
      </w:r>
      <w:r>
        <w:rPr>
          <w:rFonts w:ascii="AdvOTce2aec1c" w:hAnsi="AdvOTce2aec1c" w:cs="AdvOTce2aec1c"/>
          <w:color w:val="000000"/>
        </w:rPr>
        <w:t xml:space="preserve">), but again, only G143A has been reported in the </w:t>
      </w:r>
      <w:r>
        <w:rPr>
          <w:rFonts w:ascii="AdvOTce2aec1c+fb" w:hAnsi="AdvOTce2aec1c+fb" w:cs="AdvOTce2aec1c+fb"/>
          <w:color w:val="000000"/>
        </w:rPr>
        <w:t>fi</w:t>
      </w:r>
      <w:r>
        <w:rPr>
          <w:rFonts w:ascii="AdvOTce2aec1c" w:hAnsi="AdvOTce2aec1c" w:cs="AdvOTce2aec1c"/>
          <w:color w:val="000000"/>
        </w:rPr>
        <w:t>eld (</w:t>
      </w:r>
      <w:r>
        <w:rPr>
          <w:rFonts w:ascii="AdvOTce2aec1c" w:hAnsi="AdvOTce2aec1c" w:cs="AdvOTce2aec1c"/>
          <w:color w:val="2197D2"/>
        </w:rPr>
        <w:t>Birla,</w:t>
      </w:r>
      <w:r w:rsidR="00F4076F">
        <w:rPr>
          <w:rFonts w:ascii="AdvOTce2aec1c" w:hAnsi="AdvOTce2aec1c" w:cs="AdvOTce2aec1c"/>
          <w:color w:val="2197D2"/>
        </w:rPr>
        <w:t xml:space="preserve"> </w:t>
      </w:r>
      <w:r>
        <w:rPr>
          <w:rFonts w:ascii="AdvOTce2aec1c" w:hAnsi="AdvOTce2aec1c" w:cs="AdvOTce2aec1c"/>
          <w:color w:val="2197D2"/>
        </w:rPr>
        <w:t>Rivera-</w:t>
      </w:r>
      <w:proofErr w:type="spellStart"/>
      <w:r>
        <w:rPr>
          <w:rFonts w:ascii="AdvOTce2aec1c" w:hAnsi="AdvOTce2aec1c" w:cs="AdvOTce2aec1c"/>
          <w:color w:val="2197D2"/>
        </w:rPr>
        <w:t>Varas</w:t>
      </w:r>
      <w:proofErr w:type="spellEnd"/>
      <w:r>
        <w:rPr>
          <w:rFonts w:ascii="AdvOTce2aec1c" w:hAnsi="AdvOTce2aec1c" w:cs="AdvOTce2aec1c"/>
          <w:color w:val="2197D2"/>
        </w:rPr>
        <w:t xml:space="preserve">, </w:t>
      </w:r>
      <w:proofErr w:type="spellStart"/>
      <w:r>
        <w:rPr>
          <w:rFonts w:ascii="AdvOTce2aec1c" w:hAnsi="AdvOTce2aec1c" w:cs="AdvOTce2aec1c"/>
          <w:color w:val="2197D2"/>
        </w:rPr>
        <w:t>Secor</w:t>
      </w:r>
      <w:proofErr w:type="spellEnd"/>
      <w:r>
        <w:rPr>
          <w:rFonts w:ascii="AdvOTce2aec1c" w:hAnsi="AdvOTce2aec1c" w:cs="AdvOTce2aec1c"/>
          <w:color w:val="2197D2"/>
        </w:rPr>
        <w:t>, Khan, &amp; Bolton, 2012</w:t>
      </w:r>
      <w:r>
        <w:rPr>
          <w:rFonts w:ascii="AdvOTce2aec1c" w:hAnsi="AdvOTce2aec1c" w:cs="AdvOTce2aec1c"/>
          <w:color w:val="000000"/>
        </w:rPr>
        <w:t>). Spontaneous mutants of</w:t>
      </w:r>
      <w:r w:rsidR="00F4076F">
        <w:rPr>
          <w:rFonts w:ascii="AdvOTce2aec1c" w:hAnsi="AdvOTce2aec1c" w:cs="AdvOTce2aec1c"/>
          <w:color w:val="000000"/>
        </w:rPr>
        <w:t xml:space="preserve"> </w:t>
      </w:r>
      <w:r>
        <w:rPr>
          <w:rFonts w:ascii="AdvOTa5ebdc7c.I" w:hAnsi="AdvOTa5ebdc7c.I" w:cs="AdvOTa5ebdc7c.I"/>
          <w:color w:val="000000"/>
        </w:rPr>
        <w:t xml:space="preserve">B. </w:t>
      </w:r>
      <w:proofErr w:type="spellStart"/>
      <w:r>
        <w:rPr>
          <w:rFonts w:ascii="AdvOTa5ebdc7c.I" w:hAnsi="AdvOTa5ebdc7c.I" w:cs="AdvOTa5ebdc7c.I"/>
          <w:color w:val="000000"/>
        </w:rPr>
        <w:t>cinerea</w:t>
      </w:r>
      <w:proofErr w:type="spellEnd"/>
      <w:r>
        <w:rPr>
          <w:rFonts w:ascii="AdvOTa5ebdc7c.I" w:hAnsi="AdvOTa5ebdc7c.I" w:cs="AdvOTa5ebdc7c.I"/>
          <w:color w:val="000000"/>
        </w:rPr>
        <w:t xml:space="preserve"> </w:t>
      </w:r>
      <w:r>
        <w:rPr>
          <w:rFonts w:ascii="AdvOTce2aec1c" w:hAnsi="AdvOTce2aec1c" w:cs="AdvOTce2aec1c"/>
          <w:color w:val="000000"/>
        </w:rPr>
        <w:t xml:space="preserve">with resistance to the </w:t>
      </w:r>
      <w:proofErr w:type="spellStart"/>
      <w:r>
        <w:rPr>
          <w:rFonts w:ascii="AdvOTce2aec1c" w:hAnsi="AdvOTce2aec1c" w:cs="AdvOTce2aec1c"/>
          <w:color w:val="000000"/>
        </w:rPr>
        <w:t>QoI</w:t>
      </w:r>
      <w:proofErr w:type="spellEnd"/>
      <w:r>
        <w:rPr>
          <w:rFonts w:ascii="AdvOTce2aec1c" w:hAnsi="AdvOTce2aec1c" w:cs="AdvOTce2aec1c"/>
          <w:color w:val="000000"/>
        </w:rPr>
        <w:t xml:space="preserve"> </w:t>
      </w:r>
      <w:proofErr w:type="spellStart"/>
      <w:r>
        <w:rPr>
          <w:rFonts w:ascii="AdvOTce2aec1c" w:hAnsi="AdvOTce2aec1c" w:cs="AdvOTce2aec1c"/>
          <w:color w:val="000000"/>
        </w:rPr>
        <w:t>tri</w:t>
      </w:r>
      <w:r>
        <w:rPr>
          <w:rFonts w:ascii="AdvOTce2aec1c+fb" w:hAnsi="AdvOTce2aec1c+fb" w:cs="AdvOTce2aec1c+fb"/>
          <w:color w:val="000000"/>
        </w:rPr>
        <w:t>fl</w:t>
      </w:r>
      <w:r>
        <w:rPr>
          <w:rFonts w:ascii="AdvOTce2aec1c" w:hAnsi="AdvOTce2aec1c" w:cs="AdvOTce2aec1c"/>
          <w:color w:val="000000"/>
        </w:rPr>
        <w:t>oxystrobin</w:t>
      </w:r>
      <w:proofErr w:type="spellEnd"/>
      <w:r>
        <w:rPr>
          <w:rFonts w:ascii="AdvOTce2aec1c" w:hAnsi="AdvOTce2aec1c" w:cs="AdvOTce2aec1c"/>
          <w:color w:val="000000"/>
        </w:rPr>
        <w:t xml:space="preserve"> were selected in the laboratory</w:t>
      </w:r>
      <w:r w:rsidR="00F4076F">
        <w:rPr>
          <w:rFonts w:ascii="AdvOTce2aec1c" w:hAnsi="AdvOTce2aec1c" w:cs="AdvOTce2aec1c"/>
          <w:color w:val="000000"/>
        </w:rPr>
        <w:t xml:space="preserve"> </w:t>
      </w:r>
      <w:r>
        <w:rPr>
          <w:rFonts w:ascii="AdvOTce2aec1c" w:hAnsi="AdvOTce2aec1c" w:cs="AdvOTce2aec1c"/>
          <w:color w:val="000000"/>
        </w:rPr>
        <w:t>from wild-type sensitive isolates (</w:t>
      </w:r>
      <w:proofErr w:type="spellStart"/>
      <w:r>
        <w:rPr>
          <w:rFonts w:ascii="AdvOTce2aec1c" w:hAnsi="AdvOTce2aec1c" w:cs="AdvOTce2aec1c"/>
          <w:color w:val="2197D2"/>
        </w:rPr>
        <w:t>Angelini</w:t>
      </w:r>
      <w:proofErr w:type="spellEnd"/>
      <w:r>
        <w:rPr>
          <w:rFonts w:ascii="AdvOTce2aec1c" w:hAnsi="AdvOTce2aec1c" w:cs="AdvOTce2aec1c"/>
          <w:color w:val="2197D2"/>
        </w:rPr>
        <w:t xml:space="preserve"> et al., </w:t>
      </w:r>
      <w:r>
        <w:rPr>
          <w:rFonts w:ascii="AdvOTce2aec1c" w:hAnsi="AdvOTce2aec1c" w:cs="AdvOTce2aec1c"/>
          <w:color w:val="2197D2"/>
        </w:rPr>
        <w:lastRenderedPageBreak/>
        <w:t>2012</w:t>
      </w:r>
      <w:r>
        <w:rPr>
          <w:rFonts w:ascii="AdvOTce2aec1c" w:hAnsi="AdvOTce2aec1c" w:cs="AdvOTce2aec1c"/>
          <w:color w:val="000000"/>
        </w:rPr>
        <w:t>), but the</w:t>
      </w:r>
      <w:r w:rsidR="00F4076F">
        <w:rPr>
          <w:rFonts w:ascii="AdvOTce2aec1c" w:hAnsi="AdvOTce2aec1c" w:cs="AdvOTce2aec1c"/>
          <w:color w:val="000000"/>
        </w:rPr>
        <w:t xml:space="preserve"> </w:t>
      </w:r>
      <w:r>
        <w:rPr>
          <w:rFonts w:ascii="AdvOTce2aec1c" w:hAnsi="AdvOTce2aec1c" w:cs="AdvOTce2aec1c"/>
          <w:color w:val="000000"/>
        </w:rPr>
        <w:t>G143A mutation could not be detected, unlike resistant isolates from the</w:t>
      </w:r>
      <w:r w:rsidR="00F4076F">
        <w:rPr>
          <w:rFonts w:ascii="AdvOTce2aec1c" w:hAnsi="AdvOTce2aec1c" w:cs="AdvOTce2aec1c"/>
          <w:color w:val="000000"/>
        </w:rPr>
        <w:t xml:space="preserve"> </w:t>
      </w:r>
      <w:r>
        <w:rPr>
          <w:rFonts w:ascii="AdvOTce2aec1c+fb" w:hAnsi="AdvOTce2aec1c+fb" w:cs="AdvOTce2aec1c+fb"/>
          <w:color w:val="000000"/>
        </w:rPr>
        <w:t>fi</w:t>
      </w:r>
      <w:r>
        <w:rPr>
          <w:rFonts w:ascii="AdvOTce2aec1c" w:hAnsi="AdvOTce2aec1c" w:cs="AdvOTce2aec1c"/>
          <w:color w:val="000000"/>
        </w:rPr>
        <w:t>eld that all had the mutation. The laboratory mutants were unstable in</w:t>
      </w:r>
      <w:r w:rsidR="00F4076F">
        <w:rPr>
          <w:rFonts w:ascii="AdvOTce2aec1c" w:hAnsi="AdvOTce2aec1c" w:cs="AdvOTce2aec1c"/>
          <w:color w:val="000000"/>
        </w:rPr>
        <w:t xml:space="preserve"> </w:t>
      </w:r>
      <w:r>
        <w:rPr>
          <w:rFonts w:ascii="AdvOTce2aec1c" w:hAnsi="AdvOTce2aec1c" w:cs="AdvOTce2aec1c"/>
          <w:color w:val="000000"/>
        </w:rPr>
        <w:t xml:space="preserve">the absence of fungicide selection, and these authors suggested that the </w:t>
      </w:r>
      <w:proofErr w:type="spellStart"/>
      <w:r>
        <w:rPr>
          <w:rFonts w:ascii="AdvOTce2aec1c" w:hAnsi="AdvOTce2aec1c" w:cs="AdvOTce2aec1c"/>
          <w:color w:val="000000"/>
        </w:rPr>
        <w:t>heteroplasmic</w:t>
      </w:r>
      <w:proofErr w:type="spellEnd"/>
      <w:r w:rsidR="00F4076F">
        <w:rPr>
          <w:rFonts w:ascii="AdvOTce2aec1c" w:hAnsi="AdvOTce2aec1c" w:cs="AdvOTce2aec1c"/>
          <w:color w:val="000000"/>
        </w:rPr>
        <w:t xml:space="preserve"> </w:t>
      </w:r>
      <w:r>
        <w:rPr>
          <w:rFonts w:ascii="AdvOTce2aec1c" w:hAnsi="AdvOTce2aec1c" w:cs="AdvOTce2aec1c"/>
          <w:color w:val="000000"/>
        </w:rPr>
        <w:t>state of resistant mitochondria might account for the lack of</w:t>
      </w:r>
      <w:r w:rsidR="00F4076F">
        <w:rPr>
          <w:rFonts w:ascii="AdvOTce2aec1c" w:hAnsi="AdvOTce2aec1c" w:cs="AdvOTce2aec1c"/>
          <w:color w:val="000000"/>
        </w:rPr>
        <w:t xml:space="preserve"> </w:t>
      </w:r>
      <w:r>
        <w:rPr>
          <w:rFonts w:ascii="AdvOTce2aec1c" w:hAnsi="AdvOTce2aec1c" w:cs="AdvOTce2aec1c"/>
          <w:color w:val="000000"/>
        </w:rPr>
        <w:t>detection of G143A and rapid loss of resistance.</w:t>
      </w:r>
    </w:p>
    <w:p w:rsidR="00323035" w:rsidRDefault="00323035" w:rsidP="00323035">
      <w:pPr>
        <w:rPr>
          <w:rFonts w:ascii="AdvOT1ef757c0" w:hAnsi="AdvOT1ef757c0" w:cs="AdvOT1ef757c0"/>
          <w:color w:val="000000"/>
          <w:sz w:val="20"/>
          <w:szCs w:val="20"/>
        </w:rPr>
      </w:pPr>
      <w:r>
        <w:rPr>
          <w:rFonts w:ascii="AdvOTce2aec1c" w:hAnsi="AdvOTce2aec1c" w:cs="AdvOTce2aec1c"/>
          <w:color w:val="000000"/>
        </w:rPr>
        <w:t xml:space="preserve">Recently, </w:t>
      </w:r>
      <w:r>
        <w:rPr>
          <w:rFonts w:ascii="AdvOTa5ebdc7c.I" w:hAnsi="AdvOTa5ebdc7c.I" w:cs="AdvOTa5ebdc7c.I"/>
          <w:color w:val="000000"/>
        </w:rPr>
        <w:t xml:space="preserve">in vitro </w:t>
      </w:r>
      <w:r>
        <w:rPr>
          <w:rFonts w:ascii="AdvOTce2aec1c" w:hAnsi="AdvOTce2aec1c" w:cs="AdvOTce2aec1c"/>
          <w:color w:val="000000"/>
        </w:rPr>
        <w:t>mutagenesis studies have been carried out to predict</w:t>
      </w:r>
      <w:r w:rsidR="00F4076F">
        <w:rPr>
          <w:rFonts w:ascii="AdvOTce2aec1c" w:hAnsi="AdvOTce2aec1c" w:cs="AdvOTce2aec1c"/>
          <w:color w:val="000000"/>
        </w:rPr>
        <w:t xml:space="preserve"> </w:t>
      </w:r>
      <w:r>
        <w:rPr>
          <w:rFonts w:ascii="AdvOTce2aec1c" w:hAnsi="AdvOTce2aec1c" w:cs="AdvOTce2aec1c"/>
          <w:color w:val="000000"/>
        </w:rPr>
        <w:t>possible mechanisms of resistance to the new SDHI fungicides (</w:t>
      </w:r>
      <w:proofErr w:type="spellStart"/>
      <w:r>
        <w:rPr>
          <w:rFonts w:ascii="AdvOTce2aec1c" w:hAnsi="AdvOTce2aec1c" w:cs="AdvOTce2aec1c"/>
          <w:color w:val="2197D2"/>
        </w:rPr>
        <w:t>Avenot</w:t>
      </w:r>
      <w:proofErr w:type="spellEnd"/>
      <w:r>
        <w:rPr>
          <w:rFonts w:ascii="AdvOTce2aec1c" w:hAnsi="AdvOTce2aec1c" w:cs="AdvOTce2aec1c"/>
          <w:color w:val="2197D2"/>
        </w:rPr>
        <w:t xml:space="preserve"> &amp;</w:t>
      </w:r>
      <w:r w:rsidR="00F4076F">
        <w:rPr>
          <w:rFonts w:ascii="AdvOTce2aec1c" w:hAnsi="AdvOTce2aec1c" w:cs="AdvOTce2aec1c"/>
          <w:color w:val="2197D2"/>
        </w:rPr>
        <w:t xml:space="preserve"> </w:t>
      </w:r>
      <w:proofErr w:type="spellStart"/>
      <w:r>
        <w:rPr>
          <w:rFonts w:ascii="AdvOTce2aec1c" w:hAnsi="AdvOTce2aec1c" w:cs="AdvOTce2aec1c"/>
          <w:color w:val="2197D2"/>
        </w:rPr>
        <w:t>Michailides</w:t>
      </w:r>
      <w:proofErr w:type="spellEnd"/>
      <w:r>
        <w:rPr>
          <w:rFonts w:ascii="AdvOTce2aec1c" w:hAnsi="AdvOTce2aec1c" w:cs="AdvOTce2aec1c"/>
          <w:color w:val="2197D2"/>
        </w:rPr>
        <w:t>, 2010</w:t>
      </w:r>
      <w:r>
        <w:rPr>
          <w:rFonts w:ascii="AdvOTce2aec1c" w:hAnsi="AdvOTce2aec1c" w:cs="AdvOTce2aec1c"/>
          <w:color w:val="000000"/>
        </w:rPr>
        <w:t xml:space="preserve">; </w:t>
      </w:r>
      <w:proofErr w:type="spellStart"/>
      <w:r>
        <w:rPr>
          <w:rFonts w:ascii="AdvOTce2aec1c" w:hAnsi="AdvOTce2aec1c" w:cs="AdvOTce2aec1c"/>
          <w:color w:val="2197D2"/>
        </w:rPr>
        <w:t>Sierotzki</w:t>
      </w:r>
      <w:proofErr w:type="spellEnd"/>
      <w:r>
        <w:rPr>
          <w:rFonts w:ascii="AdvOTce2aec1c" w:hAnsi="AdvOTce2aec1c" w:cs="AdvOTce2aec1c"/>
          <w:color w:val="2197D2"/>
        </w:rPr>
        <w:t xml:space="preserve"> &amp; </w:t>
      </w:r>
      <w:proofErr w:type="spellStart"/>
      <w:r>
        <w:rPr>
          <w:rFonts w:ascii="AdvOTce2aec1c" w:hAnsi="AdvOTce2aec1c" w:cs="AdvOTce2aec1c"/>
          <w:color w:val="2197D2"/>
        </w:rPr>
        <w:t>Scalliet</w:t>
      </w:r>
      <w:proofErr w:type="spellEnd"/>
      <w:r>
        <w:rPr>
          <w:rFonts w:ascii="AdvOTce2aec1c" w:hAnsi="AdvOTce2aec1c" w:cs="AdvOTce2aec1c"/>
          <w:color w:val="2197D2"/>
        </w:rPr>
        <w:t>, 2013</w:t>
      </w:r>
      <w:r>
        <w:rPr>
          <w:rFonts w:ascii="AdvOTce2aec1c" w:hAnsi="AdvOTce2aec1c" w:cs="AdvOTce2aec1c"/>
          <w:color w:val="000000"/>
        </w:rPr>
        <w:t xml:space="preserve">). In </w:t>
      </w:r>
      <w:r>
        <w:rPr>
          <w:rFonts w:ascii="AdvOTa5ebdc7c.I" w:hAnsi="AdvOTa5ebdc7c.I" w:cs="AdvOTa5ebdc7c.I"/>
          <w:color w:val="000000"/>
        </w:rPr>
        <w:t xml:space="preserve">B. </w:t>
      </w:r>
      <w:proofErr w:type="spellStart"/>
      <w:r>
        <w:rPr>
          <w:rFonts w:ascii="AdvOTa5ebdc7c.I" w:hAnsi="AdvOTa5ebdc7c.I" w:cs="AdvOTa5ebdc7c.I"/>
          <w:color w:val="000000"/>
        </w:rPr>
        <w:t>cinerea</w:t>
      </w:r>
      <w:proofErr w:type="spellEnd"/>
      <w:r>
        <w:rPr>
          <w:rFonts w:ascii="AdvOTce2aec1c" w:hAnsi="AdvOTce2aec1c" w:cs="AdvOTce2aec1c"/>
          <w:color w:val="000000"/>
        </w:rPr>
        <w:t>, mutations in</w:t>
      </w:r>
      <w:r w:rsidR="00F4076F">
        <w:rPr>
          <w:rFonts w:ascii="AdvOTce2aec1c" w:hAnsi="AdvOTce2aec1c" w:cs="AdvOTce2aec1c"/>
          <w:color w:val="000000"/>
        </w:rPr>
        <w:t xml:space="preserve"> </w:t>
      </w:r>
      <w:proofErr w:type="spellStart"/>
      <w:r>
        <w:rPr>
          <w:rFonts w:ascii="AdvOTce2aec1c" w:hAnsi="AdvOTce2aec1c" w:cs="AdvOTce2aec1c"/>
          <w:color w:val="000000"/>
        </w:rPr>
        <w:t>sdhB</w:t>
      </w:r>
      <w:proofErr w:type="spellEnd"/>
      <w:r>
        <w:rPr>
          <w:rFonts w:ascii="AdvOTce2aec1c" w:hAnsi="AdvOTce2aec1c" w:cs="AdvOTce2aec1c"/>
          <w:color w:val="000000"/>
        </w:rPr>
        <w:t xml:space="preserve"> codon 225 and 272 have been generated </w:t>
      </w:r>
      <w:r>
        <w:rPr>
          <w:rFonts w:ascii="AdvOTa5ebdc7c.I" w:hAnsi="AdvOTa5ebdc7c.I" w:cs="AdvOTa5ebdc7c.I"/>
          <w:color w:val="000000"/>
        </w:rPr>
        <w:t xml:space="preserve">in vitro </w:t>
      </w:r>
      <w:r>
        <w:rPr>
          <w:rFonts w:ascii="AdvOTce2aec1c" w:hAnsi="AdvOTce2aec1c" w:cs="AdvOTce2aec1c"/>
          <w:color w:val="000000"/>
        </w:rPr>
        <w:t>and reported in the</w:t>
      </w:r>
      <w:r w:rsidR="00F4076F">
        <w:rPr>
          <w:rFonts w:ascii="AdvOTce2aec1c" w:hAnsi="AdvOTce2aec1c" w:cs="AdvOTce2aec1c"/>
          <w:color w:val="000000"/>
        </w:rPr>
        <w:t xml:space="preserve"> </w:t>
      </w:r>
      <w:r>
        <w:rPr>
          <w:rFonts w:ascii="AdvOTce2aec1c+fb" w:hAnsi="AdvOTce2aec1c+fb" w:cs="AdvOTce2aec1c+fb"/>
          <w:color w:val="000000"/>
        </w:rPr>
        <w:t>fi</w:t>
      </w:r>
      <w:r>
        <w:rPr>
          <w:rFonts w:ascii="AdvOTce2aec1c" w:hAnsi="AdvOTce2aec1c" w:cs="AdvOTce2aec1c"/>
          <w:color w:val="000000"/>
        </w:rPr>
        <w:t>eld (</w:t>
      </w:r>
      <w:r>
        <w:rPr>
          <w:rFonts w:ascii="AdvOTce2aec1c" w:hAnsi="AdvOTce2aec1c" w:cs="AdvOTce2aec1c"/>
          <w:color w:val="2197D2"/>
        </w:rPr>
        <w:t xml:space="preserve">Walker, </w:t>
      </w:r>
      <w:proofErr w:type="spellStart"/>
      <w:r>
        <w:rPr>
          <w:rFonts w:ascii="AdvOTce2aec1c" w:hAnsi="AdvOTce2aec1c" w:cs="AdvOTce2aec1c"/>
          <w:color w:val="2197D2"/>
        </w:rPr>
        <w:t>Gredt</w:t>
      </w:r>
      <w:proofErr w:type="spellEnd"/>
      <w:r>
        <w:rPr>
          <w:rFonts w:ascii="AdvOTce2aec1c" w:hAnsi="AdvOTce2aec1c" w:cs="AdvOTce2aec1c"/>
          <w:color w:val="2197D2"/>
        </w:rPr>
        <w:t>, &amp; Leroux, 2011</w:t>
      </w:r>
      <w:r>
        <w:rPr>
          <w:rFonts w:ascii="AdvOTce2aec1c" w:hAnsi="AdvOTce2aec1c" w:cs="AdvOTce2aec1c"/>
          <w:color w:val="000000"/>
        </w:rPr>
        <w:t xml:space="preserve">). The B-R54G substitution has been reported in both laboratory mutants and </w:t>
      </w:r>
      <w:r>
        <w:rPr>
          <w:rFonts w:ascii="AdvOTce2aec1c+fb" w:hAnsi="AdvOTce2aec1c+fb" w:cs="AdvOTce2aec1c+fb"/>
          <w:color w:val="000000"/>
        </w:rPr>
        <w:t>fi</w:t>
      </w:r>
      <w:r>
        <w:rPr>
          <w:rFonts w:ascii="AdvOTce2aec1c" w:hAnsi="AdvOTce2aec1c" w:cs="AdvOTce2aec1c"/>
          <w:color w:val="000000"/>
        </w:rPr>
        <w:t>eld isolates (</w:t>
      </w:r>
      <w:proofErr w:type="spellStart"/>
      <w:r>
        <w:rPr>
          <w:rFonts w:ascii="AdvOTce2aec1c" w:hAnsi="AdvOTce2aec1c" w:cs="AdvOTce2aec1c"/>
          <w:color w:val="2197D2"/>
        </w:rPr>
        <w:t>Fraaije</w:t>
      </w:r>
      <w:proofErr w:type="spellEnd"/>
      <w:r>
        <w:rPr>
          <w:rFonts w:ascii="AdvOTce2aec1c" w:hAnsi="AdvOTce2aec1c" w:cs="AdvOTce2aec1c"/>
          <w:color w:val="2197D2"/>
        </w:rPr>
        <w:t xml:space="preserve"> et al.,</w:t>
      </w:r>
      <w:r w:rsidR="00F4076F">
        <w:rPr>
          <w:rFonts w:ascii="AdvOTce2aec1c" w:hAnsi="AdvOTce2aec1c" w:cs="AdvOTce2aec1c"/>
          <w:color w:val="2197D2"/>
        </w:rPr>
        <w:t xml:space="preserve"> </w:t>
      </w:r>
      <w:r>
        <w:rPr>
          <w:rFonts w:ascii="AdvOTce2aec1c" w:hAnsi="AdvOTce2aec1c" w:cs="AdvOTce2aec1c"/>
          <w:color w:val="2197D2"/>
        </w:rPr>
        <w:t>2012</w:t>
      </w:r>
      <w:r>
        <w:rPr>
          <w:rFonts w:ascii="AdvOTce2aec1c" w:hAnsi="AdvOTce2aec1c" w:cs="AdvOTce2aec1c"/>
          <w:color w:val="000000"/>
        </w:rPr>
        <w:t>), but only in combination with different further changes.</w:t>
      </w:r>
      <w:r w:rsidR="00F4076F">
        <w:rPr>
          <w:rFonts w:ascii="AdvOTce2aec1c" w:hAnsi="AdvOTce2aec1c" w:cs="AdvOTce2aec1c"/>
          <w:color w:val="000000"/>
        </w:rPr>
        <w:t xml:space="preserve"> </w:t>
      </w:r>
      <w:r>
        <w:rPr>
          <w:rFonts w:ascii="AdvOTce2aec1c" w:hAnsi="AdvOTce2aec1c" w:cs="AdvOTce2aec1c"/>
          <w:color w:val="000000"/>
        </w:rPr>
        <w:t>Eight mutations</w:t>
      </w:r>
      <w:r w:rsidR="00F4076F">
        <w:rPr>
          <w:rFonts w:ascii="AdvOTce2aec1c" w:hAnsi="AdvOTce2aec1c" w:cs="AdvOTce2aec1c"/>
          <w:color w:val="000000"/>
        </w:rPr>
        <w:t xml:space="preserve"> </w:t>
      </w:r>
      <w:r>
        <w:rPr>
          <w:rFonts w:ascii="AdvOTce2aec1c" w:hAnsi="AdvOTce2aec1c" w:cs="AdvOTce2aec1c"/>
          <w:color w:val="000000"/>
        </w:rPr>
        <w:t xml:space="preserve">found in laboratory mutants of </w:t>
      </w:r>
      <w:r>
        <w:rPr>
          <w:rFonts w:ascii="AdvOTa5ebdc7c.I" w:hAnsi="AdvOTa5ebdc7c.I" w:cs="AdvOTa5ebdc7c.I"/>
          <w:color w:val="000000"/>
        </w:rPr>
        <w:t xml:space="preserve">Z. </w:t>
      </w:r>
      <w:proofErr w:type="spellStart"/>
      <w:r>
        <w:rPr>
          <w:rFonts w:ascii="AdvOTa5ebdc7c.I" w:hAnsi="AdvOTa5ebdc7c.I" w:cs="AdvOTa5ebdc7c.I"/>
          <w:color w:val="000000"/>
        </w:rPr>
        <w:t>tritici</w:t>
      </w:r>
      <w:proofErr w:type="spellEnd"/>
      <w:r>
        <w:rPr>
          <w:rFonts w:ascii="AdvOTa5ebdc7c.I" w:hAnsi="AdvOTa5ebdc7c.I" w:cs="AdvOTa5ebdc7c.I"/>
          <w:color w:val="000000"/>
        </w:rPr>
        <w:t xml:space="preserve"> </w:t>
      </w:r>
      <w:r>
        <w:rPr>
          <w:rFonts w:ascii="AdvOTce2aec1c" w:hAnsi="AdvOTce2aec1c" w:cs="AdvOTce2aec1c"/>
          <w:color w:val="000000"/>
        </w:rPr>
        <w:t>(</w:t>
      </w:r>
      <w:proofErr w:type="spellStart"/>
      <w:r>
        <w:rPr>
          <w:rFonts w:ascii="AdvOTce2aec1c" w:hAnsi="AdvOTce2aec1c" w:cs="AdvOTce2aec1c"/>
          <w:color w:val="2197D2"/>
        </w:rPr>
        <w:t>Fraaije</w:t>
      </w:r>
      <w:proofErr w:type="spellEnd"/>
      <w:r>
        <w:rPr>
          <w:rFonts w:ascii="AdvOTce2aec1c" w:hAnsi="AdvOTce2aec1c" w:cs="AdvOTce2aec1c"/>
          <w:color w:val="2197D2"/>
        </w:rPr>
        <w:t xml:space="preserve"> et al., 2012</w:t>
      </w:r>
      <w:r>
        <w:rPr>
          <w:rFonts w:ascii="AdvOTce2aec1c" w:hAnsi="AdvOTce2aec1c" w:cs="AdvOTce2aec1c"/>
          <w:color w:val="000000"/>
        </w:rPr>
        <w:t xml:space="preserve">; </w:t>
      </w:r>
      <w:proofErr w:type="spellStart"/>
      <w:r>
        <w:rPr>
          <w:rFonts w:ascii="AdvOTce2aec1c" w:hAnsi="AdvOTce2aec1c" w:cs="AdvOTce2aec1c"/>
          <w:color w:val="2197D2"/>
        </w:rPr>
        <w:t>Scalliet</w:t>
      </w:r>
      <w:proofErr w:type="spellEnd"/>
      <w:r w:rsidR="00F4076F">
        <w:rPr>
          <w:rFonts w:ascii="AdvOTce2aec1c" w:hAnsi="AdvOTce2aec1c" w:cs="AdvOTce2aec1c"/>
          <w:color w:val="2197D2"/>
        </w:rPr>
        <w:t xml:space="preserve"> </w:t>
      </w:r>
      <w:r>
        <w:rPr>
          <w:rFonts w:ascii="AdvOTce2aec1c" w:hAnsi="AdvOTce2aec1c" w:cs="AdvOTce2aec1c"/>
          <w:color w:val="2197D2"/>
        </w:rPr>
        <w:t>et al., 2012</w:t>
      </w:r>
      <w:r>
        <w:rPr>
          <w:rFonts w:ascii="AdvOTce2aec1c" w:hAnsi="AdvOTce2aec1c" w:cs="AdvOTce2aec1c"/>
          <w:color w:val="000000"/>
        </w:rPr>
        <w:t xml:space="preserve">) and </w:t>
      </w:r>
      <w:r>
        <w:rPr>
          <w:rFonts w:ascii="AdvOTa5ebdc7c.I" w:hAnsi="AdvOTa5ebdc7c.I" w:cs="AdvOTa5ebdc7c.I"/>
          <w:color w:val="000000"/>
        </w:rPr>
        <w:t xml:space="preserve">Aspergillus </w:t>
      </w:r>
      <w:proofErr w:type="spellStart"/>
      <w:r>
        <w:rPr>
          <w:rFonts w:ascii="AdvOTa5ebdc7c.I" w:hAnsi="AdvOTa5ebdc7c.I" w:cs="AdvOTa5ebdc7c.I"/>
          <w:color w:val="000000"/>
        </w:rPr>
        <w:t>oryzae</w:t>
      </w:r>
      <w:proofErr w:type="spellEnd"/>
      <w:r>
        <w:rPr>
          <w:rFonts w:ascii="AdvOTa5ebdc7c.I" w:hAnsi="AdvOTa5ebdc7c.I" w:cs="AdvOTa5ebdc7c.I"/>
          <w:color w:val="000000"/>
        </w:rPr>
        <w:t xml:space="preserve"> </w:t>
      </w:r>
      <w:r>
        <w:rPr>
          <w:rFonts w:ascii="AdvOTce2aec1c" w:hAnsi="AdvOTce2aec1c" w:cs="AdvOTce2aec1c"/>
          <w:color w:val="000000"/>
        </w:rPr>
        <w:t>(</w:t>
      </w:r>
      <w:proofErr w:type="spellStart"/>
      <w:r>
        <w:rPr>
          <w:rFonts w:ascii="AdvOTce2aec1c" w:hAnsi="AdvOTce2aec1c" w:cs="AdvOTce2aec1c"/>
          <w:color w:val="2197D2"/>
        </w:rPr>
        <w:t>Shima</w:t>
      </w:r>
      <w:proofErr w:type="spellEnd"/>
      <w:r>
        <w:rPr>
          <w:rFonts w:ascii="AdvOTce2aec1c" w:hAnsi="AdvOTce2aec1c" w:cs="AdvOTce2aec1c"/>
          <w:color w:val="2197D2"/>
        </w:rPr>
        <w:t xml:space="preserve"> et al., 2009</w:t>
      </w:r>
      <w:r>
        <w:rPr>
          <w:rFonts w:ascii="AdvOTce2aec1c" w:hAnsi="AdvOTce2aec1c" w:cs="AdvOTce2aec1c"/>
          <w:color w:val="000000"/>
        </w:rPr>
        <w:t>) have been reported</w:t>
      </w:r>
      <w:r w:rsidR="00F4076F">
        <w:rPr>
          <w:rFonts w:ascii="AdvOTce2aec1c" w:hAnsi="AdvOTce2aec1c" w:cs="AdvOTce2aec1c"/>
          <w:color w:val="000000"/>
        </w:rPr>
        <w:t xml:space="preserve"> </w:t>
      </w:r>
      <w:r>
        <w:rPr>
          <w:rFonts w:ascii="AdvOTce2aec1c" w:hAnsi="AdvOTce2aec1c" w:cs="AdvOTce2aec1c"/>
          <w:color w:val="000000"/>
        </w:rPr>
        <w:t xml:space="preserve">in </w:t>
      </w:r>
      <w:r>
        <w:rPr>
          <w:rFonts w:ascii="AdvOTce2aec1c+fb" w:hAnsi="AdvOTce2aec1c+fb" w:cs="AdvOTce2aec1c+fb"/>
          <w:color w:val="000000"/>
        </w:rPr>
        <w:t>fi</w:t>
      </w:r>
      <w:r>
        <w:rPr>
          <w:rFonts w:ascii="AdvOTce2aec1c" w:hAnsi="AdvOTce2aec1c" w:cs="AdvOTce2aec1c"/>
          <w:color w:val="000000"/>
        </w:rPr>
        <w:t xml:space="preserve">eld isolates of other species, ….. </w:t>
      </w:r>
      <w:r>
        <w:rPr>
          <w:rFonts w:ascii="AdvOTce2aec1c" w:hAnsi="AdvOTce2aec1c" w:cs="AdvOTce2aec1c"/>
        </w:rPr>
        <w:t>but</w:t>
      </w:r>
      <w:r w:rsidR="00F4076F">
        <w:rPr>
          <w:rFonts w:ascii="AdvOTce2aec1c" w:hAnsi="AdvOTce2aec1c" w:cs="AdvOTce2aec1c"/>
        </w:rPr>
        <w:t xml:space="preserve"> </w:t>
      </w:r>
      <w:r>
        <w:rPr>
          <w:rFonts w:ascii="AdvOTce2aec1c" w:hAnsi="AdvOTce2aec1c" w:cs="AdvOTce2aec1c"/>
        </w:rPr>
        <w:t>a further 30 mutations have so far only been reported in laboratory mutants</w:t>
      </w:r>
      <w:r w:rsidR="00F4076F">
        <w:rPr>
          <w:rFonts w:ascii="AdvOTce2aec1c" w:hAnsi="AdvOTce2aec1c" w:cs="AdvOTce2aec1c"/>
        </w:rPr>
        <w:t xml:space="preserve"> </w:t>
      </w:r>
      <w:r>
        <w:rPr>
          <w:rFonts w:ascii="AdvOTce2aec1c" w:hAnsi="AdvOTce2aec1c" w:cs="AdvOTce2aec1c"/>
        </w:rPr>
        <w:t xml:space="preserve">of various species and 20 other </w:t>
      </w:r>
      <w:r w:rsidRPr="003B1B4A">
        <w:rPr>
          <w:rFonts w:ascii="AdvOTce2aec1c" w:hAnsi="AdvOTce2aec1c" w:cs="AdvOTce2aec1c"/>
          <w:highlight w:val="green"/>
        </w:rPr>
        <w:t xml:space="preserve">mutations only in the </w:t>
      </w:r>
      <w:r w:rsidRPr="003B1B4A">
        <w:rPr>
          <w:rFonts w:ascii="AdvOTce2aec1c+fb" w:hAnsi="AdvOTce2aec1c+fb" w:cs="AdvOTce2aec1c+fb"/>
          <w:highlight w:val="green"/>
        </w:rPr>
        <w:t>fi</w:t>
      </w:r>
      <w:r w:rsidRPr="003B1B4A">
        <w:rPr>
          <w:rFonts w:ascii="AdvOTce2aec1c" w:hAnsi="AdvOTce2aec1c" w:cs="AdvOTce2aec1c"/>
          <w:highlight w:val="green"/>
        </w:rPr>
        <w:t>eld, although not all</w:t>
      </w:r>
      <w:r w:rsidR="00F4076F" w:rsidRPr="003B1B4A">
        <w:rPr>
          <w:rFonts w:ascii="AdvOTce2aec1c" w:hAnsi="AdvOTce2aec1c" w:cs="AdvOTce2aec1c"/>
          <w:highlight w:val="green"/>
        </w:rPr>
        <w:t xml:space="preserve"> </w:t>
      </w:r>
      <w:r w:rsidRPr="003B1B4A">
        <w:rPr>
          <w:rFonts w:ascii="AdvOTce2aec1c" w:hAnsi="AdvOTce2aec1c" w:cs="AdvOTce2aec1c"/>
          <w:highlight w:val="green"/>
        </w:rPr>
        <w:t>are associated with reduced fungicide sensitivity</w:t>
      </w:r>
      <w:r>
        <w:rPr>
          <w:rFonts w:ascii="AdvOTce2aec1c" w:hAnsi="AdvOTce2aec1c" w:cs="AdvOTce2aec1c"/>
        </w:rPr>
        <w:t>.</w:t>
      </w:r>
    </w:p>
    <w:p w:rsidR="00323035" w:rsidRDefault="00323035" w:rsidP="00D61AAA">
      <w:pPr>
        <w:rPr>
          <w:rFonts w:ascii="AdvOT1ef757c0" w:hAnsi="AdvOT1ef757c0" w:cs="AdvOT1ef757c0"/>
          <w:color w:val="000000"/>
          <w:sz w:val="20"/>
          <w:szCs w:val="20"/>
        </w:rPr>
      </w:pPr>
    </w:p>
    <w:p w:rsidR="00323035" w:rsidRDefault="00323035" w:rsidP="00D61AAA">
      <w:pPr>
        <w:rPr>
          <w:rFonts w:ascii="AdvOT1ef757c0" w:hAnsi="AdvOT1ef757c0" w:cs="AdvOT1ef757c0"/>
          <w:color w:val="000000"/>
          <w:sz w:val="20"/>
          <w:szCs w:val="20"/>
        </w:rPr>
      </w:pPr>
    </w:p>
    <w:p w:rsidR="007819D2" w:rsidRDefault="007819D2" w:rsidP="007819D2">
      <w:pPr>
        <w:autoSpaceDE w:val="0"/>
        <w:autoSpaceDN w:val="0"/>
        <w:adjustRightInd w:val="0"/>
        <w:spacing w:after="0" w:line="240" w:lineRule="auto"/>
        <w:rPr>
          <w:rFonts w:ascii="AdvOTce3d9a73" w:hAnsi="AdvOTce3d9a73" w:cs="AdvOTce3d9a73"/>
          <w:color w:val="000000"/>
          <w:sz w:val="24"/>
          <w:szCs w:val="24"/>
        </w:rPr>
      </w:pPr>
      <w:r>
        <w:rPr>
          <w:rFonts w:ascii="AdvOTce3d9a73" w:hAnsi="AdvOTce3d9a73" w:cs="AdvOTce3d9a73"/>
          <w:color w:val="000000"/>
          <w:sz w:val="24"/>
          <w:szCs w:val="24"/>
        </w:rPr>
        <w:t>6.2 Fitness Costs</w:t>
      </w:r>
    </w:p>
    <w:p w:rsidR="007819D2" w:rsidRDefault="007819D2" w:rsidP="007819D2">
      <w:pPr>
        <w:rPr>
          <w:rFonts w:ascii="AdvOTce2aec1c" w:hAnsi="AdvOTce2aec1c" w:cs="AdvOTce2aec1c"/>
        </w:rPr>
      </w:pPr>
      <w:r>
        <w:rPr>
          <w:rFonts w:ascii="AdvOTce2aec1c" w:hAnsi="AdvOTce2aec1c" w:cs="AdvOTce2aec1c"/>
          <w:color w:val="000000"/>
        </w:rPr>
        <w:t xml:space="preserve">A frequently suggested reason for mutations generated </w:t>
      </w:r>
      <w:r>
        <w:rPr>
          <w:rFonts w:ascii="AdvOTa5ebdc7c.I" w:hAnsi="AdvOTa5ebdc7c.I" w:cs="AdvOTa5ebdc7c.I"/>
          <w:color w:val="000000"/>
        </w:rPr>
        <w:t xml:space="preserve">in vitro </w:t>
      </w:r>
      <w:r>
        <w:rPr>
          <w:rFonts w:ascii="AdvOTce2aec1c" w:hAnsi="AdvOTce2aec1c" w:cs="AdvOTce2aec1c"/>
          <w:color w:val="000000"/>
        </w:rPr>
        <w:t>not emerging</w:t>
      </w:r>
      <w:r w:rsidR="00F4076F">
        <w:rPr>
          <w:rFonts w:ascii="AdvOTce2aec1c" w:hAnsi="AdvOTce2aec1c" w:cs="AdvOTce2aec1c"/>
          <w:color w:val="000000"/>
        </w:rPr>
        <w:t xml:space="preserve"> </w:t>
      </w:r>
      <w:r>
        <w:rPr>
          <w:rFonts w:ascii="AdvOTce2aec1c" w:hAnsi="AdvOTce2aec1c" w:cs="AdvOTce2aec1c"/>
          <w:color w:val="000000"/>
        </w:rPr>
        <w:t xml:space="preserve">in the </w:t>
      </w:r>
      <w:r>
        <w:rPr>
          <w:rFonts w:ascii="AdvOTce2aec1c+fb" w:hAnsi="AdvOTce2aec1c+fb" w:cs="AdvOTce2aec1c+fb"/>
          <w:color w:val="000000"/>
        </w:rPr>
        <w:t>fi</w:t>
      </w:r>
      <w:r>
        <w:rPr>
          <w:rFonts w:ascii="AdvOTce2aec1c" w:hAnsi="AdvOTce2aec1c" w:cs="AdvOTce2aec1c"/>
          <w:color w:val="000000"/>
        </w:rPr>
        <w:t>eld is that some mutations result in p</w:t>
      </w:r>
      <w:r w:rsidRPr="007819D2">
        <w:rPr>
          <w:rFonts w:ascii="AdvOTce2aec1c" w:hAnsi="AdvOTce2aec1c" w:cs="AdvOTce2aec1c"/>
          <w:color w:val="000000"/>
          <w:highlight w:val="green"/>
        </w:rPr>
        <w:t>leiotropi</w:t>
      </w:r>
      <w:r>
        <w:rPr>
          <w:rFonts w:ascii="AdvOTce2aec1c" w:hAnsi="AdvOTce2aec1c" w:cs="AdvOTce2aec1c"/>
          <w:color w:val="000000"/>
        </w:rPr>
        <w:t xml:space="preserve">c </w:t>
      </w:r>
      <w:r>
        <w:rPr>
          <w:rFonts w:ascii="AdvOTce2aec1c+fb" w:hAnsi="AdvOTce2aec1c+fb" w:cs="AdvOTce2aec1c+fb"/>
          <w:color w:val="000000"/>
        </w:rPr>
        <w:t>fi</w:t>
      </w:r>
      <w:r>
        <w:rPr>
          <w:rFonts w:ascii="AdvOTce2aec1c" w:hAnsi="AdvOTce2aec1c" w:cs="AdvOTce2aec1c"/>
          <w:color w:val="000000"/>
        </w:rPr>
        <w:t>tness costs (</w:t>
      </w:r>
      <w:r>
        <w:rPr>
          <w:rFonts w:ascii="AdvOTce2aec1c" w:hAnsi="AdvOTce2aec1c" w:cs="AdvOTce2aec1c"/>
          <w:color w:val="2197D2"/>
        </w:rPr>
        <w:t>Avila-</w:t>
      </w:r>
      <w:r w:rsidR="00F4076F">
        <w:rPr>
          <w:rFonts w:ascii="AdvOTce2aec1c" w:hAnsi="AdvOTce2aec1c" w:cs="AdvOTce2aec1c"/>
          <w:color w:val="2197D2"/>
        </w:rPr>
        <w:t xml:space="preserve"> </w:t>
      </w:r>
      <w:proofErr w:type="spellStart"/>
      <w:r>
        <w:rPr>
          <w:rFonts w:ascii="AdvOTce2aec1c" w:hAnsi="AdvOTce2aec1c" w:cs="AdvOTce2aec1c"/>
          <w:color w:val="2197D2"/>
        </w:rPr>
        <w:t>Adame</w:t>
      </w:r>
      <w:proofErr w:type="spellEnd"/>
      <w:r>
        <w:rPr>
          <w:rFonts w:ascii="AdvOTce2aec1c" w:hAnsi="AdvOTce2aec1c" w:cs="AdvOTce2aec1c"/>
          <w:color w:val="2197D2"/>
        </w:rPr>
        <w:t xml:space="preserve"> &amp; </w:t>
      </w:r>
      <w:proofErr w:type="spellStart"/>
      <w:r>
        <w:rPr>
          <w:rFonts w:ascii="AdvOTce2aec1c" w:hAnsi="AdvOTce2aec1c" w:cs="AdvOTce2aec1c"/>
          <w:color w:val="2197D2"/>
        </w:rPr>
        <w:t>K</w:t>
      </w:r>
      <w:r>
        <w:rPr>
          <w:rFonts w:ascii="AdvP4C4E59" w:hAnsi="AdvP4C4E59" w:cs="AdvP4C4E59"/>
          <w:color w:val="2197D2"/>
        </w:rPr>
        <w:t>€</w:t>
      </w:r>
      <w:r>
        <w:rPr>
          <w:rFonts w:ascii="AdvOTce2aec1c" w:hAnsi="AdvOTce2aec1c" w:cs="AdvOTce2aec1c"/>
          <w:color w:val="2197D2"/>
        </w:rPr>
        <w:t>oller</w:t>
      </w:r>
      <w:proofErr w:type="spellEnd"/>
      <w:r>
        <w:rPr>
          <w:rFonts w:ascii="AdvOTce2aec1c" w:hAnsi="AdvOTce2aec1c" w:cs="AdvOTce2aec1c"/>
          <w:color w:val="2197D2"/>
        </w:rPr>
        <w:t>, 2003</w:t>
      </w:r>
      <w:r>
        <w:rPr>
          <w:rFonts w:ascii="AdvOTce2aec1c" w:hAnsi="AdvOTce2aec1c" w:cs="AdvOTce2aec1c"/>
          <w:color w:val="000000"/>
        </w:rPr>
        <w:t xml:space="preserve">; </w:t>
      </w:r>
      <w:proofErr w:type="spellStart"/>
      <w:r>
        <w:rPr>
          <w:rFonts w:ascii="AdvOTce2aec1c" w:hAnsi="AdvOTce2aec1c" w:cs="AdvOTce2aec1c"/>
          <w:color w:val="2197D2"/>
        </w:rPr>
        <w:t>Davidse</w:t>
      </w:r>
      <w:proofErr w:type="spellEnd"/>
      <w:r>
        <w:rPr>
          <w:rFonts w:ascii="AdvOTce2aec1c" w:hAnsi="AdvOTce2aec1c" w:cs="AdvOTce2aec1c"/>
          <w:color w:val="2197D2"/>
        </w:rPr>
        <w:t xml:space="preserve"> &amp; Ishii, 1995</w:t>
      </w:r>
      <w:r>
        <w:rPr>
          <w:rFonts w:ascii="AdvOTce2aec1c" w:hAnsi="AdvOTce2aec1c" w:cs="AdvOTce2aec1c"/>
          <w:color w:val="000000"/>
        </w:rPr>
        <w:t xml:space="preserve">). In typical </w:t>
      </w:r>
      <w:r>
        <w:rPr>
          <w:rFonts w:ascii="AdvOTa5ebdc7c.I" w:hAnsi="AdvOTa5ebdc7c.I" w:cs="AdvOTa5ebdc7c.I"/>
          <w:color w:val="000000"/>
        </w:rPr>
        <w:t xml:space="preserve">in vitro </w:t>
      </w:r>
      <w:r>
        <w:rPr>
          <w:rFonts w:ascii="AdvOTce2aec1c" w:hAnsi="AdvOTce2aec1c" w:cs="AdvOTce2aec1c"/>
          <w:color w:val="000000"/>
        </w:rPr>
        <w:t>selection</w:t>
      </w:r>
      <w:r w:rsidR="00F4076F">
        <w:rPr>
          <w:rFonts w:ascii="AdvOTce2aec1c" w:hAnsi="AdvOTce2aec1c" w:cs="AdvOTce2aec1c"/>
          <w:color w:val="000000"/>
        </w:rPr>
        <w:t xml:space="preserve"> </w:t>
      </w:r>
      <w:r>
        <w:rPr>
          <w:rFonts w:ascii="AdvOTce2aec1c" w:hAnsi="AdvOTce2aec1c" w:cs="AdvOTce2aec1c"/>
          <w:color w:val="000000"/>
        </w:rPr>
        <w:t>experiments, fungicide-resistant mutants are able to grow on agar plates as</w:t>
      </w:r>
      <w:r w:rsidR="00F4076F">
        <w:rPr>
          <w:rFonts w:ascii="AdvOTce2aec1c" w:hAnsi="AdvOTce2aec1c" w:cs="AdvOTce2aec1c"/>
          <w:color w:val="000000"/>
        </w:rPr>
        <w:t xml:space="preserve"> </w:t>
      </w:r>
      <w:r>
        <w:rPr>
          <w:rFonts w:ascii="AdvOTce2aec1c" w:hAnsi="AdvOTce2aec1c" w:cs="AdvOTce2aec1c"/>
          <w:color w:val="000000"/>
        </w:rPr>
        <w:t>single-spore colonies unless the mutations are actually lethal, whereas in</w:t>
      </w:r>
      <w:r w:rsidR="00F4076F">
        <w:rPr>
          <w:rFonts w:ascii="AdvOTce2aec1c" w:hAnsi="AdvOTce2aec1c" w:cs="AdvOTce2aec1c"/>
          <w:color w:val="000000"/>
        </w:rPr>
        <w:t xml:space="preserve"> </w:t>
      </w:r>
      <w:r>
        <w:rPr>
          <w:rFonts w:ascii="AdvOTce2aec1c" w:hAnsi="AdvOTce2aec1c" w:cs="AdvOTce2aec1c"/>
          <w:color w:val="000000"/>
        </w:rPr>
        <w:t xml:space="preserve">the </w:t>
      </w:r>
      <w:r>
        <w:rPr>
          <w:rFonts w:ascii="AdvOTce2aec1c+fb" w:hAnsi="AdvOTce2aec1c+fb" w:cs="AdvOTce2aec1c+fb"/>
          <w:color w:val="000000"/>
        </w:rPr>
        <w:t>fi</w:t>
      </w:r>
      <w:r>
        <w:rPr>
          <w:rFonts w:ascii="AdvOTce2aec1c" w:hAnsi="AdvOTce2aec1c" w:cs="AdvOTce2aec1c"/>
          <w:color w:val="000000"/>
        </w:rPr>
        <w:t xml:space="preserve">eld, mutants must be pathogenic </w:t>
      </w:r>
      <w:r>
        <w:rPr>
          <w:rFonts w:ascii="AdvOTa5ebdc7c.I" w:hAnsi="AdvOTa5ebdc7c.I" w:cs="AdvOTa5ebdc7c.I"/>
          <w:color w:val="000000"/>
        </w:rPr>
        <w:t xml:space="preserve">in planta </w:t>
      </w:r>
      <w:r>
        <w:rPr>
          <w:rFonts w:ascii="AdvOTce2aec1c" w:hAnsi="AdvOTce2aec1c" w:cs="AdvOTce2aec1c"/>
          <w:color w:val="000000"/>
        </w:rPr>
        <w:t>and competitive against other</w:t>
      </w:r>
      <w:r w:rsidR="00F4076F">
        <w:rPr>
          <w:rFonts w:ascii="AdvOTce2aec1c" w:hAnsi="AdvOTce2aec1c" w:cs="AdvOTce2aec1c"/>
          <w:color w:val="000000"/>
        </w:rPr>
        <w:t xml:space="preserve"> </w:t>
      </w:r>
      <w:r>
        <w:rPr>
          <w:rFonts w:ascii="AdvOTce2aec1c" w:hAnsi="AdvOTce2aec1c" w:cs="AdvOTce2aec1c"/>
          <w:color w:val="000000"/>
        </w:rPr>
        <w:t xml:space="preserve">isolates. </w:t>
      </w:r>
      <w:r>
        <w:rPr>
          <w:rFonts w:ascii="AdvOTa5ebdc7c.I" w:hAnsi="AdvOTa5ebdc7c.I" w:cs="AdvOTa5ebdc7c.I"/>
          <w:color w:val="000000"/>
        </w:rPr>
        <w:t xml:space="preserve">Fusarium </w:t>
      </w:r>
      <w:proofErr w:type="spellStart"/>
      <w:r>
        <w:rPr>
          <w:rFonts w:ascii="AdvOTa5ebdc7c.I" w:hAnsi="AdvOTa5ebdc7c.I" w:cs="AdvOTa5ebdc7c.I"/>
          <w:color w:val="000000"/>
        </w:rPr>
        <w:t>moniliforme</w:t>
      </w:r>
      <w:proofErr w:type="spellEnd"/>
      <w:r>
        <w:rPr>
          <w:rFonts w:ascii="AdvOTa5ebdc7c.I" w:hAnsi="AdvOTa5ebdc7c.I" w:cs="AdvOTa5ebdc7c.I"/>
          <w:color w:val="000000"/>
        </w:rPr>
        <w:t xml:space="preserve"> </w:t>
      </w:r>
      <w:r>
        <w:rPr>
          <w:rFonts w:ascii="AdvOTce2aec1c" w:hAnsi="AdvOTce2aec1c" w:cs="AdvOTce2aec1c"/>
          <w:color w:val="000000"/>
        </w:rPr>
        <w:t>Y50R mutants (</w:t>
      </w:r>
      <w:r>
        <w:rPr>
          <w:rFonts w:ascii="AdvOTce2aec1c" w:hAnsi="AdvOTce2aec1c" w:cs="AdvOTce2aec1c"/>
          <w:color w:val="2197D2"/>
        </w:rPr>
        <w:t xml:space="preserve">Yan &amp; </w:t>
      </w:r>
      <w:proofErr w:type="spellStart"/>
      <w:r>
        <w:rPr>
          <w:rFonts w:ascii="AdvOTce2aec1c" w:hAnsi="AdvOTce2aec1c" w:cs="AdvOTce2aec1c"/>
          <w:color w:val="2197D2"/>
        </w:rPr>
        <w:t>Dickman</w:t>
      </w:r>
      <w:proofErr w:type="spellEnd"/>
      <w:r>
        <w:rPr>
          <w:rFonts w:ascii="AdvOTce2aec1c" w:hAnsi="AdvOTce2aec1c" w:cs="AdvOTce2aec1c"/>
          <w:color w:val="2197D2"/>
        </w:rPr>
        <w:t>, 1996</w:t>
      </w:r>
      <w:r>
        <w:rPr>
          <w:rFonts w:ascii="AdvOTce2aec1c" w:hAnsi="AdvOTce2aec1c" w:cs="AdvOTce2aec1c"/>
          <w:color w:val="000000"/>
        </w:rPr>
        <w:t xml:space="preserve">), </w:t>
      </w:r>
      <w:r>
        <w:rPr>
          <w:rFonts w:ascii="AdvOTa5ebdc7c.I" w:hAnsi="AdvOTa5ebdc7c.I" w:cs="AdvOTa5ebdc7c.I"/>
          <w:color w:val="000000"/>
        </w:rPr>
        <w:t>S. cerevisiae</w:t>
      </w:r>
      <w:r w:rsidR="00F4076F">
        <w:rPr>
          <w:rFonts w:ascii="AdvOTa5ebdc7c.I" w:hAnsi="AdvOTa5ebdc7c.I" w:cs="AdvOTa5ebdc7c.I"/>
          <w:color w:val="000000"/>
        </w:rPr>
        <w:t xml:space="preserve"> </w:t>
      </w:r>
      <w:r>
        <w:rPr>
          <w:rFonts w:ascii="AdvOTce2aec1c" w:hAnsi="AdvOTce2aec1c" w:cs="AdvOTce2aec1c"/>
          <w:color w:val="000000"/>
        </w:rPr>
        <w:t>F167Y mutants (</w:t>
      </w:r>
      <w:r>
        <w:rPr>
          <w:rFonts w:ascii="AdvOTce2aec1c" w:hAnsi="AdvOTce2aec1c" w:cs="AdvOTce2aec1c"/>
          <w:color w:val="2197D2"/>
        </w:rPr>
        <w:t xml:space="preserve">Li, </w:t>
      </w:r>
      <w:proofErr w:type="spellStart"/>
      <w:r>
        <w:rPr>
          <w:rFonts w:ascii="AdvOTce2aec1c" w:hAnsi="AdvOTce2aec1c" w:cs="AdvOTce2aec1c"/>
          <w:color w:val="2197D2"/>
        </w:rPr>
        <w:t>Katiyar</w:t>
      </w:r>
      <w:proofErr w:type="spellEnd"/>
      <w:r>
        <w:rPr>
          <w:rFonts w:ascii="AdvOTce2aec1c" w:hAnsi="AdvOTce2aec1c" w:cs="AdvOTce2aec1c"/>
          <w:color w:val="2197D2"/>
        </w:rPr>
        <w:t xml:space="preserve">, &amp; </w:t>
      </w:r>
      <w:proofErr w:type="spellStart"/>
      <w:r>
        <w:rPr>
          <w:rFonts w:ascii="AdvOTce2aec1c" w:hAnsi="AdvOTce2aec1c" w:cs="AdvOTce2aec1c"/>
          <w:color w:val="2197D2"/>
        </w:rPr>
        <w:t>Edlind</w:t>
      </w:r>
      <w:proofErr w:type="spellEnd"/>
      <w:r>
        <w:rPr>
          <w:rFonts w:ascii="AdvOTce2aec1c" w:hAnsi="AdvOTce2aec1c" w:cs="AdvOTce2aec1c"/>
          <w:color w:val="2197D2"/>
        </w:rPr>
        <w:t>, 1996</w:t>
      </w:r>
      <w:r>
        <w:rPr>
          <w:rFonts w:ascii="AdvOTce2aec1c" w:hAnsi="AdvOTce2aec1c" w:cs="AdvOTce2aec1c"/>
          <w:color w:val="000000"/>
        </w:rPr>
        <w:t>), and three of the</w:t>
      </w:r>
      <w:r w:rsidR="00F4076F">
        <w:rPr>
          <w:rFonts w:ascii="AdvOTce2aec1c" w:hAnsi="AdvOTce2aec1c" w:cs="AdvOTce2aec1c"/>
          <w:color w:val="000000"/>
        </w:rPr>
        <w:t xml:space="preserve"> </w:t>
      </w:r>
      <w:r>
        <w:rPr>
          <w:rFonts w:ascii="AdvOTce2aec1c" w:hAnsi="AdvOTce2aec1c" w:cs="AdvOTce2aec1c"/>
          <w:color w:val="000000"/>
        </w:rPr>
        <w:t xml:space="preserve">benomyl-resistant </w:t>
      </w:r>
      <w:r>
        <w:rPr>
          <w:rFonts w:ascii="AdvOTa5ebdc7c.I" w:hAnsi="AdvOTa5ebdc7c.I" w:cs="AdvOTa5ebdc7c.I"/>
          <w:color w:val="000000"/>
        </w:rPr>
        <w:t xml:space="preserve">S. cerevisiae </w:t>
      </w:r>
      <w:r>
        <w:rPr>
          <w:rFonts w:ascii="AdvOTce2aec1c" w:hAnsi="AdvOTce2aec1c" w:cs="AdvOTce2aec1c"/>
          <w:color w:val="000000"/>
        </w:rPr>
        <w:t xml:space="preserve">mutants generated by </w:t>
      </w:r>
      <w:r>
        <w:rPr>
          <w:rFonts w:ascii="AdvOTce2aec1c" w:hAnsi="AdvOTce2aec1c" w:cs="AdvOTce2aec1c"/>
          <w:color w:val="2197D2"/>
        </w:rPr>
        <w:t>Reijo et al. (1994)</w:t>
      </w:r>
      <w:r w:rsidR="00F4076F">
        <w:rPr>
          <w:rFonts w:ascii="AdvOTce2aec1c" w:hAnsi="AdvOTce2aec1c" w:cs="AdvOTce2aec1c"/>
          <w:color w:val="2197D2"/>
        </w:rPr>
        <w:t xml:space="preserve"> </w:t>
      </w:r>
      <w:r>
        <w:rPr>
          <w:rFonts w:ascii="AdvOTce2aec1c" w:hAnsi="AdvOTce2aec1c" w:cs="AdvOTce2aec1c"/>
          <w:color w:val="000000"/>
        </w:rPr>
        <w:t>were cold sensitive.</w:t>
      </w:r>
      <w:r w:rsidR="00F4076F">
        <w:rPr>
          <w:rFonts w:ascii="AdvOTce2aec1c" w:hAnsi="AdvOTce2aec1c" w:cs="AdvOTce2aec1c"/>
          <w:color w:val="000000"/>
        </w:rPr>
        <w:t xml:space="preserve"> </w:t>
      </w:r>
      <w:r>
        <w:rPr>
          <w:rFonts w:ascii="AdvOTce2aec1c" w:hAnsi="AdvOTce2aec1c" w:cs="AdvOTce2aec1c"/>
        </w:rPr>
        <w:t>Therefore, it seems likely that mutations conferring higher levels of resistance,</w:t>
      </w:r>
      <w:r w:rsidR="00F4076F">
        <w:rPr>
          <w:rFonts w:ascii="AdvOTce2aec1c" w:hAnsi="AdvOTce2aec1c" w:cs="AdvOTce2aec1c"/>
        </w:rPr>
        <w:t xml:space="preserve"> </w:t>
      </w:r>
      <w:r>
        <w:rPr>
          <w:rFonts w:ascii="AdvOTce2aec1c" w:hAnsi="AdvOTce2aec1c" w:cs="AdvOTce2aec1c"/>
        </w:rPr>
        <w:t xml:space="preserve">with lower </w:t>
      </w:r>
      <w:r>
        <w:rPr>
          <w:rFonts w:ascii="AdvOTce2aec1c+fb" w:hAnsi="AdvOTce2aec1c+fb" w:cs="AdvOTce2aec1c+fb"/>
        </w:rPr>
        <w:t>fi</w:t>
      </w:r>
      <w:r>
        <w:rPr>
          <w:rFonts w:ascii="AdvOTce2aec1c" w:hAnsi="AdvOTce2aec1c" w:cs="AdvOTce2aec1c"/>
        </w:rPr>
        <w:t xml:space="preserve">tness costs under </w:t>
      </w:r>
      <w:r>
        <w:rPr>
          <w:rFonts w:ascii="AdvOTce2aec1c+fb" w:hAnsi="AdvOTce2aec1c+fb" w:cs="AdvOTce2aec1c+fb"/>
        </w:rPr>
        <w:t>fi</w:t>
      </w:r>
      <w:r>
        <w:rPr>
          <w:rFonts w:ascii="AdvOTce2aec1c" w:hAnsi="AdvOTce2aec1c" w:cs="AdvOTce2aec1c"/>
        </w:rPr>
        <w:t>eld conditions, are more likely to</w:t>
      </w:r>
      <w:r w:rsidR="00F4076F">
        <w:rPr>
          <w:rFonts w:ascii="AdvOTce2aec1c" w:hAnsi="AdvOTce2aec1c" w:cs="AdvOTce2aec1c"/>
        </w:rPr>
        <w:t xml:space="preserve"> </w:t>
      </w:r>
      <w:r>
        <w:rPr>
          <w:rFonts w:ascii="AdvOTce2aec1c" w:hAnsi="AdvOTce2aec1c" w:cs="AdvOTce2aec1c"/>
        </w:rPr>
        <w:t>be selected.</w:t>
      </w:r>
    </w:p>
    <w:p w:rsidR="007819D2" w:rsidRDefault="007819D2" w:rsidP="007819D2">
      <w:pPr>
        <w:rPr>
          <w:rFonts w:ascii="AdvOTce2aec1c" w:hAnsi="AdvOTce2aec1c" w:cs="AdvOTce2aec1c"/>
          <w:color w:val="000000"/>
        </w:rPr>
      </w:pPr>
    </w:p>
    <w:p w:rsidR="00A86D84" w:rsidRDefault="00A86D84" w:rsidP="007819D2">
      <w:pPr>
        <w:rPr>
          <w:rFonts w:ascii="AdvOTce2aec1c" w:hAnsi="AdvOTce2aec1c" w:cs="AdvOTce2aec1c"/>
          <w:color w:val="000000"/>
        </w:rPr>
      </w:pPr>
      <w:r>
        <w:rPr>
          <w:rFonts w:ascii="AdvOTce3d9a73" w:hAnsi="AdvOTce3d9a73" w:cs="AdvOTce3d9a73"/>
          <w:sz w:val="24"/>
          <w:szCs w:val="24"/>
        </w:rPr>
        <w:t>8.2 Evaluating Management Strategies</w:t>
      </w:r>
    </w:p>
    <w:p w:rsidR="007819D2" w:rsidRDefault="00A86D84" w:rsidP="00A86D84">
      <w:pPr>
        <w:rPr>
          <w:rFonts w:ascii="AdvOTce2aec1c" w:hAnsi="AdvOTce2aec1c" w:cs="AdvOTce2aec1c"/>
        </w:rPr>
      </w:pPr>
      <w:proofErr w:type="spellStart"/>
      <w:r>
        <w:rPr>
          <w:rFonts w:ascii="AdvOTce2aec1c" w:hAnsi="AdvOTce2aec1c" w:cs="AdvOTce2aec1c"/>
          <w:color w:val="2197D2"/>
        </w:rPr>
        <w:t>Mavroeidi</w:t>
      </w:r>
      <w:proofErr w:type="spellEnd"/>
      <w:r>
        <w:rPr>
          <w:rFonts w:ascii="AdvOTce2aec1c" w:hAnsi="AdvOTce2aec1c" w:cs="AdvOTce2aec1c"/>
          <w:color w:val="2197D2"/>
        </w:rPr>
        <w:t xml:space="preserve"> and</w:t>
      </w:r>
      <w:r w:rsidR="00F4076F">
        <w:rPr>
          <w:rFonts w:ascii="AdvOTce2aec1c" w:hAnsi="AdvOTce2aec1c" w:cs="AdvOTce2aec1c"/>
          <w:color w:val="2197D2"/>
        </w:rPr>
        <w:t xml:space="preserve"> </w:t>
      </w:r>
      <w:r>
        <w:rPr>
          <w:rFonts w:ascii="AdvOTce2aec1c" w:hAnsi="AdvOTce2aec1c" w:cs="AdvOTce2aec1c"/>
          <w:color w:val="2197D2"/>
        </w:rPr>
        <w:t xml:space="preserve">Shaw (2006) </w:t>
      </w:r>
      <w:r>
        <w:rPr>
          <w:rFonts w:ascii="AdvOTce2aec1c" w:hAnsi="AdvOTce2aec1c" w:cs="AdvOTce2aec1c"/>
          <w:color w:val="000000"/>
        </w:rPr>
        <w:t>tested the effect of different doses of a triazole fungicide,</w:t>
      </w:r>
      <w:r w:rsidR="00F4076F">
        <w:rPr>
          <w:rFonts w:ascii="AdvOTce2aec1c" w:hAnsi="AdvOTce2aec1c" w:cs="AdvOTce2aec1c"/>
          <w:color w:val="000000"/>
        </w:rPr>
        <w:t xml:space="preserve"> </w:t>
      </w:r>
      <w:r>
        <w:rPr>
          <w:rFonts w:ascii="AdvOTce2aec1c" w:hAnsi="AdvOTce2aec1c" w:cs="AdvOTce2aec1c"/>
          <w:color w:val="000000"/>
        </w:rPr>
        <w:t xml:space="preserve">with or without a </w:t>
      </w:r>
      <w:proofErr w:type="spellStart"/>
      <w:r>
        <w:rPr>
          <w:rFonts w:ascii="AdvOTce2aec1c" w:hAnsi="AdvOTce2aec1c" w:cs="AdvOTce2aec1c"/>
          <w:color w:val="000000"/>
        </w:rPr>
        <w:t>QoI</w:t>
      </w:r>
      <w:proofErr w:type="spellEnd"/>
      <w:r>
        <w:rPr>
          <w:rFonts w:ascii="AdvOTce2aec1c" w:hAnsi="AdvOTce2aec1c" w:cs="AdvOTce2aec1c"/>
          <w:color w:val="000000"/>
        </w:rPr>
        <w:t xml:space="preserve"> partner, on selection for azole resistance in </w:t>
      </w:r>
      <w:proofErr w:type="spellStart"/>
      <w:r w:rsidR="0074432A">
        <w:rPr>
          <w:rFonts w:ascii="Arial" w:hAnsi="Arial" w:cs="Arial"/>
          <w:color w:val="222222"/>
        </w:rPr>
        <w:t>Zymoseptoria</w:t>
      </w:r>
      <w:proofErr w:type="spellEnd"/>
      <w:r w:rsidR="0074432A">
        <w:rPr>
          <w:rFonts w:ascii="AdvOTa5ebdc7c.I" w:hAnsi="AdvOTa5ebdc7c.I" w:cs="AdvOTa5ebdc7c.I"/>
          <w:color w:val="000000"/>
        </w:rPr>
        <w:t xml:space="preserve"> </w:t>
      </w:r>
      <w:proofErr w:type="spellStart"/>
      <w:r>
        <w:rPr>
          <w:rFonts w:ascii="AdvOTa5ebdc7c.I" w:hAnsi="AdvOTa5ebdc7c.I" w:cs="AdvOTa5ebdc7c.I"/>
          <w:color w:val="000000"/>
        </w:rPr>
        <w:t>tritici</w:t>
      </w:r>
      <w:proofErr w:type="spellEnd"/>
      <w:r>
        <w:rPr>
          <w:rFonts w:ascii="AdvOTce2aec1c" w:hAnsi="AdvOTce2aec1c" w:cs="AdvOTce2aec1c"/>
          <w:color w:val="000000"/>
        </w:rPr>
        <w:t>.</w:t>
      </w:r>
      <w:r>
        <w:rPr>
          <w:rFonts w:ascii="AdvOTce2aec1c" w:hAnsi="AdvOTce2aec1c" w:cs="AdvOTce2aec1c"/>
        </w:rPr>
        <w:t xml:space="preserve"> Selection for resistance was shown to increase in proportion to dose, while</w:t>
      </w:r>
      <w:r w:rsidR="00F4076F">
        <w:rPr>
          <w:rFonts w:ascii="AdvOTce2aec1c" w:hAnsi="AdvOTce2aec1c" w:cs="AdvOTce2aec1c"/>
        </w:rPr>
        <w:t xml:space="preserve"> </w:t>
      </w:r>
      <w:r>
        <w:rPr>
          <w:rFonts w:ascii="AdvOTce2aec1c" w:hAnsi="AdvOTce2aec1c" w:cs="AdvOTce2aec1c"/>
        </w:rPr>
        <w:t xml:space="preserve">addition of the </w:t>
      </w:r>
      <w:proofErr w:type="spellStart"/>
      <w:r>
        <w:rPr>
          <w:rFonts w:ascii="AdvOTce2aec1c" w:hAnsi="AdvOTce2aec1c" w:cs="AdvOTce2aec1c"/>
        </w:rPr>
        <w:t>QoI</w:t>
      </w:r>
      <w:proofErr w:type="spellEnd"/>
      <w:r>
        <w:rPr>
          <w:rFonts w:ascii="AdvOTce2aec1c" w:hAnsi="AdvOTce2aec1c" w:cs="AdvOTce2aec1c"/>
        </w:rPr>
        <w:t xml:space="preserve"> at higher azole doses reduced selection. These results supported</w:t>
      </w:r>
      <w:r w:rsidR="00F4076F">
        <w:rPr>
          <w:rFonts w:ascii="AdvOTce2aec1c" w:hAnsi="AdvOTce2aec1c" w:cs="AdvOTce2aec1c"/>
        </w:rPr>
        <w:t xml:space="preserve"> </w:t>
      </w:r>
      <w:r>
        <w:rPr>
          <w:rFonts w:ascii="AdvOTce2aec1c" w:hAnsi="AdvOTce2aec1c" w:cs="AdvOTce2aec1c"/>
        </w:rPr>
        <w:t>the idea that selection for resistance is positively related to fungicide dose,</w:t>
      </w:r>
      <w:r w:rsidR="00F4076F">
        <w:rPr>
          <w:rFonts w:ascii="AdvOTce2aec1c" w:hAnsi="AdvOTce2aec1c" w:cs="AdvOTce2aec1c"/>
        </w:rPr>
        <w:t xml:space="preserve"> </w:t>
      </w:r>
      <w:r>
        <w:rPr>
          <w:rFonts w:ascii="AdvOTce2aec1c" w:hAnsi="AdvOTce2aec1c" w:cs="AdvOTce2aec1c"/>
        </w:rPr>
        <w:t>but that effects of mixtures on selection may be variable.</w:t>
      </w:r>
    </w:p>
    <w:p w:rsidR="00CE48B8" w:rsidRDefault="00CE48B8" w:rsidP="00A86D84">
      <w:pPr>
        <w:rPr>
          <w:rFonts w:ascii="AdvOTce2aec1c" w:hAnsi="AdvOTce2aec1c" w:cs="AdvOTce2aec1c"/>
        </w:rPr>
      </w:pPr>
    </w:p>
    <w:p w:rsidR="007E6926" w:rsidRPr="007E6926" w:rsidRDefault="007E6926" w:rsidP="007E6926">
      <w:pPr>
        <w:rPr>
          <w:rFonts w:ascii="AdvOTce2aec1c" w:hAnsi="AdvOTce2aec1c" w:cs="AdvOTce2aec1c"/>
          <w:highlight w:val="yellow"/>
        </w:rPr>
      </w:pPr>
      <w:r w:rsidRPr="007E6926">
        <w:rPr>
          <w:rFonts w:ascii="AdvOTce2aec1c" w:hAnsi="AdvOTce2aec1c" w:cs="AdvOTce2aec1c"/>
          <w:highlight w:val="yellow"/>
        </w:rPr>
        <w:t>The dose rate debate: does the risk of fungicide resistance increase or decrease with dose?</w:t>
      </w:r>
    </w:p>
    <w:p w:rsidR="00CE48B8" w:rsidRPr="007E6926" w:rsidRDefault="007E6926" w:rsidP="00A86D84">
      <w:pPr>
        <w:rPr>
          <w:rFonts w:ascii="AdvOTce2aec1c" w:hAnsi="AdvOTce2aec1c" w:cs="AdvOTce2aec1c"/>
          <w:sz w:val="20"/>
          <w:szCs w:val="20"/>
        </w:rPr>
      </w:pPr>
      <w:r w:rsidRPr="007E6926">
        <w:rPr>
          <w:rFonts w:ascii="AdvPSHEL" w:hAnsi="AdvPSHEL" w:cs="AdvPSHEL"/>
          <w:sz w:val="20"/>
          <w:szCs w:val="20"/>
          <w:highlight w:val="yellow"/>
        </w:rPr>
        <w:t xml:space="preserve">F. van den </w:t>
      </w:r>
      <w:proofErr w:type="spellStart"/>
      <w:r w:rsidRPr="007E6926">
        <w:rPr>
          <w:rFonts w:ascii="AdvPSHEL" w:hAnsi="AdvPSHEL" w:cs="AdvPSHEL"/>
          <w:sz w:val="20"/>
          <w:szCs w:val="20"/>
          <w:highlight w:val="yellow"/>
        </w:rPr>
        <w:t>Boscha</w:t>
      </w:r>
      <w:proofErr w:type="spellEnd"/>
      <w:r w:rsidRPr="007E6926">
        <w:rPr>
          <w:rFonts w:ascii="AdvPSHEL" w:hAnsi="AdvPSHEL" w:cs="AdvPSHEL"/>
          <w:sz w:val="20"/>
          <w:szCs w:val="20"/>
          <w:highlight w:val="yellow"/>
        </w:rPr>
        <w:t xml:space="preserve">*, N. </w:t>
      </w:r>
      <w:proofErr w:type="spellStart"/>
      <w:r w:rsidRPr="007E6926">
        <w:rPr>
          <w:rFonts w:ascii="AdvPSHEL" w:hAnsi="AdvPSHEL" w:cs="AdvPSHEL"/>
          <w:sz w:val="20"/>
          <w:szCs w:val="20"/>
          <w:highlight w:val="yellow"/>
        </w:rPr>
        <w:t>Paveley</w:t>
      </w:r>
      <w:proofErr w:type="spellEnd"/>
      <w:r w:rsidRPr="007E6926">
        <w:rPr>
          <w:rFonts w:ascii="AdvPSHEL" w:hAnsi="AdvPSHEL" w:cs="AdvPSHEL"/>
          <w:sz w:val="20"/>
          <w:szCs w:val="20"/>
          <w:highlight w:val="yellow"/>
        </w:rPr>
        <w:t xml:space="preserve">, M. Shaw, P. </w:t>
      </w:r>
      <w:proofErr w:type="spellStart"/>
      <w:r w:rsidRPr="007E6926">
        <w:rPr>
          <w:rFonts w:ascii="AdvPSHEL" w:hAnsi="AdvPSHEL" w:cs="AdvPSHEL"/>
          <w:sz w:val="20"/>
          <w:szCs w:val="20"/>
          <w:highlight w:val="yellow"/>
        </w:rPr>
        <w:t>Hobbelen</w:t>
      </w:r>
      <w:proofErr w:type="spellEnd"/>
      <w:r w:rsidRPr="007E6926">
        <w:rPr>
          <w:rFonts w:ascii="AdvPSHEL" w:hAnsi="AdvPSHEL" w:cs="AdvPSHEL"/>
          <w:sz w:val="20"/>
          <w:szCs w:val="20"/>
          <w:highlight w:val="yellow"/>
        </w:rPr>
        <w:t xml:space="preserve"> and R. Oliv</w:t>
      </w:r>
      <w:r w:rsidRPr="007E6926">
        <w:rPr>
          <w:rFonts w:ascii="AdvPSHEL" w:hAnsi="AdvPSHEL" w:cs="AdvPSHEL"/>
          <w:sz w:val="20"/>
          <w:szCs w:val="20"/>
        </w:rPr>
        <w:t>er</w:t>
      </w:r>
      <w:r w:rsidR="00716548">
        <w:rPr>
          <w:rFonts w:ascii="AdvPSHEL" w:hAnsi="AdvPSHEL" w:cs="AdvPSHEL"/>
          <w:sz w:val="20"/>
          <w:szCs w:val="20"/>
        </w:rPr>
        <w:t xml:space="preserve"> (2011)    </w:t>
      </w:r>
    </w:p>
    <w:p w:rsidR="00034238" w:rsidRDefault="007E6926" w:rsidP="00CC3AE9">
      <w:pPr>
        <w:autoSpaceDE w:val="0"/>
        <w:autoSpaceDN w:val="0"/>
        <w:adjustRightInd w:val="0"/>
        <w:spacing w:after="0" w:line="240" w:lineRule="auto"/>
        <w:rPr>
          <w:rFonts w:ascii="AdvPSSAB-R" w:hAnsi="AdvPSSAB-R" w:cs="AdvPSSAB-R"/>
          <w:sz w:val="18"/>
          <w:szCs w:val="18"/>
        </w:rPr>
      </w:pPr>
      <w:r>
        <w:rPr>
          <w:rFonts w:ascii="AdvPSSAB-R" w:hAnsi="AdvPSSAB-R" w:cs="AdvPSSAB-R"/>
          <w:sz w:val="18"/>
          <w:szCs w:val="18"/>
        </w:rPr>
        <w:t xml:space="preserve">During the ‘emergence phase’ the </w:t>
      </w:r>
      <w:proofErr w:type="gramStart"/>
      <w:r>
        <w:rPr>
          <w:rFonts w:ascii="AdvPSSAB-R" w:hAnsi="AdvPSSAB-R" w:cs="AdvPSSAB-R"/>
          <w:sz w:val="18"/>
          <w:szCs w:val="18"/>
        </w:rPr>
        <w:t>resistant</w:t>
      </w:r>
      <w:r w:rsidR="00034238">
        <w:rPr>
          <w:rFonts w:ascii="AdvPSSAB-R" w:hAnsi="AdvPSSAB-R" w:cs="AdvPSSAB-R"/>
          <w:sz w:val="18"/>
          <w:szCs w:val="18"/>
        </w:rPr>
        <w:t xml:space="preserve">  </w:t>
      </w:r>
      <w:r>
        <w:rPr>
          <w:rFonts w:ascii="AdvPSSAB-R" w:hAnsi="AdvPSSAB-R" w:cs="AdvPSSAB-R"/>
          <w:sz w:val="18"/>
          <w:szCs w:val="18"/>
        </w:rPr>
        <w:t>strain</w:t>
      </w:r>
      <w:proofErr w:type="gramEnd"/>
      <w:r>
        <w:rPr>
          <w:rFonts w:ascii="AdvPSSAB-R" w:hAnsi="AdvPSSAB-R" w:cs="AdvPSSAB-R"/>
          <w:sz w:val="18"/>
          <w:szCs w:val="18"/>
        </w:rPr>
        <w:t xml:space="preserve"> has to arise through mutation and invasion. </w:t>
      </w:r>
      <w:proofErr w:type="gramStart"/>
      <w:r w:rsidR="00CC3AE9">
        <w:rPr>
          <w:rFonts w:ascii="AdvPSSAB-I" w:hAnsi="AdvPSSAB-I" w:cs="AdvPSSAB-I"/>
          <w:sz w:val="18"/>
          <w:szCs w:val="18"/>
        </w:rPr>
        <w:t>Emergence</w:t>
      </w:r>
      <w:r w:rsidR="00034238">
        <w:rPr>
          <w:rFonts w:ascii="AdvPSSAB-I" w:hAnsi="AdvPSSAB-I" w:cs="AdvPSSAB-I"/>
          <w:sz w:val="18"/>
          <w:szCs w:val="18"/>
        </w:rPr>
        <w:t xml:space="preserve">  </w:t>
      </w:r>
      <w:r w:rsidR="00CC3AE9">
        <w:rPr>
          <w:rFonts w:ascii="AdvPSSAB-I" w:hAnsi="AdvPSSAB-I" w:cs="AdvPSSAB-I"/>
          <w:sz w:val="18"/>
          <w:szCs w:val="18"/>
        </w:rPr>
        <w:t>phase</w:t>
      </w:r>
      <w:proofErr w:type="gramEnd"/>
      <w:r w:rsidR="00CC3AE9">
        <w:rPr>
          <w:rFonts w:ascii="AdvPSSAB-I" w:hAnsi="AdvPSSAB-I" w:cs="AdvPSSAB-I"/>
          <w:sz w:val="18"/>
          <w:szCs w:val="18"/>
        </w:rPr>
        <w:t xml:space="preserve">: </w:t>
      </w:r>
      <w:r w:rsidR="00CC3AE9">
        <w:rPr>
          <w:rFonts w:ascii="AdvPSSAB-R" w:hAnsi="AdvPSSAB-R" w:cs="AdvPSSAB-R"/>
          <w:sz w:val="18"/>
          <w:szCs w:val="18"/>
        </w:rPr>
        <w:t>no experimental publications and only one model study report on the emergence phase, and we conclude that</w:t>
      </w:r>
      <w:r w:rsidR="00034238">
        <w:rPr>
          <w:rFonts w:ascii="AdvPSSAB-R" w:hAnsi="AdvPSSAB-R" w:cs="AdvPSSAB-R"/>
          <w:sz w:val="18"/>
          <w:szCs w:val="18"/>
        </w:rPr>
        <w:t xml:space="preserve"> </w:t>
      </w:r>
      <w:r w:rsidR="00CC3AE9">
        <w:rPr>
          <w:rFonts w:ascii="AdvPSSAB-R" w:hAnsi="AdvPSSAB-R" w:cs="AdvPSSAB-R"/>
          <w:sz w:val="18"/>
          <w:szCs w:val="18"/>
        </w:rPr>
        <w:t>work in this area is needed. In the mathematical models published, no evidence has been found that a lower dose could lead to</w:t>
      </w:r>
      <w:r w:rsidR="00034238">
        <w:rPr>
          <w:rFonts w:ascii="AdvPSSAB-R" w:hAnsi="AdvPSSAB-R" w:cs="AdvPSSAB-R"/>
          <w:sz w:val="18"/>
          <w:szCs w:val="18"/>
        </w:rPr>
        <w:t xml:space="preserve"> </w:t>
      </w:r>
      <w:r w:rsidR="00CC3AE9">
        <w:rPr>
          <w:rFonts w:ascii="AdvPSSAB-R" w:hAnsi="AdvPSSAB-R" w:cs="AdvPSSAB-R"/>
          <w:sz w:val="18"/>
          <w:szCs w:val="18"/>
        </w:rPr>
        <w:t>a higher risk of fungicide resistance selection.</w:t>
      </w:r>
    </w:p>
    <w:p w:rsidR="00034238" w:rsidRDefault="00034238" w:rsidP="00CC3AE9">
      <w:pPr>
        <w:autoSpaceDE w:val="0"/>
        <w:autoSpaceDN w:val="0"/>
        <w:adjustRightInd w:val="0"/>
        <w:spacing w:after="0" w:line="240" w:lineRule="auto"/>
        <w:rPr>
          <w:rFonts w:ascii="AdvPSSAB-R" w:hAnsi="AdvPSSAB-R" w:cs="AdvPSSAB-R"/>
          <w:sz w:val="18"/>
          <w:szCs w:val="18"/>
        </w:rPr>
      </w:pPr>
    </w:p>
    <w:p w:rsidR="00CC3AE9" w:rsidRPr="005852AD" w:rsidRDefault="00CC3AE9" w:rsidP="00CC3AE9">
      <w:pPr>
        <w:rPr>
          <w:rFonts w:ascii="AdvPSSAB-R" w:hAnsi="AdvPSSAB-R" w:cs="AdvPSSAB-R"/>
          <w:sz w:val="24"/>
          <w:szCs w:val="24"/>
        </w:rPr>
      </w:pPr>
      <w:r w:rsidRPr="005852AD">
        <w:rPr>
          <w:rFonts w:ascii="AdvPSSAB-R" w:hAnsi="AdvPSSAB-R" w:cs="AdvPSSAB-R"/>
          <w:sz w:val="24"/>
          <w:szCs w:val="24"/>
          <w:highlight w:val="green"/>
        </w:rPr>
        <w:lastRenderedPageBreak/>
        <w:t>The methods</w:t>
      </w:r>
      <w:r w:rsidRPr="005852AD">
        <w:rPr>
          <w:rFonts w:ascii="AdvPSSAB-R" w:hAnsi="AdvPSSAB-R" w:cs="AdvPSSAB-R"/>
          <w:sz w:val="24"/>
          <w:szCs w:val="24"/>
        </w:rPr>
        <w:t xml:space="preserve"> suggested</w:t>
      </w:r>
      <w:r w:rsidR="00034238" w:rsidRPr="005852AD">
        <w:rPr>
          <w:rFonts w:ascii="AdvPSSAB-R" w:hAnsi="AdvPSSAB-R" w:cs="AdvPSSAB-R"/>
          <w:sz w:val="24"/>
          <w:szCs w:val="24"/>
        </w:rPr>
        <w:t xml:space="preserve"> </w:t>
      </w:r>
      <w:r w:rsidRPr="005852AD">
        <w:rPr>
          <w:rFonts w:ascii="AdvPSSAB-R" w:hAnsi="AdvPSSAB-R" w:cs="AdvPSSAB-R"/>
          <w:sz w:val="24"/>
          <w:szCs w:val="24"/>
        </w:rPr>
        <w:t>include (</w:t>
      </w:r>
      <w:proofErr w:type="spellStart"/>
      <w:r w:rsidRPr="005852AD">
        <w:rPr>
          <w:rFonts w:ascii="AdvPSSAB-R" w:hAnsi="AdvPSSAB-R" w:cs="AdvPSSAB-R"/>
          <w:sz w:val="24"/>
          <w:szCs w:val="24"/>
        </w:rPr>
        <w:t>i</w:t>
      </w:r>
      <w:proofErr w:type="spellEnd"/>
      <w:r w:rsidRPr="005852AD">
        <w:rPr>
          <w:rFonts w:ascii="AdvPSSAB-R" w:hAnsi="AdvPSSAB-R" w:cs="AdvPSSAB-R"/>
          <w:sz w:val="24"/>
          <w:szCs w:val="24"/>
        </w:rPr>
        <w:t>) management of application dose, (ii) constraining</w:t>
      </w:r>
      <w:r w:rsidR="00034238" w:rsidRPr="005852AD">
        <w:rPr>
          <w:rFonts w:ascii="AdvPSSAB-R" w:hAnsi="AdvPSSAB-R" w:cs="AdvPSSAB-R"/>
          <w:sz w:val="24"/>
          <w:szCs w:val="24"/>
        </w:rPr>
        <w:t xml:space="preserve"> </w:t>
      </w:r>
      <w:r w:rsidRPr="005852AD">
        <w:rPr>
          <w:rFonts w:ascii="AdvPSSAB-R" w:hAnsi="AdvPSSAB-R" w:cs="AdvPSSAB-R"/>
          <w:sz w:val="24"/>
          <w:szCs w:val="24"/>
        </w:rPr>
        <w:t>the number of applications, (iii) use of fungicide</w:t>
      </w:r>
      <w:r w:rsidR="00034238" w:rsidRPr="005852AD">
        <w:rPr>
          <w:rFonts w:ascii="AdvPSSAB-R" w:hAnsi="AdvPSSAB-R" w:cs="AdvPSSAB-R"/>
          <w:sz w:val="24"/>
          <w:szCs w:val="24"/>
        </w:rPr>
        <w:t xml:space="preserve"> </w:t>
      </w:r>
      <w:r w:rsidRPr="005852AD">
        <w:rPr>
          <w:rFonts w:ascii="AdvPSSAB-R" w:hAnsi="AdvPSSAB-R" w:cs="AdvPSSAB-R"/>
          <w:sz w:val="24"/>
          <w:szCs w:val="24"/>
        </w:rPr>
        <w:t xml:space="preserve">mixtures, </w:t>
      </w:r>
      <w:proofErr w:type="gramStart"/>
      <w:r w:rsidRPr="005852AD">
        <w:rPr>
          <w:rFonts w:ascii="AdvPSSAB-R" w:hAnsi="AdvPSSAB-R" w:cs="AdvPSSAB-R"/>
          <w:sz w:val="24"/>
          <w:szCs w:val="24"/>
        </w:rPr>
        <w:t>(iv) use</w:t>
      </w:r>
      <w:proofErr w:type="gramEnd"/>
      <w:r w:rsidRPr="005852AD">
        <w:rPr>
          <w:rFonts w:ascii="AdvPSSAB-R" w:hAnsi="AdvPSSAB-R" w:cs="AdvPSSAB-R"/>
          <w:sz w:val="24"/>
          <w:szCs w:val="24"/>
        </w:rPr>
        <w:t xml:space="preserve"> of fungicide alternation, and (v) provision</w:t>
      </w:r>
      <w:r w:rsidR="00034238" w:rsidRPr="005852AD">
        <w:rPr>
          <w:rFonts w:ascii="AdvPSSAB-R" w:hAnsi="AdvPSSAB-R" w:cs="AdvPSSAB-R"/>
          <w:sz w:val="24"/>
          <w:szCs w:val="24"/>
        </w:rPr>
        <w:t xml:space="preserve"> </w:t>
      </w:r>
      <w:r w:rsidRPr="005852AD">
        <w:rPr>
          <w:rFonts w:ascii="AdvPSSAB-R" w:hAnsi="AdvPSSAB-R" w:cs="AdvPSSAB-R"/>
          <w:sz w:val="24"/>
          <w:szCs w:val="24"/>
        </w:rPr>
        <w:t xml:space="preserve">of pathogen </w:t>
      </w:r>
      <w:proofErr w:type="spellStart"/>
      <w:r w:rsidRPr="005852AD">
        <w:rPr>
          <w:rFonts w:ascii="AdvPSSAB-R" w:hAnsi="AdvPSSAB-R" w:cs="AdvPSSAB-R"/>
          <w:sz w:val="24"/>
          <w:szCs w:val="24"/>
        </w:rPr>
        <w:t>refugia</w:t>
      </w:r>
      <w:proofErr w:type="spellEnd"/>
      <w:r w:rsidRPr="005852AD">
        <w:rPr>
          <w:rFonts w:ascii="AdvPSSAB-R" w:hAnsi="AdvPSSAB-R" w:cs="AdvPSSAB-R"/>
          <w:sz w:val="24"/>
          <w:szCs w:val="24"/>
        </w:rPr>
        <w:t xml:space="preserve">, or various </w:t>
      </w:r>
      <w:r w:rsidRPr="005852AD">
        <w:rPr>
          <w:rFonts w:ascii="AdvPSSAB-R" w:hAnsi="AdvPSSAB-R" w:cs="AdvPSSAB-R"/>
          <w:sz w:val="24"/>
          <w:szCs w:val="24"/>
          <w:highlight w:val="green"/>
        </w:rPr>
        <w:t>combinations of the</w:t>
      </w:r>
      <w:r w:rsidR="00034238" w:rsidRPr="005852AD">
        <w:rPr>
          <w:rFonts w:ascii="AdvPSSAB-R" w:hAnsi="AdvPSSAB-R" w:cs="AdvPSSAB-R"/>
          <w:sz w:val="24"/>
          <w:szCs w:val="24"/>
          <w:highlight w:val="green"/>
        </w:rPr>
        <w:t xml:space="preserve"> </w:t>
      </w:r>
      <w:r w:rsidRPr="005852AD">
        <w:rPr>
          <w:rFonts w:ascii="AdvPSSAB-R" w:hAnsi="AdvPSSAB-R" w:cs="AdvPSSAB-R"/>
          <w:sz w:val="24"/>
          <w:szCs w:val="24"/>
          <w:highlight w:val="green"/>
        </w:rPr>
        <w:t>above</w:t>
      </w:r>
      <w:r w:rsidRPr="005852AD">
        <w:rPr>
          <w:rFonts w:ascii="AdvPSSAB-R" w:hAnsi="AdvPSSAB-R" w:cs="AdvPSSAB-R"/>
          <w:sz w:val="24"/>
          <w:szCs w:val="24"/>
        </w:rPr>
        <w:t>.</w:t>
      </w:r>
    </w:p>
    <w:p w:rsidR="003C08CF" w:rsidRDefault="003C08CF" w:rsidP="003C08CF">
      <w:pPr>
        <w:rPr>
          <w:rFonts w:ascii="AdvPSSAB-R" w:hAnsi="AdvPSSAB-R" w:cs="AdvPSSAB-R"/>
          <w:sz w:val="18"/>
          <w:szCs w:val="18"/>
        </w:rPr>
      </w:pPr>
      <w:r>
        <w:rPr>
          <w:rFonts w:ascii="AdvPSSAB-R" w:hAnsi="AdvPSSAB-R" w:cs="AdvPSSAB-R"/>
          <w:sz w:val="18"/>
          <w:szCs w:val="18"/>
        </w:rPr>
        <w:t>We</w:t>
      </w:r>
      <w:r w:rsidR="00717014">
        <w:rPr>
          <w:rFonts w:ascii="AdvPSSAB-R" w:hAnsi="AdvPSSAB-R" w:cs="AdvPSSAB-R"/>
          <w:sz w:val="18"/>
          <w:szCs w:val="18"/>
        </w:rPr>
        <w:t xml:space="preserve"> </w:t>
      </w:r>
      <w:r>
        <w:rPr>
          <w:rFonts w:ascii="AdvPSSAB-R" w:hAnsi="AdvPSSAB-R" w:cs="AdvPSSAB-R"/>
          <w:sz w:val="18"/>
          <w:szCs w:val="18"/>
        </w:rPr>
        <w:t>study the effect of dose in isolation and will</w:t>
      </w:r>
      <w:r w:rsidR="00034238">
        <w:rPr>
          <w:rFonts w:ascii="AdvPSSAB-R" w:hAnsi="AdvPSSAB-R" w:cs="AdvPSSAB-R"/>
          <w:sz w:val="18"/>
          <w:szCs w:val="18"/>
        </w:rPr>
        <w:t xml:space="preserve"> </w:t>
      </w:r>
      <w:r>
        <w:rPr>
          <w:rFonts w:ascii="AdvPSSAB-R" w:hAnsi="AdvPSSAB-R" w:cs="AdvPSSAB-R"/>
          <w:sz w:val="18"/>
          <w:szCs w:val="18"/>
        </w:rPr>
        <w:t>not discuss the interaction of dose with other aspects of</w:t>
      </w:r>
      <w:r w:rsidR="00034238">
        <w:rPr>
          <w:rFonts w:ascii="AdvPSSAB-R" w:hAnsi="AdvPSSAB-R" w:cs="AdvPSSAB-R"/>
          <w:sz w:val="18"/>
          <w:szCs w:val="18"/>
        </w:rPr>
        <w:t xml:space="preserve"> </w:t>
      </w:r>
      <w:r>
        <w:rPr>
          <w:rFonts w:ascii="AdvPSSAB-R" w:hAnsi="AdvPSSAB-R" w:cs="AdvPSSAB-R"/>
          <w:sz w:val="18"/>
          <w:szCs w:val="18"/>
        </w:rPr>
        <w:t>fungicide application (number of treatments, mixtures,</w:t>
      </w:r>
      <w:r w:rsidR="00034238">
        <w:rPr>
          <w:rFonts w:ascii="AdvPSSAB-R" w:hAnsi="AdvPSSAB-R" w:cs="AdvPSSAB-R"/>
          <w:sz w:val="18"/>
          <w:szCs w:val="18"/>
        </w:rPr>
        <w:t xml:space="preserve"> </w:t>
      </w:r>
      <w:r>
        <w:rPr>
          <w:rFonts w:ascii="AdvPSSAB-R" w:hAnsi="AdvPSSAB-R" w:cs="AdvPSSAB-R"/>
          <w:sz w:val="18"/>
          <w:szCs w:val="18"/>
        </w:rPr>
        <w:t>alternation).</w:t>
      </w:r>
    </w:p>
    <w:p w:rsidR="003C08CF" w:rsidRDefault="003C08CF" w:rsidP="003C08CF">
      <w:pPr>
        <w:rPr>
          <w:rFonts w:ascii="AdvPSSAB-R" w:hAnsi="AdvPSSAB-R" w:cs="AdvPSSAB-R"/>
          <w:sz w:val="18"/>
          <w:szCs w:val="18"/>
        </w:rPr>
      </w:pPr>
      <w:r>
        <w:rPr>
          <w:rFonts w:ascii="AdvPSSAB-R" w:hAnsi="AdvPSSAB-R" w:cs="AdvPSSAB-R"/>
          <w:sz w:val="18"/>
          <w:szCs w:val="18"/>
        </w:rPr>
        <w:t>However, insects, weeds and mammals</w:t>
      </w:r>
      <w:r w:rsidR="00034238">
        <w:rPr>
          <w:rFonts w:ascii="AdvPSSAB-R" w:hAnsi="AdvPSSAB-R" w:cs="AdvPSSAB-R"/>
          <w:sz w:val="18"/>
          <w:szCs w:val="18"/>
        </w:rPr>
        <w:t xml:space="preserve"> </w:t>
      </w:r>
      <w:r>
        <w:rPr>
          <w:rFonts w:ascii="AdvPSSAB-R" w:hAnsi="AdvPSSAB-R" w:cs="AdvPSSAB-R"/>
          <w:sz w:val="18"/>
          <w:szCs w:val="18"/>
        </w:rPr>
        <w:t>are diploid organisms and this has important</w:t>
      </w:r>
      <w:r w:rsidR="00034238">
        <w:rPr>
          <w:rFonts w:ascii="AdvPSSAB-R" w:hAnsi="AdvPSSAB-R" w:cs="AdvPSSAB-R"/>
          <w:sz w:val="18"/>
          <w:szCs w:val="18"/>
        </w:rPr>
        <w:t xml:space="preserve"> </w:t>
      </w:r>
      <w:r>
        <w:rPr>
          <w:rFonts w:ascii="AdvPSSAB-R" w:hAnsi="AdvPSSAB-R" w:cs="AdvPSSAB-R"/>
          <w:sz w:val="18"/>
          <w:szCs w:val="18"/>
        </w:rPr>
        <w:t>consequences for the development of resistance.</w:t>
      </w:r>
    </w:p>
    <w:p w:rsidR="003C08CF" w:rsidRDefault="003C08CF" w:rsidP="00852A10">
      <w:pPr>
        <w:rPr>
          <w:rFonts w:ascii="AdvPSSAB-R" w:hAnsi="AdvPSSAB-R" w:cs="AdvPSSAB-R"/>
          <w:sz w:val="18"/>
          <w:szCs w:val="18"/>
        </w:rPr>
      </w:pPr>
      <w:r>
        <w:rPr>
          <w:rFonts w:ascii="AdvPSSAB-R" w:hAnsi="AdvPSSAB-R" w:cs="AdvPSSAB-R"/>
          <w:sz w:val="18"/>
          <w:szCs w:val="18"/>
        </w:rPr>
        <w:t>In contrast to insects and weeds, many important fungal</w:t>
      </w:r>
      <w:r w:rsidR="00034238">
        <w:rPr>
          <w:rFonts w:ascii="AdvPSSAB-R" w:hAnsi="AdvPSSAB-R" w:cs="AdvPSSAB-R"/>
          <w:sz w:val="18"/>
          <w:szCs w:val="18"/>
        </w:rPr>
        <w:t xml:space="preserve"> </w:t>
      </w:r>
      <w:r>
        <w:rPr>
          <w:rFonts w:ascii="AdvPSSAB-R" w:hAnsi="AdvPSSAB-R" w:cs="AdvPSSAB-R"/>
          <w:sz w:val="18"/>
          <w:szCs w:val="18"/>
        </w:rPr>
        <w:t>and oomycete plant pathogens are either haploid, in</w:t>
      </w:r>
      <w:r w:rsidR="00034238">
        <w:rPr>
          <w:rFonts w:ascii="AdvPSSAB-R" w:hAnsi="AdvPSSAB-R" w:cs="AdvPSSAB-R"/>
          <w:sz w:val="18"/>
          <w:szCs w:val="18"/>
        </w:rPr>
        <w:t xml:space="preserve"> </w:t>
      </w:r>
      <w:r>
        <w:rPr>
          <w:rFonts w:ascii="AdvPSSAB-R" w:hAnsi="AdvPSSAB-R" w:cs="AdvPSSAB-R"/>
          <w:sz w:val="18"/>
          <w:szCs w:val="18"/>
        </w:rPr>
        <w:t>which case there are no heterozygotes, or diploids or</w:t>
      </w:r>
      <w:r w:rsidR="00034238">
        <w:rPr>
          <w:rFonts w:ascii="AdvPSSAB-R" w:hAnsi="AdvPSSAB-R" w:cs="AdvPSSAB-R"/>
          <w:sz w:val="18"/>
          <w:szCs w:val="18"/>
        </w:rPr>
        <w:t xml:space="preserve"> </w:t>
      </w:r>
      <w:proofErr w:type="spellStart"/>
      <w:r>
        <w:rPr>
          <w:rFonts w:ascii="AdvPSSAB-R" w:hAnsi="AdvPSSAB-R" w:cs="AdvPSSAB-R"/>
          <w:sz w:val="18"/>
          <w:szCs w:val="18"/>
        </w:rPr>
        <w:t>dikaryons</w:t>
      </w:r>
      <w:proofErr w:type="spellEnd"/>
      <w:r>
        <w:rPr>
          <w:rFonts w:ascii="AdvPSSAB-R" w:hAnsi="AdvPSSAB-R" w:cs="AdvPSSAB-R"/>
          <w:sz w:val="18"/>
          <w:szCs w:val="18"/>
        </w:rPr>
        <w:t xml:space="preserve"> that are largely clonal, in which case selection</w:t>
      </w:r>
      <w:r w:rsidR="00034238">
        <w:rPr>
          <w:rFonts w:ascii="AdvPSSAB-R" w:hAnsi="AdvPSSAB-R" w:cs="AdvPSSAB-R"/>
          <w:sz w:val="18"/>
          <w:szCs w:val="18"/>
        </w:rPr>
        <w:t xml:space="preserve"> </w:t>
      </w:r>
      <w:r>
        <w:rPr>
          <w:rFonts w:ascii="AdvPSSAB-R" w:hAnsi="AdvPSSAB-R" w:cs="AdvPSSAB-R"/>
          <w:sz w:val="18"/>
          <w:szCs w:val="18"/>
        </w:rPr>
        <w:t>acts on the entire clonal genotype.</w:t>
      </w:r>
      <w:r w:rsidR="00852A10">
        <w:rPr>
          <w:rFonts w:ascii="AdvPSSAB-R" w:hAnsi="AdvPSSAB-R" w:cs="AdvPSSAB-R"/>
          <w:sz w:val="18"/>
          <w:szCs w:val="18"/>
        </w:rPr>
        <w:t xml:space="preserve"> The high dose plus</w:t>
      </w:r>
      <w:r w:rsidR="00034238">
        <w:rPr>
          <w:rFonts w:ascii="AdvPSSAB-R" w:hAnsi="AdvPSSAB-R" w:cs="AdvPSSAB-R"/>
          <w:sz w:val="18"/>
          <w:szCs w:val="18"/>
        </w:rPr>
        <w:t xml:space="preserve"> </w:t>
      </w:r>
      <w:proofErr w:type="spellStart"/>
      <w:r w:rsidR="00852A10">
        <w:rPr>
          <w:rFonts w:ascii="AdvPSSAB-R" w:hAnsi="AdvPSSAB-R" w:cs="AdvPSSAB-R"/>
          <w:sz w:val="18"/>
          <w:szCs w:val="18"/>
        </w:rPr>
        <w:t>refugia</w:t>
      </w:r>
      <w:proofErr w:type="spellEnd"/>
      <w:r w:rsidR="00852A10">
        <w:rPr>
          <w:rFonts w:ascii="AdvPSSAB-R" w:hAnsi="AdvPSSAB-R" w:cs="AdvPSSAB-R"/>
          <w:sz w:val="18"/>
          <w:szCs w:val="18"/>
        </w:rPr>
        <w:t xml:space="preserve"> mechanism is not relevant for such fungi (but see</w:t>
      </w:r>
      <w:r w:rsidR="00034238">
        <w:rPr>
          <w:rFonts w:ascii="AdvPSSAB-R" w:hAnsi="AdvPSSAB-R" w:cs="AdvPSSAB-R"/>
          <w:sz w:val="18"/>
          <w:szCs w:val="18"/>
        </w:rPr>
        <w:t xml:space="preserve"> </w:t>
      </w:r>
      <w:r w:rsidR="00852A10">
        <w:rPr>
          <w:rFonts w:ascii="AdvPSSAB-R" w:hAnsi="AdvPSSAB-R" w:cs="AdvPSSAB-R"/>
          <w:sz w:val="18"/>
          <w:szCs w:val="18"/>
        </w:rPr>
        <w:t>the section ‘Current research into the dose debate’).</w:t>
      </w:r>
    </w:p>
    <w:p w:rsidR="00852A10" w:rsidRDefault="00852A10" w:rsidP="00034238">
      <w:pPr>
        <w:autoSpaceDE w:val="0"/>
        <w:autoSpaceDN w:val="0"/>
        <w:adjustRightInd w:val="0"/>
        <w:spacing w:after="0" w:line="240" w:lineRule="auto"/>
        <w:rPr>
          <w:rFonts w:ascii="AdvPSHEL-B" w:hAnsi="AdvPSHEL-B" w:cs="AdvPSHEL-B"/>
          <w:sz w:val="20"/>
          <w:szCs w:val="20"/>
        </w:rPr>
      </w:pPr>
      <w:r>
        <w:rPr>
          <w:rFonts w:ascii="AdvPSHEL-B" w:hAnsi="AdvPSHEL-B" w:cs="AdvPSHEL-B"/>
          <w:sz w:val="20"/>
          <w:szCs w:val="20"/>
        </w:rPr>
        <w:t>Physiological adaptation is not resistance</w:t>
      </w:r>
      <w:r w:rsidR="00034238">
        <w:rPr>
          <w:rFonts w:ascii="AdvPSHEL-B" w:hAnsi="AdvPSHEL-B" w:cs="AdvPSHEL-B"/>
          <w:sz w:val="20"/>
          <w:szCs w:val="20"/>
        </w:rPr>
        <w:t xml:space="preserve"> </w:t>
      </w:r>
      <w:r>
        <w:rPr>
          <w:rFonts w:ascii="AdvPSHEL-B" w:hAnsi="AdvPSHEL-B" w:cs="AdvPSHEL-B"/>
          <w:sz w:val="20"/>
          <w:szCs w:val="20"/>
        </w:rPr>
        <w:t>Selection</w:t>
      </w:r>
    </w:p>
    <w:p w:rsidR="00034238" w:rsidRDefault="00034238" w:rsidP="00034238">
      <w:pPr>
        <w:autoSpaceDE w:val="0"/>
        <w:autoSpaceDN w:val="0"/>
        <w:adjustRightInd w:val="0"/>
        <w:spacing w:after="0" w:line="240" w:lineRule="auto"/>
        <w:rPr>
          <w:rFonts w:ascii="AdvPSHEL-B" w:hAnsi="AdvPSHEL-B" w:cs="AdvPSHEL-B"/>
          <w:sz w:val="20"/>
          <w:szCs w:val="20"/>
        </w:rPr>
      </w:pPr>
    </w:p>
    <w:p w:rsidR="00852A10" w:rsidRPr="00D86CA0" w:rsidRDefault="00852A10" w:rsidP="00726C5E">
      <w:pPr>
        <w:rPr>
          <w:rFonts w:ascii="AdvPSSAB-R" w:hAnsi="AdvPSSAB-R" w:cs="AdvPSSAB-R"/>
        </w:rPr>
      </w:pPr>
      <w:r w:rsidRPr="00D86CA0">
        <w:rPr>
          <w:rFonts w:ascii="AdvPSSAB-R" w:hAnsi="AdvPSSAB-R" w:cs="AdvPSSAB-R"/>
        </w:rPr>
        <w:t>The implication is that applying a low dose would train</w:t>
      </w:r>
      <w:r w:rsidR="00034238" w:rsidRPr="00D86CA0">
        <w:rPr>
          <w:rFonts w:ascii="AdvPSSAB-R" w:hAnsi="AdvPSSAB-R" w:cs="AdvPSSAB-R"/>
        </w:rPr>
        <w:t xml:space="preserve"> </w:t>
      </w:r>
      <w:r w:rsidRPr="00D86CA0">
        <w:rPr>
          <w:rFonts w:ascii="AdvPSSAB-R" w:hAnsi="AdvPSSAB-R" w:cs="AdvPSSAB-R"/>
        </w:rPr>
        <w:t>the population to ‘resist’ the fungicide, rather as an animal</w:t>
      </w:r>
      <w:r w:rsidR="00034238" w:rsidRPr="00D86CA0">
        <w:rPr>
          <w:rFonts w:ascii="AdvPSSAB-R" w:hAnsi="AdvPSSAB-R" w:cs="AdvPSSAB-R"/>
        </w:rPr>
        <w:t xml:space="preserve"> </w:t>
      </w:r>
      <w:r w:rsidRPr="00D86CA0">
        <w:rPr>
          <w:rFonts w:ascii="AdvPSSAB-R" w:hAnsi="AdvPSSAB-R" w:cs="AdvPSSAB-R"/>
        </w:rPr>
        <w:t>might adapt to lower temperatures in winter. Applying</w:t>
      </w:r>
      <w:r w:rsidR="00034238" w:rsidRPr="00D86CA0">
        <w:rPr>
          <w:rFonts w:ascii="AdvPSSAB-R" w:hAnsi="AdvPSSAB-R" w:cs="AdvPSSAB-R"/>
        </w:rPr>
        <w:t xml:space="preserve"> </w:t>
      </w:r>
      <w:r w:rsidRPr="00D86CA0">
        <w:rPr>
          <w:rFonts w:ascii="AdvPSSAB-R" w:hAnsi="AdvPSSAB-R" w:cs="AdvPSSAB-R"/>
        </w:rPr>
        <w:t>a high dose on the other hand would not lead to</w:t>
      </w:r>
      <w:r w:rsidR="00034238" w:rsidRPr="00D86CA0">
        <w:rPr>
          <w:rFonts w:ascii="AdvPSSAB-R" w:hAnsi="AdvPSSAB-R" w:cs="AdvPSSAB-R"/>
        </w:rPr>
        <w:t xml:space="preserve"> </w:t>
      </w:r>
      <w:r w:rsidRPr="00D86CA0">
        <w:rPr>
          <w:rFonts w:ascii="AdvPSSAB-R" w:hAnsi="AdvPSSAB-R" w:cs="AdvPSSAB-R"/>
        </w:rPr>
        <w:t>adaptation, but would kill the pathogen. There is no evidence</w:t>
      </w:r>
      <w:r w:rsidR="00034238" w:rsidRPr="00D86CA0">
        <w:rPr>
          <w:rFonts w:ascii="AdvPSSAB-R" w:hAnsi="AdvPSSAB-R" w:cs="AdvPSSAB-R"/>
        </w:rPr>
        <w:t xml:space="preserve"> </w:t>
      </w:r>
      <w:r w:rsidRPr="00D86CA0">
        <w:rPr>
          <w:rFonts w:ascii="AdvPSSAB-R" w:hAnsi="AdvPSSAB-R" w:cs="AdvPSSAB-R"/>
        </w:rPr>
        <w:t>that such physiological adaptation is relevant in the</w:t>
      </w:r>
      <w:r w:rsidR="00034238" w:rsidRPr="00D86CA0">
        <w:rPr>
          <w:rFonts w:ascii="AdvPSSAB-R" w:hAnsi="AdvPSSAB-R" w:cs="AdvPSSAB-R"/>
        </w:rPr>
        <w:t xml:space="preserve"> </w:t>
      </w:r>
      <w:r w:rsidRPr="00D86CA0">
        <w:rPr>
          <w:rFonts w:ascii="AdvPSSAB-R" w:hAnsi="AdvPSSAB-R" w:cs="AdvPSSAB-R"/>
        </w:rPr>
        <w:t xml:space="preserve">case of resistance development. </w:t>
      </w:r>
      <w:r w:rsidRPr="005852AD">
        <w:rPr>
          <w:rFonts w:ascii="AdvPSSAB-R" w:hAnsi="AdvPSSAB-R" w:cs="AdvPSSAB-R"/>
          <w:highlight w:val="yellow"/>
        </w:rPr>
        <w:t>Resistance is a matter of</w:t>
      </w:r>
      <w:r w:rsidR="00034238" w:rsidRPr="005852AD">
        <w:rPr>
          <w:rFonts w:ascii="AdvPSSAB-R" w:hAnsi="AdvPSSAB-R" w:cs="AdvPSSAB-R"/>
          <w:highlight w:val="yellow"/>
        </w:rPr>
        <w:t xml:space="preserve"> </w:t>
      </w:r>
      <w:r w:rsidRPr="005852AD">
        <w:rPr>
          <w:rFonts w:ascii="AdvPSSAB-R" w:hAnsi="AdvPSSAB-R" w:cs="AdvPSSAB-R"/>
          <w:highlight w:val="yellow"/>
        </w:rPr>
        <w:t>genetic or epigenetic change in individuals in the population</w:t>
      </w:r>
      <w:r w:rsidR="00034238" w:rsidRPr="005852AD">
        <w:rPr>
          <w:rFonts w:ascii="AdvPSSAB-R" w:hAnsi="AdvPSSAB-R" w:cs="AdvPSSAB-R"/>
          <w:highlight w:val="yellow"/>
        </w:rPr>
        <w:t xml:space="preserve"> </w:t>
      </w:r>
      <w:r w:rsidRPr="005852AD">
        <w:rPr>
          <w:rFonts w:ascii="AdvPSSAB-R" w:hAnsi="AdvPSSAB-R" w:cs="AdvPSSAB-R"/>
          <w:highlight w:val="yellow"/>
        </w:rPr>
        <w:t>that is inherited by their offspring and the subsequent</w:t>
      </w:r>
      <w:r w:rsidR="00034238" w:rsidRPr="005852AD">
        <w:rPr>
          <w:rFonts w:ascii="AdvPSSAB-R" w:hAnsi="AdvPSSAB-R" w:cs="AdvPSSAB-R"/>
          <w:highlight w:val="yellow"/>
        </w:rPr>
        <w:t xml:space="preserve"> </w:t>
      </w:r>
      <w:r w:rsidRPr="005852AD">
        <w:rPr>
          <w:rFonts w:ascii="AdvPSSAB-R" w:hAnsi="AdvPSSAB-R" w:cs="AdvPSSAB-R"/>
          <w:highlight w:val="yellow"/>
        </w:rPr>
        <w:t>selection of this altered genotype causing its eventual</w:t>
      </w:r>
      <w:r w:rsidR="00034238" w:rsidRPr="005852AD">
        <w:rPr>
          <w:rFonts w:ascii="AdvPSSAB-R" w:hAnsi="AdvPSSAB-R" w:cs="AdvPSSAB-R"/>
          <w:highlight w:val="yellow"/>
        </w:rPr>
        <w:t xml:space="preserve"> </w:t>
      </w:r>
      <w:r w:rsidRPr="005852AD">
        <w:rPr>
          <w:rFonts w:ascii="AdvPSSAB-R" w:hAnsi="AdvPSSAB-R" w:cs="AdvPSSAB-R"/>
          <w:highlight w:val="yellow"/>
        </w:rPr>
        <w:t>domination in the population</w:t>
      </w:r>
      <w:r w:rsidRPr="00D86CA0">
        <w:rPr>
          <w:rFonts w:ascii="AdvPSSAB-R" w:hAnsi="AdvPSSAB-R" w:cs="AdvPSSAB-R"/>
        </w:rPr>
        <w:t>.</w:t>
      </w:r>
      <w:r w:rsidR="00726C5E" w:rsidRPr="00D86CA0">
        <w:rPr>
          <w:rFonts w:ascii="AdvPSSAB-R" w:hAnsi="AdvPSSAB-R" w:cs="AdvPSSAB-R"/>
        </w:rPr>
        <w:t xml:space="preserve"> </w:t>
      </w:r>
      <w:r w:rsidR="00726C5E" w:rsidRPr="005852AD">
        <w:rPr>
          <w:rFonts w:ascii="AdvPSSAB-R" w:hAnsi="AdvPSSAB-R" w:cs="AdvPSSAB-R"/>
          <w:highlight w:val="green"/>
        </w:rPr>
        <w:t>The development of fungicide</w:t>
      </w:r>
      <w:r w:rsidR="00034238" w:rsidRPr="005852AD">
        <w:rPr>
          <w:rFonts w:ascii="AdvPSSAB-R" w:hAnsi="AdvPSSAB-R" w:cs="AdvPSSAB-R"/>
          <w:highlight w:val="green"/>
        </w:rPr>
        <w:t xml:space="preserve"> </w:t>
      </w:r>
      <w:r w:rsidR="00726C5E" w:rsidRPr="005852AD">
        <w:rPr>
          <w:rFonts w:ascii="AdvPSSAB-R" w:hAnsi="AdvPSSAB-R" w:cs="AdvPSSAB-R"/>
          <w:highlight w:val="green"/>
        </w:rPr>
        <w:t>resistance is thus a matter of differential selection of</w:t>
      </w:r>
      <w:r w:rsidR="00034238" w:rsidRPr="005852AD">
        <w:rPr>
          <w:rFonts w:ascii="AdvPSSAB-R" w:hAnsi="AdvPSSAB-R" w:cs="AdvPSSAB-R"/>
          <w:highlight w:val="green"/>
        </w:rPr>
        <w:t xml:space="preserve"> </w:t>
      </w:r>
      <w:r w:rsidR="00726C5E" w:rsidRPr="005852AD">
        <w:rPr>
          <w:rFonts w:ascii="AdvPSSAB-R" w:hAnsi="AdvPSSAB-R" w:cs="AdvPSSAB-R"/>
          <w:highlight w:val="green"/>
        </w:rPr>
        <w:t>inherited variation</w:t>
      </w:r>
      <w:r w:rsidR="00726C5E" w:rsidRPr="00D86CA0">
        <w:rPr>
          <w:rFonts w:ascii="AdvPSSAB-R" w:hAnsi="AdvPSSAB-R" w:cs="AdvPSSAB-R"/>
        </w:rPr>
        <w:t>.</w:t>
      </w:r>
    </w:p>
    <w:p w:rsidR="00726C5E" w:rsidRPr="00D86CA0" w:rsidRDefault="007C73C4" w:rsidP="007C73C4">
      <w:pPr>
        <w:rPr>
          <w:rFonts w:ascii="AdvPSSAB-R" w:hAnsi="AdvPSSAB-R" w:cs="AdvPSSAB-R"/>
        </w:rPr>
      </w:pPr>
      <w:r w:rsidRPr="00D86CA0">
        <w:rPr>
          <w:rFonts w:ascii="AdvPSSAB-R" w:hAnsi="AdvPSSAB-R" w:cs="AdvPSSAB-R"/>
        </w:rPr>
        <w:t>The models for fungicide resistance published so far</w:t>
      </w:r>
      <w:r w:rsidR="00034238" w:rsidRPr="00D86CA0">
        <w:rPr>
          <w:rFonts w:ascii="AdvPSSAB-R" w:hAnsi="AdvPSSAB-R" w:cs="AdvPSSAB-R"/>
        </w:rPr>
        <w:t xml:space="preserve"> </w:t>
      </w:r>
      <w:r w:rsidRPr="00D86CA0">
        <w:rPr>
          <w:rFonts w:ascii="AdvPSSAB-R" w:hAnsi="AdvPSSAB-R" w:cs="AdvPSSAB-R"/>
        </w:rPr>
        <w:t xml:space="preserve">and the new calculations with the tested model of </w:t>
      </w:r>
      <w:proofErr w:type="spellStart"/>
      <w:r w:rsidRPr="00D86CA0">
        <w:rPr>
          <w:rFonts w:ascii="AdvPSSAB-R" w:hAnsi="AdvPSSAB-R" w:cs="AdvPSSAB-R"/>
        </w:rPr>
        <w:t>Hobbelen</w:t>
      </w:r>
      <w:proofErr w:type="spellEnd"/>
      <w:r w:rsidR="00034238" w:rsidRPr="00D86CA0">
        <w:rPr>
          <w:rFonts w:ascii="AdvPSSAB-R" w:hAnsi="AdvPSSAB-R" w:cs="AdvPSSAB-R"/>
        </w:rPr>
        <w:t xml:space="preserve"> </w:t>
      </w:r>
      <w:r w:rsidRPr="00D86CA0">
        <w:rPr>
          <w:rFonts w:ascii="AdvPSSAB-I" w:hAnsi="AdvPSSAB-I" w:cs="AdvPSSAB-I"/>
        </w:rPr>
        <w:t>et al. (</w:t>
      </w:r>
      <w:r w:rsidRPr="00D86CA0">
        <w:rPr>
          <w:rFonts w:ascii="AdvPSSAB-R" w:hAnsi="AdvPSSAB-R" w:cs="AdvPSSAB-R"/>
        </w:rPr>
        <w:t>2010) therefore suggest that, independent of</w:t>
      </w:r>
      <w:r w:rsidR="00034238" w:rsidRPr="00D86CA0">
        <w:rPr>
          <w:rFonts w:ascii="AdvPSSAB-R" w:hAnsi="AdvPSSAB-R" w:cs="AdvPSSAB-R"/>
        </w:rPr>
        <w:t xml:space="preserve"> </w:t>
      </w:r>
      <w:r w:rsidRPr="00D86CA0">
        <w:rPr>
          <w:rFonts w:ascii="AdvPSSAB-R" w:hAnsi="AdvPSSAB-R" w:cs="AdvPSSAB-R"/>
        </w:rPr>
        <w:t>model type or model output quantity considered, an</w:t>
      </w:r>
      <w:r w:rsidR="00034238" w:rsidRPr="00D86CA0">
        <w:rPr>
          <w:rFonts w:ascii="AdvPSSAB-R" w:hAnsi="AdvPSSAB-R" w:cs="AdvPSSAB-R"/>
        </w:rPr>
        <w:t xml:space="preserve"> </w:t>
      </w:r>
      <w:r w:rsidRPr="00D86CA0">
        <w:rPr>
          <w:rFonts w:ascii="AdvPSSAB-R" w:hAnsi="AdvPSSAB-R" w:cs="AdvPSSAB-R"/>
        </w:rPr>
        <w:t>increased dose does not decrease the risk of fungicide</w:t>
      </w:r>
      <w:r w:rsidR="00034238" w:rsidRPr="00D86CA0">
        <w:rPr>
          <w:rFonts w:ascii="AdvPSSAB-R" w:hAnsi="AdvPSSAB-R" w:cs="AdvPSSAB-R"/>
        </w:rPr>
        <w:t xml:space="preserve"> </w:t>
      </w:r>
      <w:r w:rsidRPr="00D86CA0">
        <w:rPr>
          <w:rFonts w:ascii="AdvPSSAB-R" w:hAnsi="AdvPSSAB-R" w:cs="AdvPSSAB-R"/>
        </w:rPr>
        <w:t>resistance. In the most extreme case, the risk of fungicide</w:t>
      </w:r>
      <w:r w:rsidR="00034238" w:rsidRPr="00D86CA0">
        <w:rPr>
          <w:rFonts w:ascii="AdvPSSAB-R" w:hAnsi="AdvPSSAB-R" w:cs="AdvPSSAB-R"/>
        </w:rPr>
        <w:t xml:space="preserve"> </w:t>
      </w:r>
      <w:r w:rsidRPr="00D86CA0">
        <w:rPr>
          <w:rFonts w:ascii="AdvPSSAB-R" w:hAnsi="AdvPSSAB-R" w:cs="AdvPSSAB-R"/>
        </w:rPr>
        <w:t>resistance is independent of dose, but in most cases</w:t>
      </w:r>
      <w:r w:rsidR="00034238" w:rsidRPr="00D86CA0">
        <w:rPr>
          <w:rFonts w:ascii="AdvPSSAB-R" w:hAnsi="AdvPSSAB-R" w:cs="AdvPSSAB-R"/>
        </w:rPr>
        <w:t xml:space="preserve"> </w:t>
      </w:r>
      <w:r w:rsidRPr="00D86CA0">
        <w:rPr>
          <w:rFonts w:ascii="AdvPSSAB-R" w:hAnsi="AdvPSSAB-R" w:cs="AdvPSSAB-R"/>
        </w:rPr>
        <w:t xml:space="preserve">increased dose increases the risk of fungicide resistance. </w:t>
      </w:r>
      <w:r w:rsidRPr="005852AD">
        <w:rPr>
          <w:rFonts w:ascii="AdvPSSAB-R" w:hAnsi="AdvPSSAB-R" w:cs="AdvPSSAB-R"/>
          <w:highlight w:val="yellow"/>
        </w:rPr>
        <w:t>However, all this work assumes that the pathogen evolves</w:t>
      </w:r>
      <w:r w:rsidR="00034238" w:rsidRPr="005852AD">
        <w:rPr>
          <w:rFonts w:ascii="AdvPSSAB-R" w:hAnsi="AdvPSSAB-R" w:cs="AdvPSSAB-R"/>
          <w:highlight w:val="yellow"/>
        </w:rPr>
        <w:t xml:space="preserve"> </w:t>
      </w:r>
      <w:r w:rsidRPr="005852AD">
        <w:rPr>
          <w:rFonts w:ascii="AdvPSSAB-R" w:hAnsi="AdvPSSAB-R" w:cs="AdvPSSAB-R"/>
          <w:highlight w:val="yellow"/>
        </w:rPr>
        <w:t>complete resistance to the fungicide.</w:t>
      </w:r>
    </w:p>
    <w:p w:rsidR="00897054" w:rsidRDefault="00897054" w:rsidP="00034238">
      <w:pPr>
        <w:autoSpaceDE w:val="0"/>
        <w:autoSpaceDN w:val="0"/>
        <w:adjustRightInd w:val="0"/>
        <w:spacing w:after="0" w:line="240" w:lineRule="auto"/>
        <w:rPr>
          <w:rFonts w:ascii="AdvPSHEL-B" w:hAnsi="AdvPSHEL-B" w:cs="AdvPSHEL-B"/>
          <w:sz w:val="20"/>
          <w:szCs w:val="20"/>
        </w:rPr>
      </w:pPr>
      <w:r>
        <w:rPr>
          <w:rFonts w:ascii="AdvPSHEL-B" w:hAnsi="AdvPSHEL-B" w:cs="AdvPSHEL-B"/>
          <w:sz w:val="20"/>
          <w:szCs w:val="20"/>
        </w:rPr>
        <w:t>Stress-induced fungicide resistance</w:t>
      </w:r>
      <w:r w:rsidR="00034238">
        <w:rPr>
          <w:rFonts w:ascii="AdvPSHEL-B" w:hAnsi="AdvPSHEL-B" w:cs="AdvPSHEL-B"/>
          <w:sz w:val="20"/>
          <w:szCs w:val="20"/>
        </w:rPr>
        <w:t xml:space="preserve"> </w:t>
      </w:r>
      <w:r>
        <w:rPr>
          <w:rFonts w:ascii="AdvPSHEL-B" w:hAnsi="AdvPSHEL-B" w:cs="AdvPSHEL-B"/>
          <w:sz w:val="20"/>
          <w:szCs w:val="20"/>
        </w:rPr>
        <w:t>Mutations</w:t>
      </w:r>
    </w:p>
    <w:p w:rsidR="00034238" w:rsidRDefault="00034238" w:rsidP="00034238">
      <w:pPr>
        <w:autoSpaceDE w:val="0"/>
        <w:autoSpaceDN w:val="0"/>
        <w:adjustRightInd w:val="0"/>
        <w:spacing w:after="0" w:line="240" w:lineRule="auto"/>
        <w:rPr>
          <w:rFonts w:ascii="AdvPSHEL-B" w:hAnsi="AdvPSHEL-B" w:cs="AdvPSHEL-B"/>
          <w:sz w:val="20"/>
          <w:szCs w:val="20"/>
        </w:rPr>
      </w:pPr>
    </w:p>
    <w:p w:rsidR="00034238" w:rsidRPr="00B23548" w:rsidRDefault="007C73C4" w:rsidP="007C73C4">
      <w:pPr>
        <w:autoSpaceDE w:val="0"/>
        <w:autoSpaceDN w:val="0"/>
        <w:adjustRightInd w:val="0"/>
        <w:spacing w:after="0" w:line="240" w:lineRule="auto"/>
        <w:rPr>
          <w:rFonts w:ascii="AdvPSSAB-R" w:hAnsi="AdvPSSAB-R" w:cs="AdvPSSAB-R"/>
          <w:sz w:val="24"/>
          <w:szCs w:val="24"/>
        </w:rPr>
      </w:pPr>
      <w:r w:rsidRPr="00B23548">
        <w:rPr>
          <w:rFonts w:ascii="AdvPSSAB-R" w:hAnsi="AdvPSSAB-R" w:cs="AdvPSSAB-R"/>
          <w:sz w:val="24"/>
          <w:szCs w:val="24"/>
        </w:rPr>
        <w:t>Fungicide resistance generally emerges through mutations</w:t>
      </w:r>
      <w:r w:rsidR="00034238" w:rsidRPr="00B23548">
        <w:rPr>
          <w:rFonts w:ascii="AdvPSSAB-R" w:hAnsi="AdvPSSAB-R" w:cs="AdvPSSAB-R"/>
          <w:sz w:val="24"/>
          <w:szCs w:val="24"/>
        </w:rPr>
        <w:t xml:space="preserve"> </w:t>
      </w:r>
      <w:r w:rsidRPr="00B23548">
        <w:rPr>
          <w:rFonts w:ascii="AdvPSSAB-R" w:hAnsi="AdvPSSAB-R" w:cs="AdvPSSAB-R"/>
          <w:sz w:val="24"/>
          <w:szCs w:val="24"/>
        </w:rPr>
        <w:t xml:space="preserve">in the nuclear or mitochondrial genome. </w:t>
      </w:r>
      <w:r w:rsidRPr="005852AD">
        <w:rPr>
          <w:rFonts w:ascii="AdvPSSAB-R" w:hAnsi="AdvPSSAB-R" w:cs="AdvPSSAB-R"/>
          <w:sz w:val="24"/>
          <w:szCs w:val="24"/>
          <w:highlight w:val="green"/>
        </w:rPr>
        <w:t>Several</w:t>
      </w:r>
      <w:r w:rsidR="00034238" w:rsidRPr="005852AD">
        <w:rPr>
          <w:rFonts w:ascii="AdvPSSAB-R" w:hAnsi="AdvPSSAB-R" w:cs="AdvPSSAB-R"/>
          <w:sz w:val="24"/>
          <w:szCs w:val="24"/>
          <w:highlight w:val="green"/>
        </w:rPr>
        <w:t xml:space="preserve"> </w:t>
      </w:r>
      <w:r w:rsidRPr="005852AD">
        <w:rPr>
          <w:rFonts w:ascii="AdvPSSAB-R" w:hAnsi="AdvPSSAB-R" w:cs="AdvPSSAB-R"/>
          <w:sz w:val="24"/>
          <w:szCs w:val="24"/>
          <w:highlight w:val="green"/>
        </w:rPr>
        <w:t>experiments have shown that environmental stress</w:t>
      </w:r>
      <w:r w:rsidR="00034238" w:rsidRPr="005852AD">
        <w:rPr>
          <w:rFonts w:ascii="AdvPSSAB-R" w:hAnsi="AdvPSSAB-R" w:cs="AdvPSSAB-R"/>
          <w:sz w:val="24"/>
          <w:szCs w:val="24"/>
          <w:highlight w:val="green"/>
        </w:rPr>
        <w:t xml:space="preserve"> </w:t>
      </w:r>
      <w:r w:rsidRPr="005852AD">
        <w:rPr>
          <w:rFonts w:ascii="AdvPSSAB-R" w:hAnsi="AdvPSSAB-R" w:cs="AdvPSSAB-R"/>
          <w:sz w:val="24"/>
          <w:szCs w:val="24"/>
          <w:highlight w:val="green"/>
        </w:rPr>
        <w:t>(caused for example by nutrient limitation, UV light, oxidative</w:t>
      </w:r>
      <w:r w:rsidR="00034238" w:rsidRPr="005852AD">
        <w:rPr>
          <w:rFonts w:ascii="AdvPSSAB-R" w:hAnsi="AdvPSSAB-R" w:cs="AdvPSSAB-R"/>
          <w:sz w:val="24"/>
          <w:szCs w:val="24"/>
          <w:highlight w:val="green"/>
        </w:rPr>
        <w:t xml:space="preserve"> </w:t>
      </w:r>
      <w:r w:rsidRPr="005852AD">
        <w:rPr>
          <w:rFonts w:ascii="AdvPSSAB-R" w:hAnsi="AdvPSSAB-R" w:cs="AdvPSSAB-R"/>
          <w:sz w:val="24"/>
          <w:szCs w:val="24"/>
          <w:highlight w:val="green"/>
        </w:rPr>
        <w:t>stress, antibiotic exposure or acid exposure) can</w:t>
      </w:r>
      <w:r w:rsidR="00034238" w:rsidRPr="005852AD">
        <w:rPr>
          <w:rFonts w:ascii="AdvPSSAB-R" w:hAnsi="AdvPSSAB-R" w:cs="AdvPSSAB-R"/>
          <w:sz w:val="24"/>
          <w:szCs w:val="24"/>
          <w:highlight w:val="green"/>
        </w:rPr>
        <w:t xml:space="preserve"> </w:t>
      </w:r>
      <w:r w:rsidRPr="005852AD">
        <w:rPr>
          <w:rFonts w:ascii="AdvPSSAB-R" w:hAnsi="AdvPSSAB-R" w:cs="AdvPSSAB-R"/>
          <w:sz w:val="24"/>
          <w:szCs w:val="24"/>
          <w:highlight w:val="green"/>
        </w:rPr>
        <w:t>increase the mutation rate in bacteria</w:t>
      </w:r>
      <w:r w:rsidRPr="00B23548">
        <w:rPr>
          <w:rFonts w:ascii="AdvPSSAB-R" w:hAnsi="AdvPSSAB-R" w:cs="AdvPSSAB-R"/>
          <w:sz w:val="24"/>
          <w:szCs w:val="24"/>
        </w:rPr>
        <w:t xml:space="preserve"> (</w:t>
      </w:r>
      <w:proofErr w:type="spellStart"/>
      <w:r w:rsidRPr="00870FB1">
        <w:rPr>
          <w:rFonts w:ascii="AdvPSSAB-R" w:hAnsi="AdvPSSAB-R" w:cs="AdvPSSAB-R"/>
          <w:sz w:val="24"/>
          <w:szCs w:val="24"/>
          <w:highlight w:val="cyan"/>
        </w:rPr>
        <w:t>Bjedov</w:t>
      </w:r>
      <w:proofErr w:type="spellEnd"/>
      <w:r w:rsidRPr="00870FB1">
        <w:rPr>
          <w:rFonts w:ascii="AdvPSSAB-R" w:hAnsi="AdvPSSAB-R" w:cs="AdvPSSAB-R"/>
          <w:sz w:val="24"/>
          <w:szCs w:val="24"/>
          <w:highlight w:val="cyan"/>
        </w:rPr>
        <w:t xml:space="preserve"> </w:t>
      </w:r>
      <w:r w:rsidRPr="00870FB1">
        <w:rPr>
          <w:rFonts w:ascii="AdvPSSAB-I" w:hAnsi="AdvPSSAB-I" w:cs="AdvPSSAB-I"/>
          <w:sz w:val="24"/>
          <w:szCs w:val="24"/>
          <w:highlight w:val="cyan"/>
        </w:rPr>
        <w:t>et al.</w:t>
      </w:r>
      <w:r w:rsidRPr="00870FB1">
        <w:rPr>
          <w:rFonts w:ascii="AdvPSSAB-R" w:hAnsi="AdvPSSAB-R" w:cs="AdvPSSAB-R"/>
          <w:sz w:val="24"/>
          <w:szCs w:val="24"/>
          <w:highlight w:val="cyan"/>
        </w:rPr>
        <w:t>,</w:t>
      </w:r>
      <w:r w:rsidR="00034238" w:rsidRPr="00870FB1">
        <w:rPr>
          <w:rFonts w:ascii="AdvPSSAB-R" w:hAnsi="AdvPSSAB-R" w:cs="AdvPSSAB-R"/>
          <w:sz w:val="24"/>
          <w:szCs w:val="24"/>
          <w:highlight w:val="cyan"/>
        </w:rPr>
        <w:t xml:space="preserve"> </w:t>
      </w:r>
      <w:r w:rsidRPr="00870FB1">
        <w:rPr>
          <w:rFonts w:ascii="AdvPSSAB-R" w:hAnsi="AdvPSSAB-R" w:cs="AdvPSSAB-R"/>
          <w:sz w:val="24"/>
          <w:szCs w:val="24"/>
          <w:highlight w:val="cyan"/>
        </w:rPr>
        <w:t xml:space="preserve">2003; </w:t>
      </w:r>
      <w:proofErr w:type="spellStart"/>
      <w:r w:rsidRPr="00870FB1">
        <w:rPr>
          <w:rFonts w:ascii="AdvPSSAB-R" w:hAnsi="AdvPSSAB-R" w:cs="AdvPSSAB-R"/>
          <w:sz w:val="24"/>
          <w:szCs w:val="24"/>
          <w:highlight w:val="cyan"/>
        </w:rPr>
        <w:t>Tenaillon</w:t>
      </w:r>
      <w:proofErr w:type="spellEnd"/>
      <w:r w:rsidRPr="00870FB1">
        <w:rPr>
          <w:rFonts w:ascii="AdvPSSAB-R" w:hAnsi="AdvPSSAB-R" w:cs="AdvPSSAB-R"/>
          <w:sz w:val="24"/>
          <w:szCs w:val="24"/>
          <w:highlight w:val="cyan"/>
        </w:rPr>
        <w:t xml:space="preserve"> </w:t>
      </w:r>
      <w:r w:rsidRPr="00870FB1">
        <w:rPr>
          <w:rFonts w:ascii="AdvPSSAB-I" w:hAnsi="AdvPSSAB-I" w:cs="AdvPSSAB-I"/>
          <w:sz w:val="24"/>
          <w:szCs w:val="24"/>
          <w:highlight w:val="cyan"/>
        </w:rPr>
        <w:t>et al.</w:t>
      </w:r>
      <w:r w:rsidRPr="00870FB1">
        <w:rPr>
          <w:rFonts w:ascii="AdvPSSAB-R" w:hAnsi="AdvPSSAB-R" w:cs="AdvPSSAB-R"/>
          <w:sz w:val="24"/>
          <w:szCs w:val="24"/>
          <w:highlight w:val="cyan"/>
        </w:rPr>
        <w:t xml:space="preserve">, 2004; Kang </w:t>
      </w:r>
      <w:r w:rsidRPr="00870FB1">
        <w:rPr>
          <w:rFonts w:ascii="AdvPSSAB-I" w:hAnsi="AdvPSSAB-I" w:cs="AdvPSSAB-I"/>
          <w:sz w:val="24"/>
          <w:szCs w:val="24"/>
          <w:highlight w:val="cyan"/>
        </w:rPr>
        <w:t>et al.</w:t>
      </w:r>
      <w:r w:rsidRPr="00870FB1">
        <w:rPr>
          <w:rFonts w:ascii="AdvPSSAB-R" w:hAnsi="AdvPSSAB-R" w:cs="AdvPSSAB-R"/>
          <w:sz w:val="24"/>
          <w:szCs w:val="24"/>
          <w:highlight w:val="cyan"/>
        </w:rPr>
        <w:t>, 2006</w:t>
      </w:r>
      <w:r w:rsidRPr="00B23548">
        <w:rPr>
          <w:rFonts w:ascii="AdvPSSAB-R" w:hAnsi="AdvPSSAB-R" w:cs="AdvPSSAB-R"/>
          <w:sz w:val="24"/>
          <w:szCs w:val="24"/>
        </w:rPr>
        <w:t xml:space="preserve">; </w:t>
      </w:r>
      <w:proofErr w:type="spellStart"/>
      <w:r w:rsidRPr="00B23548">
        <w:rPr>
          <w:rFonts w:ascii="AdvPSSAB-R" w:hAnsi="AdvPSSAB-R" w:cs="AdvPSSAB-R"/>
          <w:sz w:val="24"/>
          <w:szCs w:val="24"/>
        </w:rPr>
        <w:t>Galhardo</w:t>
      </w:r>
      <w:proofErr w:type="spellEnd"/>
      <w:r w:rsidR="00034238" w:rsidRPr="00B23548">
        <w:rPr>
          <w:rFonts w:ascii="AdvPSSAB-R" w:hAnsi="AdvPSSAB-R" w:cs="AdvPSSAB-R"/>
          <w:sz w:val="24"/>
          <w:szCs w:val="24"/>
        </w:rPr>
        <w:t xml:space="preserve"> </w:t>
      </w:r>
      <w:r w:rsidRPr="00B23548">
        <w:rPr>
          <w:rFonts w:ascii="AdvPSSAB-I" w:hAnsi="AdvPSSAB-I" w:cs="AdvPSSAB-I"/>
          <w:sz w:val="24"/>
          <w:szCs w:val="24"/>
        </w:rPr>
        <w:t>et al.</w:t>
      </w:r>
      <w:r w:rsidRPr="00B23548">
        <w:rPr>
          <w:rFonts w:ascii="AdvPSSAB-R" w:hAnsi="AdvPSSAB-R" w:cs="AdvPSSAB-R"/>
          <w:sz w:val="24"/>
          <w:szCs w:val="24"/>
        </w:rPr>
        <w:t xml:space="preserve">, 2007). </w:t>
      </w:r>
      <w:r w:rsidRPr="005852AD">
        <w:rPr>
          <w:rFonts w:ascii="AdvPSSAB-R" w:hAnsi="AdvPSSAB-R" w:cs="AdvPSSAB-R"/>
          <w:sz w:val="24"/>
          <w:szCs w:val="24"/>
          <w:highlight w:val="green"/>
        </w:rPr>
        <w:t>This raises the possibility that eukaryotic</w:t>
      </w:r>
      <w:r w:rsidR="00034238" w:rsidRPr="005852AD">
        <w:rPr>
          <w:rFonts w:ascii="AdvPSSAB-R" w:hAnsi="AdvPSSAB-R" w:cs="AdvPSSAB-R"/>
          <w:sz w:val="24"/>
          <w:szCs w:val="24"/>
          <w:highlight w:val="green"/>
        </w:rPr>
        <w:t xml:space="preserve"> </w:t>
      </w:r>
      <w:r w:rsidRPr="005852AD">
        <w:rPr>
          <w:rFonts w:ascii="AdvPSSAB-R" w:hAnsi="AdvPSSAB-R" w:cs="AdvPSSAB-R"/>
          <w:sz w:val="24"/>
          <w:szCs w:val="24"/>
          <w:highlight w:val="green"/>
        </w:rPr>
        <w:t>(for example, fungal and oomycete) mutation rates might</w:t>
      </w:r>
      <w:r w:rsidR="00034238" w:rsidRPr="005852AD">
        <w:rPr>
          <w:rFonts w:ascii="AdvPSSAB-R" w:hAnsi="AdvPSSAB-R" w:cs="AdvPSSAB-R"/>
          <w:sz w:val="24"/>
          <w:szCs w:val="24"/>
          <w:highlight w:val="green"/>
        </w:rPr>
        <w:t xml:space="preserve"> </w:t>
      </w:r>
      <w:r w:rsidRPr="005852AD">
        <w:rPr>
          <w:rFonts w:ascii="AdvPSSAB-R" w:hAnsi="AdvPSSAB-R" w:cs="AdvPSSAB-R"/>
          <w:sz w:val="24"/>
          <w:szCs w:val="24"/>
          <w:highlight w:val="green"/>
        </w:rPr>
        <w:t>also be increased by stress, such as exposure to fungicide.</w:t>
      </w:r>
      <w:r w:rsidR="00034238" w:rsidRPr="005852AD">
        <w:rPr>
          <w:rFonts w:ascii="AdvPSSAB-R" w:hAnsi="AdvPSSAB-R" w:cs="AdvPSSAB-R"/>
          <w:sz w:val="24"/>
          <w:szCs w:val="24"/>
          <w:highlight w:val="green"/>
        </w:rPr>
        <w:t xml:space="preserve"> </w:t>
      </w:r>
      <w:r w:rsidRPr="005852AD">
        <w:rPr>
          <w:rFonts w:ascii="AdvPSSAB-R" w:hAnsi="AdvPSSAB-R" w:cs="AdvPSSAB-R"/>
          <w:sz w:val="24"/>
          <w:szCs w:val="24"/>
          <w:highlight w:val="green"/>
        </w:rPr>
        <w:t>No research has been done into this area</w:t>
      </w:r>
      <w:r w:rsidRPr="00B23548">
        <w:rPr>
          <w:rFonts w:ascii="AdvPSSAB-R" w:hAnsi="AdvPSSAB-R" w:cs="AdvPSSAB-R"/>
          <w:sz w:val="24"/>
          <w:szCs w:val="24"/>
        </w:rPr>
        <w:t>.</w:t>
      </w:r>
      <w:r w:rsidR="00034238" w:rsidRPr="00B23548">
        <w:rPr>
          <w:rFonts w:ascii="AdvPSSAB-R" w:hAnsi="AdvPSSAB-R" w:cs="AdvPSSAB-R"/>
          <w:sz w:val="24"/>
          <w:szCs w:val="24"/>
        </w:rPr>
        <w:t xml:space="preserve">  </w:t>
      </w:r>
    </w:p>
    <w:p w:rsidR="00034238" w:rsidRPr="00B23548" w:rsidRDefault="00034238" w:rsidP="007C73C4">
      <w:pPr>
        <w:autoSpaceDE w:val="0"/>
        <w:autoSpaceDN w:val="0"/>
        <w:adjustRightInd w:val="0"/>
        <w:spacing w:after="0" w:line="240" w:lineRule="auto"/>
        <w:rPr>
          <w:rFonts w:ascii="AdvPSSAB-R" w:hAnsi="AdvPSSAB-R" w:cs="AdvPSSAB-R"/>
          <w:sz w:val="24"/>
          <w:szCs w:val="24"/>
        </w:rPr>
      </w:pPr>
    </w:p>
    <w:p w:rsidR="007C73C4" w:rsidRPr="00B23548" w:rsidRDefault="005852AD" w:rsidP="005852AD">
      <w:pPr>
        <w:autoSpaceDE w:val="0"/>
        <w:autoSpaceDN w:val="0"/>
        <w:adjustRightInd w:val="0"/>
        <w:spacing w:after="0" w:line="240" w:lineRule="auto"/>
        <w:rPr>
          <w:rFonts w:ascii="AdvPSSAB-R" w:hAnsi="AdvPSSAB-R" w:cs="AdvPSSAB-R"/>
          <w:sz w:val="24"/>
          <w:szCs w:val="24"/>
        </w:rPr>
      </w:pPr>
      <w:r>
        <w:rPr>
          <w:rFonts w:ascii="AdvPSSAB-R" w:hAnsi="AdvPSSAB-R" w:cs="AdvPSSAB-R"/>
          <w:sz w:val="18"/>
          <w:szCs w:val="18"/>
        </w:rPr>
        <w:t xml:space="preserve">During the fungicide registration process each fungicide is rigorously tested for any possible mutagenic </w:t>
      </w:r>
      <w:r>
        <w:rPr>
          <w:rFonts w:ascii="AdvPSSym" w:eastAsia="AdvPSSym" w:hAnsi="AdvPSSAB-R" w:cs="AdvPSSym" w:hint="eastAsia"/>
          <w:sz w:val="18"/>
          <w:szCs w:val="18"/>
        </w:rPr>
        <w:t>⁄</w:t>
      </w:r>
      <w:r>
        <w:rPr>
          <w:rFonts w:ascii="AdvPSSym" w:eastAsia="AdvPSSym" w:hAnsi="AdvPSSAB-R" w:cs="AdvPSSym"/>
          <w:sz w:val="18"/>
          <w:szCs w:val="18"/>
        </w:rPr>
        <w:t xml:space="preserve"> </w:t>
      </w:r>
      <w:r>
        <w:rPr>
          <w:rFonts w:ascii="AdvPSSAB-R" w:hAnsi="AdvPSSAB-R" w:cs="AdvPSSAB-R"/>
          <w:sz w:val="18"/>
          <w:szCs w:val="18"/>
        </w:rPr>
        <w:t>carcinogenic effects on non target organisms, and we are not suggesting here that any registered fungicide has any such effect. However</w:t>
      </w:r>
      <w:r w:rsidRPr="00B23548">
        <w:rPr>
          <w:rFonts w:ascii="AdvPSSAB-R" w:hAnsi="AdvPSSAB-R" w:cs="AdvPSSAB-R"/>
          <w:sz w:val="24"/>
          <w:szCs w:val="24"/>
        </w:rPr>
        <w:t xml:space="preserve"> </w:t>
      </w:r>
      <w:r w:rsidR="007C73C4" w:rsidRPr="00B23548">
        <w:rPr>
          <w:rFonts w:ascii="AdvPSSAB-R" w:hAnsi="AdvPSSAB-R" w:cs="AdvPSSAB-R"/>
          <w:sz w:val="24"/>
          <w:szCs w:val="24"/>
        </w:rPr>
        <w:t>…it could be that for the target organism</w:t>
      </w:r>
      <w:r w:rsidR="00034238" w:rsidRPr="00B23548">
        <w:rPr>
          <w:rFonts w:ascii="AdvPSSAB-R" w:hAnsi="AdvPSSAB-R" w:cs="AdvPSSAB-R"/>
          <w:sz w:val="24"/>
          <w:szCs w:val="24"/>
        </w:rPr>
        <w:t xml:space="preserve"> </w:t>
      </w:r>
      <w:r w:rsidR="007C73C4" w:rsidRPr="00B23548">
        <w:rPr>
          <w:rFonts w:ascii="AdvPSSAB-R" w:hAnsi="AdvPSSAB-R" w:cs="AdvPSSAB-R"/>
          <w:sz w:val="24"/>
          <w:szCs w:val="24"/>
        </w:rPr>
        <w:t>the fungicide presents a stress factor, which could lead to,</w:t>
      </w:r>
      <w:r w:rsidR="00034238" w:rsidRPr="00B23548">
        <w:rPr>
          <w:rFonts w:ascii="AdvPSSAB-R" w:hAnsi="AdvPSSAB-R" w:cs="AdvPSSAB-R"/>
          <w:sz w:val="24"/>
          <w:szCs w:val="24"/>
        </w:rPr>
        <w:t xml:space="preserve"> </w:t>
      </w:r>
      <w:r w:rsidR="007C73C4" w:rsidRPr="00B23548">
        <w:rPr>
          <w:rFonts w:ascii="AdvPSSAB-R" w:hAnsi="AdvPSSAB-R" w:cs="AdvPSSAB-R"/>
          <w:sz w:val="24"/>
          <w:szCs w:val="24"/>
        </w:rPr>
        <w:t>for example, the suppression of proof-reading during</w:t>
      </w:r>
      <w:r w:rsidR="00034238" w:rsidRPr="00B23548">
        <w:rPr>
          <w:rFonts w:ascii="AdvPSSAB-R" w:hAnsi="AdvPSSAB-R" w:cs="AdvPSSAB-R"/>
          <w:sz w:val="24"/>
          <w:szCs w:val="24"/>
        </w:rPr>
        <w:t xml:space="preserve"> </w:t>
      </w:r>
      <w:r w:rsidR="007C73C4" w:rsidRPr="00B23548">
        <w:rPr>
          <w:rFonts w:ascii="AdvPSSAB-R" w:hAnsi="AdvPSSAB-R" w:cs="AdvPSSAB-R"/>
          <w:sz w:val="24"/>
          <w:szCs w:val="24"/>
        </w:rPr>
        <w:t>copying of the genome.</w:t>
      </w:r>
    </w:p>
    <w:p w:rsidR="007C73C4" w:rsidRPr="00B23548" w:rsidRDefault="007C73C4" w:rsidP="007C73C4">
      <w:pPr>
        <w:rPr>
          <w:rFonts w:ascii="AdvPSSAB-R" w:hAnsi="AdvPSSAB-R" w:cs="AdvPSSAB-R"/>
          <w:sz w:val="24"/>
          <w:szCs w:val="24"/>
        </w:rPr>
      </w:pPr>
    </w:p>
    <w:p w:rsidR="007C73C4" w:rsidRDefault="007C73C4" w:rsidP="007C73C4">
      <w:pPr>
        <w:rPr>
          <w:rFonts w:ascii="AdvPSHEL-B" w:hAnsi="AdvPSHEL-B" w:cs="AdvPSHEL-B"/>
          <w:sz w:val="20"/>
          <w:szCs w:val="20"/>
        </w:rPr>
      </w:pPr>
      <w:r>
        <w:rPr>
          <w:rFonts w:ascii="AdvPSHEL-B" w:hAnsi="AdvPSHEL-B" w:cs="AdvPSHEL-B"/>
          <w:sz w:val="20"/>
          <w:szCs w:val="20"/>
        </w:rPr>
        <w:t>Mutation limitation</w:t>
      </w:r>
    </w:p>
    <w:p w:rsidR="007C73C4" w:rsidRDefault="007C73C4" w:rsidP="00345C71">
      <w:pPr>
        <w:rPr>
          <w:rFonts w:ascii="AdvPSSAB-R" w:hAnsi="AdvPSSAB-R" w:cs="AdvPSSAB-R"/>
          <w:sz w:val="18"/>
          <w:szCs w:val="18"/>
        </w:rPr>
      </w:pPr>
      <w:r w:rsidRPr="005852AD">
        <w:rPr>
          <w:rFonts w:ascii="AdvPSSAB-R" w:hAnsi="AdvPSSAB-R" w:cs="AdvPSSAB-R"/>
          <w:sz w:val="24"/>
          <w:szCs w:val="24"/>
          <w:highlight w:val="green"/>
        </w:rPr>
        <w:t>Mutations occur during the replication of the genome</w:t>
      </w:r>
      <w:r w:rsidR="00034238" w:rsidRPr="005852AD">
        <w:rPr>
          <w:rFonts w:ascii="AdvPSSAB-R" w:hAnsi="AdvPSSAB-R" w:cs="AdvPSSAB-R"/>
          <w:sz w:val="24"/>
          <w:szCs w:val="24"/>
          <w:highlight w:val="green"/>
        </w:rPr>
        <w:t xml:space="preserve"> </w:t>
      </w:r>
      <w:r w:rsidRPr="005852AD">
        <w:rPr>
          <w:rFonts w:ascii="AdvPSSAB-R" w:hAnsi="AdvPSSAB-R" w:cs="AdvPSSAB-R"/>
          <w:sz w:val="24"/>
          <w:szCs w:val="24"/>
          <w:highlight w:val="green"/>
        </w:rPr>
        <w:t>and can occur during any cell division in a cell lineage</w:t>
      </w:r>
      <w:r w:rsidR="00034238" w:rsidRPr="005852AD">
        <w:rPr>
          <w:rFonts w:ascii="AdvPSSAB-R" w:hAnsi="AdvPSSAB-R" w:cs="AdvPSSAB-R"/>
          <w:sz w:val="24"/>
          <w:szCs w:val="24"/>
          <w:highlight w:val="green"/>
        </w:rPr>
        <w:t xml:space="preserve"> </w:t>
      </w:r>
      <w:r w:rsidRPr="005852AD">
        <w:rPr>
          <w:rFonts w:ascii="AdvPSSAB-R" w:hAnsi="AdvPSSAB-R" w:cs="AdvPSSAB-R"/>
          <w:sz w:val="24"/>
          <w:szCs w:val="24"/>
          <w:highlight w:val="green"/>
        </w:rPr>
        <w:t>leading to spore</w:t>
      </w:r>
      <w:r w:rsidRPr="005852AD">
        <w:rPr>
          <w:rFonts w:ascii="AdvPSSAB-R" w:hAnsi="AdvPSSAB-R" w:cs="AdvPSSAB-R"/>
          <w:sz w:val="24"/>
          <w:szCs w:val="24"/>
        </w:rPr>
        <w:t xml:space="preserve"> formation</w:t>
      </w:r>
      <w:r>
        <w:rPr>
          <w:rFonts w:ascii="AdvPSSAB-R" w:hAnsi="AdvPSSAB-R" w:cs="AdvPSSAB-R"/>
          <w:sz w:val="18"/>
          <w:szCs w:val="18"/>
        </w:rPr>
        <w:t>. Although there will be spatial</w:t>
      </w:r>
      <w:r w:rsidR="00034238">
        <w:rPr>
          <w:rFonts w:ascii="AdvPSSAB-R" w:hAnsi="AdvPSSAB-R" w:cs="AdvPSSAB-R"/>
          <w:sz w:val="18"/>
          <w:szCs w:val="18"/>
        </w:rPr>
        <w:t xml:space="preserve"> </w:t>
      </w:r>
      <w:r>
        <w:rPr>
          <w:rFonts w:ascii="AdvPSSAB-R" w:hAnsi="AdvPSSAB-R" w:cs="AdvPSSAB-R"/>
          <w:sz w:val="18"/>
          <w:szCs w:val="18"/>
        </w:rPr>
        <w:t>and temporal variation in the frequency of mutant spores,</w:t>
      </w:r>
      <w:r w:rsidR="00034238">
        <w:rPr>
          <w:rFonts w:ascii="AdvPSSAB-R" w:hAnsi="AdvPSSAB-R" w:cs="AdvPSSAB-R"/>
          <w:sz w:val="18"/>
          <w:szCs w:val="18"/>
        </w:rPr>
        <w:t xml:space="preserve"> </w:t>
      </w:r>
      <w:r>
        <w:rPr>
          <w:rFonts w:ascii="AdvPSSAB-R" w:hAnsi="AdvPSSAB-R" w:cs="AdvPSSAB-R"/>
          <w:sz w:val="18"/>
          <w:szCs w:val="18"/>
        </w:rPr>
        <w:t>the process can be summarized as a probability that a random</w:t>
      </w:r>
      <w:r w:rsidR="00034238">
        <w:rPr>
          <w:rFonts w:ascii="AdvPSSAB-R" w:hAnsi="AdvPSSAB-R" w:cs="AdvPSSAB-R"/>
          <w:sz w:val="18"/>
          <w:szCs w:val="18"/>
        </w:rPr>
        <w:t xml:space="preserve"> </w:t>
      </w:r>
      <w:r>
        <w:rPr>
          <w:rFonts w:ascii="AdvPSSAB-R" w:hAnsi="AdvPSSAB-R" w:cs="AdvPSSAB-R"/>
          <w:sz w:val="18"/>
          <w:szCs w:val="18"/>
        </w:rPr>
        <w:t xml:space="preserve">spore contains a new mutation contributing to </w:t>
      </w:r>
      <w:r>
        <w:rPr>
          <w:rFonts w:ascii="AdvPSSAB-R" w:hAnsi="AdvPSSAB-R" w:cs="AdvPSSAB-R"/>
          <w:sz w:val="18"/>
          <w:szCs w:val="18"/>
        </w:rPr>
        <w:lastRenderedPageBreak/>
        <w:t>fungicide</w:t>
      </w:r>
      <w:r w:rsidR="00034238">
        <w:rPr>
          <w:rFonts w:ascii="AdvPSSAB-R" w:hAnsi="AdvPSSAB-R" w:cs="AdvPSSAB-R"/>
          <w:sz w:val="18"/>
          <w:szCs w:val="18"/>
        </w:rPr>
        <w:t xml:space="preserve"> </w:t>
      </w:r>
      <w:r>
        <w:rPr>
          <w:rFonts w:ascii="AdvPSSAB-R" w:hAnsi="AdvPSSAB-R" w:cs="AdvPSSAB-R"/>
          <w:sz w:val="18"/>
          <w:szCs w:val="18"/>
        </w:rPr>
        <w:t>resistance.</w:t>
      </w:r>
      <w:r w:rsidR="00345C71">
        <w:rPr>
          <w:rFonts w:ascii="AdvPSSAB-R" w:hAnsi="AdvPSSAB-R" w:cs="AdvPSSAB-R"/>
          <w:sz w:val="18"/>
          <w:szCs w:val="18"/>
        </w:rPr>
        <w:t xml:space="preserve"> …Population size is thus a key component in the number</w:t>
      </w:r>
      <w:r w:rsidR="00034238">
        <w:rPr>
          <w:rFonts w:ascii="AdvPSSAB-R" w:hAnsi="AdvPSSAB-R" w:cs="AdvPSSAB-R"/>
          <w:sz w:val="18"/>
          <w:szCs w:val="18"/>
        </w:rPr>
        <w:t xml:space="preserve"> </w:t>
      </w:r>
      <w:r w:rsidR="00345C71">
        <w:rPr>
          <w:rFonts w:ascii="AdvPSSAB-R" w:hAnsi="AdvPSSAB-R" w:cs="AdvPSSAB-R"/>
          <w:sz w:val="18"/>
          <w:szCs w:val="18"/>
        </w:rPr>
        <w:t>of fungicide resistance mutations occurring per time</w:t>
      </w:r>
      <w:r w:rsidR="00034238">
        <w:rPr>
          <w:rFonts w:ascii="AdvPSSAB-R" w:hAnsi="AdvPSSAB-R" w:cs="AdvPSSAB-R"/>
          <w:sz w:val="18"/>
          <w:szCs w:val="18"/>
        </w:rPr>
        <w:t xml:space="preserve"> </w:t>
      </w:r>
      <w:r w:rsidR="00345C71">
        <w:rPr>
          <w:rFonts w:ascii="AdvPSSAB-R" w:hAnsi="AdvPSSAB-R" w:cs="AdvPSSAB-R"/>
          <w:sz w:val="18"/>
          <w:szCs w:val="18"/>
        </w:rPr>
        <w:t>unit.</w:t>
      </w:r>
    </w:p>
    <w:p w:rsidR="00345C71" w:rsidRDefault="00345C71" w:rsidP="00345C71">
      <w:pPr>
        <w:rPr>
          <w:rFonts w:ascii="AdvPSSAB-R" w:hAnsi="AdvPSSAB-R" w:cs="AdvPSSAB-R"/>
          <w:sz w:val="18"/>
          <w:szCs w:val="18"/>
        </w:rPr>
      </w:pPr>
      <w:r>
        <w:rPr>
          <w:rFonts w:ascii="AdvPSSAB-R" w:hAnsi="AdvPSSAB-R" w:cs="AdvPSSAB-R"/>
          <w:sz w:val="18"/>
          <w:szCs w:val="18"/>
        </w:rPr>
        <w:t>In a</w:t>
      </w:r>
      <w:r w:rsidR="00034238">
        <w:rPr>
          <w:rFonts w:ascii="AdvPSSAB-R" w:hAnsi="AdvPSSAB-R" w:cs="AdvPSSAB-R"/>
          <w:sz w:val="18"/>
          <w:szCs w:val="18"/>
        </w:rPr>
        <w:t xml:space="preserve"> </w:t>
      </w:r>
      <w:r>
        <w:rPr>
          <w:rFonts w:ascii="AdvPSSAB-R" w:hAnsi="AdvPSSAB-R" w:cs="AdvPSSAB-R"/>
          <w:sz w:val="18"/>
          <w:szCs w:val="18"/>
        </w:rPr>
        <w:t>few cases a founder population of resistant individuals</w:t>
      </w:r>
      <w:r w:rsidR="00034238">
        <w:rPr>
          <w:rFonts w:ascii="AdvPSSAB-R" w:hAnsi="AdvPSSAB-R" w:cs="AdvPSSAB-R"/>
          <w:sz w:val="18"/>
          <w:szCs w:val="18"/>
        </w:rPr>
        <w:t xml:space="preserve"> </w:t>
      </w:r>
      <w:r>
        <w:rPr>
          <w:rFonts w:ascii="AdvPSSAB-R" w:hAnsi="AdvPSSAB-R" w:cs="AdvPSSAB-R"/>
          <w:sz w:val="18"/>
          <w:szCs w:val="18"/>
        </w:rPr>
        <w:t>will build up in sufficient numbers for selection to be as</w:t>
      </w:r>
      <w:r w:rsidR="00034238">
        <w:rPr>
          <w:rFonts w:ascii="AdvPSSAB-R" w:hAnsi="AdvPSSAB-R" w:cs="AdvPSSAB-R"/>
          <w:sz w:val="18"/>
          <w:szCs w:val="18"/>
        </w:rPr>
        <w:t xml:space="preserve"> </w:t>
      </w:r>
      <w:r>
        <w:rPr>
          <w:rFonts w:ascii="AdvPSSAB-R" w:hAnsi="AdvPSSAB-R" w:cs="AdvPSSAB-R"/>
          <w:sz w:val="18"/>
          <w:szCs w:val="18"/>
        </w:rPr>
        <w:t>important as chance in population change</w:t>
      </w:r>
    </w:p>
    <w:p w:rsidR="00345C71" w:rsidRPr="0032401D" w:rsidRDefault="00345C71" w:rsidP="00345C71">
      <w:pPr>
        <w:rPr>
          <w:rFonts w:ascii="AdvPSSAB-R" w:hAnsi="AdvPSSAB-R" w:cs="AdvPSSAB-R"/>
          <w:sz w:val="24"/>
          <w:szCs w:val="24"/>
        </w:rPr>
      </w:pPr>
      <w:r w:rsidRPr="0032401D">
        <w:rPr>
          <w:rFonts w:ascii="AdvPSSAB-R" w:hAnsi="AdvPSSAB-R" w:cs="AdvPSSAB-R"/>
          <w:sz w:val="24"/>
          <w:szCs w:val="24"/>
          <w:highlight w:val="green"/>
        </w:rPr>
        <w:t>Now consider the contrasting situations of fungal populations</w:t>
      </w:r>
      <w:r w:rsidR="00034238" w:rsidRPr="0032401D">
        <w:rPr>
          <w:rFonts w:ascii="AdvPSSAB-R" w:hAnsi="AdvPSSAB-R" w:cs="AdvPSSAB-R"/>
          <w:sz w:val="24"/>
          <w:szCs w:val="24"/>
          <w:highlight w:val="green"/>
        </w:rPr>
        <w:t xml:space="preserve"> </w:t>
      </w:r>
      <w:r w:rsidRPr="0032401D">
        <w:rPr>
          <w:rFonts w:ascii="AdvPSSAB-R" w:hAnsi="AdvPSSAB-R" w:cs="AdvPSSAB-R"/>
          <w:sz w:val="24"/>
          <w:szCs w:val="24"/>
          <w:highlight w:val="green"/>
        </w:rPr>
        <w:t>affected by low or high doses of fungicide</w:t>
      </w:r>
      <w:r w:rsidR="00034238" w:rsidRPr="0032401D">
        <w:rPr>
          <w:rFonts w:ascii="AdvPSSAB-R" w:hAnsi="AdvPSSAB-R" w:cs="AdvPSSAB-R"/>
          <w:sz w:val="24"/>
          <w:szCs w:val="24"/>
          <w:highlight w:val="green"/>
        </w:rPr>
        <w:t xml:space="preserve"> </w:t>
      </w:r>
      <w:r w:rsidRPr="0032401D">
        <w:rPr>
          <w:rFonts w:ascii="AdvPSSAB-R" w:hAnsi="AdvPSSAB-R" w:cs="AdvPSSAB-R"/>
          <w:sz w:val="24"/>
          <w:szCs w:val="24"/>
          <w:highlight w:val="green"/>
        </w:rPr>
        <w:t>(Fig. 8). At low dose the density of the sensitive strain is</w:t>
      </w:r>
      <w:r w:rsidR="00034238" w:rsidRPr="0032401D">
        <w:rPr>
          <w:rFonts w:ascii="AdvPSSAB-R" w:hAnsi="AdvPSSAB-R" w:cs="AdvPSSAB-R"/>
          <w:sz w:val="24"/>
          <w:szCs w:val="24"/>
          <w:highlight w:val="green"/>
        </w:rPr>
        <w:t xml:space="preserve"> </w:t>
      </w:r>
      <w:r w:rsidRPr="0032401D">
        <w:rPr>
          <w:rFonts w:ascii="AdvPSSAB-R" w:hAnsi="AdvPSSAB-R" w:cs="AdvPSSAB-R"/>
          <w:sz w:val="24"/>
          <w:szCs w:val="24"/>
          <w:highlight w:val="green"/>
        </w:rPr>
        <w:t>relatively high. This implies a relatively high number of</w:t>
      </w:r>
      <w:r w:rsidR="00034238" w:rsidRPr="0032401D">
        <w:rPr>
          <w:rFonts w:ascii="AdvPSSAB-R" w:hAnsi="AdvPSSAB-R" w:cs="AdvPSSAB-R"/>
          <w:sz w:val="24"/>
          <w:szCs w:val="24"/>
          <w:highlight w:val="green"/>
        </w:rPr>
        <w:t xml:space="preserve"> </w:t>
      </w:r>
      <w:r w:rsidRPr="0032401D">
        <w:rPr>
          <w:rFonts w:ascii="AdvPSSAB-R" w:hAnsi="AdvPSSAB-R" w:cs="AdvPSSAB-R"/>
          <w:sz w:val="24"/>
          <w:szCs w:val="24"/>
          <w:highlight w:val="green"/>
        </w:rPr>
        <w:t>fungicide resistance mutations occurring per time unit.</w:t>
      </w:r>
      <w:r w:rsidR="00034238" w:rsidRPr="0032401D">
        <w:rPr>
          <w:rFonts w:ascii="AdvPSSAB-R" w:hAnsi="AdvPSSAB-R" w:cs="AdvPSSAB-R"/>
          <w:sz w:val="24"/>
          <w:szCs w:val="24"/>
          <w:highlight w:val="green"/>
        </w:rPr>
        <w:t xml:space="preserve"> </w:t>
      </w:r>
      <w:r w:rsidRPr="0032401D">
        <w:rPr>
          <w:rFonts w:ascii="AdvPSSAB-R" w:hAnsi="AdvPSSAB-R" w:cs="AdvPSSAB-R"/>
          <w:sz w:val="24"/>
          <w:szCs w:val="24"/>
          <w:highlight w:val="green"/>
        </w:rPr>
        <w:t>It also implies a low probability that a mutant will be able</w:t>
      </w:r>
      <w:r w:rsidR="00034238" w:rsidRPr="0032401D">
        <w:rPr>
          <w:rFonts w:ascii="AdvPSSAB-R" w:hAnsi="AdvPSSAB-R" w:cs="AdvPSSAB-R"/>
          <w:sz w:val="24"/>
          <w:szCs w:val="24"/>
          <w:highlight w:val="green"/>
        </w:rPr>
        <w:t xml:space="preserve"> </w:t>
      </w:r>
      <w:r w:rsidRPr="0032401D">
        <w:rPr>
          <w:rFonts w:ascii="AdvPSSAB-R" w:hAnsi="AdvPSSAB-R" w:cs="AdvPSSAB-R"/>
          <w:sz w:val="24"/>
          <w:szCs w:val="24"/>
          <w:highlight w:val="green"/>
        </w:rPr>
        <w:t>to build up a population and survive through the emergence</w:t>
      </w:r>
      <w:r w:rsidR="00034238" w:rsidRPr="0032401D">
        <w:rPr>
          <w:rFonts w:ascii="AdvPSSAB-R" w:hAnsi="AdvPSSAB-R" w:cs="AdvPSSAB-R"/>
          <w:sz w:val="24"/>
          <w:szCs w:val="24"/>
          <w:highlight w:val="green"/>
        </w:rPr>
        <w:t xml:space="preserve"> </w:t>
      </w:r>
      <w:r w:rsidRPr="0032401D">
        <w:rPr>
          <w:rFonts w:ascii="AdvPSSAB-R" w:hAnsi="AdvPSSAB-R" w:cs="AdvPSSAB-R"/>
          <w:sz w:val="24"/>
          <w:szCs w:val="24"/>
          <w:highlight w:val="green"/>
        </w:rPr>
        <w:t>phase because of the presence of a relatively high</w:t>
      </w:r>
      <w:r w:rsidR="00034238" w:rsidRPr="0032401D">
        <w:rPr>
          <w:rFonts w:ascii="AdvPSSAB-R" w:hAnsi="AdvPSSAB-R" w:cs="AdvPSSAB-R"/>
          <w:sz w:val="24"/>
          <w:szCs w:val="24"/>
          <w:highlight w:val="green"/>
        </w:rPr>
        <w:t xml:space="preserve"> </w:t>
      </w:r>
      <w:r w:rsidRPr="0032401D">
        <w:rPr>
          <w:rFonts w:ascii="AdvPSSAB-R" w:hAnsi="AdvPSSAB-R" w:cs="AdvPSSAB-R"/>
          <w:sz w:val="24"/>
          <w:szCs w:val="24"/>
          <w:highlight w:val="green"/>
        </w:rPr>
        <w:t>density of the sensitive strain taking up leaf area.</w:t>
      </w:r>
    </w:p>
    <w:p w:rsidR="000502E6" w:rsidRDefault="000502E6" w:rsidP="000502E6">
      <w:pPr>
        <w:autoSpaceDE w:val="0"/>
        <w:autoSpaceDN w:val="0"/>
        <w:adjustRightInd w:val="0"/>
        <w:spacing w:after="0" w:line="240" w:lineRule="auto"/>
        <w:rPr>
          <w:rFonts w:ascii="AdvPSSAB-R" w:hAnsi="AdvPSSAB-R" w:cs="AdvPSSAB-R"/>
          <w:sz w:val="18"/>
          <w:szCs w:val="18"/>
        </w:rPr>
      </w:pPr>
      <w:r>
        <w:rPr>
          <w:rFonts w:ascii="AdvPSSAB-R" w:hAnsi="AdvPSSAB-R" w:cs="AdvPSSAB-R"/>
          <w:sz w:val="18"/>
          <w:szCs w:val="18"/>
        </w:rPr>
        <w:t>During the selection phase is it unlikely that further</w:t>
      </w:r>
      <w:r w:rsidR="00034238">
        <w:rPr>
          <w:rFonts w:ascii="AdvPSSAB-R" w:hAnsi="AdvPSSAB-R" w:cs="AdvPSSAB-R"/>
          <w:sz w:val="18"/>
          <w:szCs w:val="18"/>
        </w:rPr>
        <w:t xml:space="preserve"> </w:t>
      </w:r>
      <w:r>
        <w:rPr>
          <w:rFonts w:ascii="AdvPSSAB-R" w:hAnsi="AdvPSSAB-R" w:cs="AdvPSSAB-R"/>
          <w:sz w:val="18"/>
          <w:szCs w:val="18"/>
        </w:rPr>
        <w:t>mutations occurring in the population have a quantitative</w:t>
      </w:r>
    </w:p>
    <w:p w:rsidR="00345C71" w:rsidRDefault="000502E6" w:rsidP="000502E6">
      <w:pPr>
        <w:rPr>
          <w:rFonts w:ascii="AdvPSSAB-R" w:hAnsi="AdvPSSAB-R" w:cs="AdvPSSAB-R"/>
          <w:sz w:val="18"/>
          <w:szCs w:val="18"/>
        </w:rPr>
      </w:pPr>
      <w:proofErr w:type="gramStart"/>
      <w:r>
        <w:rPr>
          <w:rFonts w:ascii="AdvPSSAB-R" w:hAnsi="AdvPSSAB-R" w:cs="AdvPSSAB-R"/>
          <w:sz w:val="18"/>
          <w:szCs w:val="18"/>
        </w:rPr>
        <w:t>effect</w:t>
      </w:r>
      <w:proofErr w:type="gramEnd"/>
      <w:r>
        <w:rPr>
          <w:rFonts w:ascii="AdvPSSAB-R" w:hAnsi="AdvPSSAB-R" w:cs="AdvPSSAB-R"/>
          <w:sz w:val="18"/>
          <w:szCs w:val="18"/>
        </w:rPr>
        <w:t xml:space="preserve"> on the course of selection.</w:t>
      </w:r>
    </w:p>
    <w:p w:rsidR="000502E6" w:rsidRDefault="009A72C5" w:rsidP="000502E6">
      <w:pPr>
        <w:rPr>
          <w:rFonts w:ascii="AdvPSHEL-B" w:hAnsi="AdvPSHEL-B" w:cs="AdvPSHEL-B"/>
          <w:sz w:val="20"/>
          <w:szCs w:val="20"/>
        </w:rPr>
      </w:pPr>
      <w:proofErr w:type="spellStart"/>
      <w:r>
        <w:rPr>
          <w:rFonts w:ascii="AdvPSHEL-B" w:hAnsi="AdvPSHEL-B" w:cs="AdvPSHEL-B"/>
          <w:sz w:val="20"/>
          <w:szCs w:val="20"/>
        </w:rPr>
        <w:t>Refugia</w:t>
      </w:r>
      <w:proofErr w:type="spellEnd"/>
    </w:p>
    <w:p w:rsidR="009A72C5" w:rsidRDefault="007D5283" w:rsidP="007D5283">
      <w:pPr>
        <w:rPr>
          <w:rFonts w:ascii="AdvPSSAB-R" w:hAnsi="AdvPSSAB-R" w:cs="AdvPSSAB-R"/>
          <w:sz w:val="18"/>
          <w:szCs w:val="18"/>
        </w:rPr>
      </w:pPr>
      <w:r>
        <w:rPr>
          <w:rFonts w:ascii="AdvPSSAB-R" w:hAnsi="AdvPSSAB-R" w:cs="AdvPSSAB-R"/>
          <w:sz w:val="18"/>
          <w:szCs w:val="18"/>
        </w:rPr>
        <w:t xml:space="preserve">The reasoning behind the high dose plus </w:t>
      </w:r>
      <w:proofErr w:type="spellStart"/>
      <w:r>
        <w:rPr>
          <w:rFonts w:ascii="AdvPSSAB-R" w:hAnsi="AdvPSSAB-R" w:cs="AdvPSSAB-R"/>
          <w:sz w:val="18"/>
          <w:szCs w:val="18"/>
        </w:rPr>
        <w:t>refugia</w:t>
      </w:r>
      <w:proofErr w:type="spellEnd"/>
      <w:r>
        <w:rPr>
          <w:rFonts w:ascii="AdvPSSAB-R" w:hAnsi="AdvPSSAB-R" w:cs="AdvPSSAB-R"/>
          <w:sz w:val="18"/>
          <w:szCs w:val="18"/>
        </w:rPr>
        <w:t xml:space="preserve"> strategy,</w:t>
      </w:r>
      <w:r w:rsidR="00034238">
        <w:rPr>
          <w:rFonts w:ascii="AdvPSSAB-R" w:hAnsi="AdvPSSAB-R" w:cs="AdvPSSAB-R"/>
          <w:sz w:val="18"/>
          <w:szCs w:val="18"/>
        </w:rPr>
        <w:t xml:space="preserve"> </w:t>
      </w:r>
      <w:r>
        <w:rPr>
          <w:rFonts w:ascii="AdvPSSAB-R" w:hAnsi="AdvPSSAB-R" w:cs="AdvPSSAB-R"/>
          <w:sz w:val="18"/>
          <w:szCs w:val="18"/>
        </w:rPr>
        <w:t>that has led to resistance management in insecticide and</w:t>
      </w:r>
      <w:r w:rsidR="00034238">
        <w:rPr>
          <w:rFonts w:ascii="AdvPSSAB-R" w:hAnsi="AdvPSSAB-R" w:cs="AdvPSSAB-R"/>
          <w:sz w:val="18"/>
          <w:szCs w:val="18"/>
        </w:rPr>
        <w:t xml:space="preserve"> </w:t>
      </w:r>
      <w:r>
        <w:rPr>
          <w:rFonts w:ascii="AdvPSSAB-R" w:hAnsi="AdvPSSAB-R" w:cs="AdvPSSAB-R"/>
          <w:sz w:val="18"/>
          <w:szCs w:val="18"/>
        </w:rPr>
        <w:t>herbicide resistance, does not apply to most fungal plant</w:t>
      </w:r>
      <w:r w:rsidR="00034238">
        <w:rPr>
          <w:rFonts w:ascii="AdvPSSAB-R" w:hAnsi="AdvPSSAB-R" w:cs="AdvPSSAB-R"/>
          <w:sz w:val="18"/>
          <w:szCs w:val="18"/>
        </w:rPr>
        <w:t xml:space="preserve"> </w:t>
      </w:r>
      <w:r>
        <w:rPr>
          <w:rFonts w:ascii="AdvPSSAB-R" w:hAnsi="AdvPSSAB-R" w:cs="AdvPSSAB-R"/>
          <w:sz w:val="18"/>
          <w:szCs w:val="18"/>
        </w:rPr>
        <w:t>pathogens since the argument is based on the target</w:t>
      </w:r>
      <w:r w:rsidR="00034238">
        <w:rPr>
          <w:rFonts w:ascii="AdvPSSAB-R" w:hAnsi="AdvPSSAB-R" w:cs="AdvPSSAB-R"/>
          <w:sz w:val="18"/>
          <w:szCs w:val="18"/>
        </w:rPr>
        <w:t xml:space="preserve"> </w:t>
      </w:r>
      <w:r>
        <w:rPr>
          <w:rFonts w:ascii="AdvPSSAB-R" w:hAnsi="AdvPSSAB-R" w:cs="AdvPSSAB-R"/>
          <w:sz w:val="18"/>
          <w:szCs w:val="18"/>
        </w:rPr>
        <w:t>organism reproducing sexually, being diploid (or of</w:t>
      </w:r>
      <w:r w:rsidR="00034238">
        <w:rPr>
          <w:rFonts w:ascii="AdvPSSAB-R" w:hAnsi="AdvPSSAB-R" w:cs="AdvPSSAB-R"/>
          <w:sz w:val="18"/>
          <w:szCs w:val="18"/>
        </w:rPr>
        <w:t xml:space="preserve"> </w:t>
      </w:r>
      <w:r>
        <w:rPr>
          <w:rFonts w:ascii="AdvPSSAB-R" w:hAnsi="AdvPSSAB-R" w:cs="AdvPSSAB-R"/>
          <w:sz w:val="18"/>
          <w:szCs w:val="18"/>
        </w:rPr>
        <w:t xml:space="preserve">higher ploidy) </w:t>
      </w:r>
      <w:r w:rsidRPr="00F812D4">
        <w:rPr>
          <w:rFonts w:ascii="AdvPSSAB-R" w:hAnsi="AdvPSSAB-R" w:cs="AdvPSSAB-R"/>
          <w:sz w:val="24"/>
          <w:szCs w:val="24"/>
        </w:rPr>
        <w:t xml:space="preserve">and </w:t>
      </w:r>
      <w:r w:rsidRPr="00F812D4">
        <w:rPr>
          <w:rFonts w:ascii="AdvPSSAB-R" w:hAnsi="AdvPSSAB-R" w:cs="AdvPSSAB-R"/>
          <w:sz w:val="24"/>
          <w:szCs w:val="24"/>
          <w:highlight w:val="yellow"/>
        </w:rPr>
        <w:t>the heterozygote being partially sensitive</w:t>
      </w:r>
      <w:r w:rsidR="00034238">
        <w:rPr>
          <w:rFonts w:ascii="AdvPSSAB-R" w:hAnsi="AdvPSSAB-R" w:cs="AdvPSSAB-R"/>
          <w:sz w:val="18"/>
          <w:szCs w:val="18"/>
        </w:rPr>
        <w:t xml:space="preserve"> </w:t>
      </w:r>
      <w:r>
        <w:rPr>
          <w:rFonts w:ascii="AdvPSSAB-R" w:hAnsi="AdvPSSAB-R" w:cs="AdvPSSAB-R"/>
          <w:sz w:val="18"/>
          <w:szCs w:val="18"/>
        </w:rPr>
        <w:t>to the chemical control.</w:t>
      </w:r>
    </w:p>
    <w:p w:rsidR="00410FA0" w:rsidRDefault="00410FA0" w:rsidP="00410FA0">
      <w:pPr>
        <w:rPr>
          <w:rFonts w:ascii="AdvPSSAB-R" w:hAnsi="AdvPSSAB-R" w:cs="AdvPSSAB-R"/>
          <w:sz w:val="18"/>
          <w:szCs w:val="18"/>
        </w:rPr>
      </w:pPr>
      <w:r>
        <w:rPr>
          <w:rFonts w:ascii="AdvPSSAB-R" w:hAnsi="AdvPSSAB-R" w:cs="AdvPSSAB-R"/>
          <w:sz w:val="18"/>
          <w:szCs w:val="18"/>
        </w:rPr>
        <w:t>It has</w:t>
      </w:r>
      <w:r w:rsidR="00034238">
        <w:rPr>
          <w:rFonts w:ascii="AdvPSSAB-R" w:hAnsi="AdvPSSAB-R" w:cs="AdvPSSAB-R"/>
          <w:sz w:val="18"/>
          <w:szCs w:val="18"/>
        </w:rPr>
        <w:t xml:space="preserve"> </w:t>
      </w:r>
      <w:r>
        <w:rPr>
          <w:rFonts w:ascii="AdvPSSAB-R" w:hAnsi="AdvPSSAB-R" w:cs="AdvPSSAB-R"/>
          <w:sz w:val="18"/>
          <w:szCs w:val="18"/>
        </w:rPr>
        <w:t>been argued that in a situation where the majority of the</w:t>
      </w:r>
      <w:r w:rsidR="00034238">
        <w:rPr>
          <w:rFonts w:ascii="AdvPSSAB-R" w:hAnsi="AdvPSSAB-R" w:cs="AdvPSSAB-R"/>
          <w:sz w:val="18"/>
          <w:szCs w:val="18"/>
        </w:rPr>
        <w:t xml:space="preserve"> </w:t>
      </w:r>
      <w:r>
        <w:rPr>
          <w:rFonts w:ascii="AdvPSSAB-R" w:hAnsi="AdvPSSAB-R" w:cs="AdvPSSAB-R"/>
          <w:sz w:val="18"/>
          <w:szCs w:val="18"/>
        </w:rPr>
        <w:t xml:space="preserve">fungal population lives in the </w:t>
      </w:r>
      <w:proofErr w:type="spellStart"/>
      <w:r>
        <w:rPr>
          <w:rFonts w:ascii="AdvPSSAB-R" w:hAnsi="AdvPSSAB-R" w:cs="AdvPSSAB-R"/>
          <w:sz w:val="18"/>
          <w:szCs w:val="18"/>
        </w:rPr>
        <w:t>refugia</w:t>
      </w:r>
      <w:proofErr w:type="spellEnd"/>
      <w:r>
        <w:rPr>
          <w:rFonts w:ascii="AdvPSSAB-R" w:hAnsi="AdvPSSAB-R" w:cs="AdvPSSAB-R"/>
          <w:sz w:val="18"/>
          <w:szCs w:val="18"/>
        </w:rPr>
        <w:t xml:space="preserve"> (=untreated) area</w:t>
      </w:r>
      <w:r w:rsidR="00034238">
        <w:rPr>
          <w:rFonts w:ascii="AdvPSSAB-R" w:hAnsi="AdvPSSAB-R" w:cs="AdvPSSAB-R"/>
          <w:sz w:val="18"/>
          <w:szCs w:val="18"/>
        </w:rPr>
        <w:t xml:space="preserve"> </w:t>
      </w:r>
      <w:r>
        <w:rPr>
          <w:rFonts w:ascii="AdvPSSAB-R" w:hAnsi="AdvPSSAB-R" w:cs="AdvPSSAB-R"/>
          <w:sz w:val="18"/>
          <w:szCs w:val="18"/>
        </w:rPr>
        <w:t>and the resistant strain is partially sensitive to the fungicide,</w:t>
      </w:r>
      <w:r w:rsidR="00034238">
        <w:rPr>
          <w:rFonts w:ascii="AdvPSSAB-R" w:hAnsi="AdvPSSAB-R" w:cs="AdvPSSAB-R"/>
          <w:sz w:val="18"/>
          <w:szCs w:val="18"/>
        </w:rPr>
        <w:t xml:space="preserve"> </w:t>
      </w:r>
      <w:r>
        <w:rPr>
          <w:rFonts w:ascii="AdvPSSAB-R" w:hAnsi="AdvPSSAB-R" w:cs="AdvPSSAB-R"/>
          <w:sz w:val="18"/>
          <w:szCs w:val="18"/>
        </w:rPr>
        <w:t xml:space="preserve">there may be cases where the high dose plus </w:t>
      </w:r>
      <w:proofErr w:type="spellStart"/>
      <w:r>
        <w:rPr>
          <w:rFonts w:ascii="AdvPSSAB-R" w:hAnsi="AdvPSSAB-R" w:cs="AdvPSSAB-R"/>
          <w:sz w:val="18"/>
          <w:szCs w:val="18"/>
        </w:rPr>
        <w:t>refugia</w:t>
      </w:r>
      <w:proofErr w:type="spellEnd"/>
      <w:r w:rsidR="00034238">
        <w:rPr>
          <w:rFonts w:ascii="AdvPSSAB-R" w:hAnsi="AdvPSSAB-R" w:cs="AdvPSSAB-R"/>
          <w:sz w:val="18"/>
          <w:szCs w:val="18"/>
        </w:rPr>
        <w:t xml:space="preserve"> </w:t>
      </w:r>
      <w:r>
        <w:rPr>
          <w:rFonts w:ascii="AdvPSSAB-R" w:hAnsi="AdvPSSAB-R" w:cs="AdvPSSAB-R"/>
          <w:sz w:val="18"/>
          <w:szCs w:val="18"/>
        </w:rPr>
        <w:t>strategy works.</w:t>
      </w:r>
    </w:p>
    <w:p w:rsidR="00410FA0" w:rsidRDefault="00410FA0" w:rsidP="00410FA0">
      <w:pPr>
        <w:rPr>
          <w:rFonts w:ascii="AdvPSSAB-R" w:hAnsi="AdvPSSAB-R" w:cs="AdvPSSAB-R"/>
          <w:sz w:val="18"/>
          <w:szCs w:val="18"/>
        </w:rPr>
      </w:pPr>
      <w:r>
        <w:rPr>
          <w:rFonts w:ascii="AdvPSSAB-R" w:hAnsi="AdvPSSAB-R" w:cs="AdvPSSAB-R"/>
          <w:sz w:val="18"/>
          <w:szCs w:val="18"/>
        </w:rPr>
        <w:t>Further work is needed before</w:t>
      </w:r>
      <w:r w:rsidR="00034238">
        <w:rPr>
          <w:rFonts w:ascii="AdvPSSAB-R" w:hAnsi="AdvPSSAB-R" w:cs="AdvPSSAB-R"/>
          <w:sz w:val="18"/>
          <w:szCs w:val="18"/>
        </w:rPr>
        <w:t xml:space="preserve"> </w:t>
      </w:r>
      <w:r>
        <w:rPr>
          <w:rFonts w:ascii="AdvPSSAB-R" w:hAnsi="AdvPSSAB-R" w:cs="AdvPSSAB-R"/>
          <w:sz w:val="18"/>
          <w:szCs w:val="18"/>
        </w:rPr>
        <w:t>definitive conclusions can be drawn, but current evidence</w:t>
      </w:r>
      <w:r w:rsidR="00034238">
        <w:rPr>
          <w:rFonts w:ascii="AdvPSSAB-R" w:hAnsi="AdvPSSAB-R" w:cs="AdvPSSAB-R"/>
          <w:sz w:val="18"/>
          <w:szCs w:val="18"/>
        </w:rPr>
        <w:t xml:space="preserve"> </w:t>
      </w:r>
      <w:r>
        <w:rPr>
          <w:rFonts w:ascii="AdvPSSAB-R" w:hAnsi="AdvPSSAB-R" w:cs="AdvPSSAB-R"/>
          <w:sz w:val="18"/>
          <w:szCs w:val="18"/>
        </w:rPr>
        <w:t xml:space="preserve">suggests that the presence of </w:t>
      </w:r>
      <w:proofErr w:type="spellStart"/>
      <w:r>
        <w:rPr>
          <w:rFonts w:ascii="AdvPSSAB-R" w:hAnsi="AdvPSSAB-R" w:cs="AdvPSSAB-R"/>
          <w:sz w:val="18"/>
          <w:szCs w:val="18"/>
        </w:rPr>
        <w:t>refugia</w:t>
      </w:r>
      <w:proofErr w:type="spellEnd"/>
      <w:r>
        <w:rPr>
          <w:rFonts w:ascii="AdvPSSAB-R" w:hAnsi="AdvPSSAB-R" w:cs="AdvPSSAB-R"/>
          <w:sz w:val="18"/>
          <w:szCs w:val="18"/>
        </w:rPr>
        <w:t xml:space="preserve"> does not result in a</w:t>
      </w:r>
      <w:r w:rsidR="00034238">
        <w:rPr>
          <w:rFonts w:ascii="AdvPSSAB-R" w:hAnsi="AdvPSSAB-R" w:cs="AdvPSSAB-R"/>
          <w:sz w:val="18"/>
          <w:szCs w:val="18"/>
        </w:rPr>
        <w:t xml:space="preserve"> </w:t>
      </w:r>
      <w:r>
        <w:rPr>
          <w:rFonts w:ascii="AdvPSSAB-R" w:hAnsi="AdvPSSAB-R" w:cs="AdvPSSAB-R"/>
          <w:sz w:val="18"/>
          <w:szCs w:val="18"/>
        </w:rPr>
        <w:t>higher dose reducing the development and invasion of</w:t>
      </w:r>
      <w:r w:rsidR="00034238">
        <w:rPr>
          <w:rFonts w:ascii="AdvPSSAB-R" w:hAnsi="AdvPSSAB-R" w:cs="AdvPSSAB-R"/>
          <w:sz w:val="18"/>
          <w:szCs w:val="18"/>
        </w:rPr>
        <w:t xml:space="preserve"> </w:t>
      </w:r>
      <w:r>
        <w:rPr>
          <w:rFonts w:ascii="AdvPSSAB-R" w:hAnsi="AdvPSSAB-R" w:cs="AdvPSSAB-R"/>
          <w:sz w:val="18"/>
          <w:szCs w:val="18"/>
        </w:rPr>
        <w:t>fungicide resistance.</w:t>
      </w:r>
    </w:p>
    <w:p w:rsidR="00410FA0" w:rsidRDefault="00410FA0" w:rsidP="00410FA0">
      <w:pPr>
        <w:rPr>
          <w:rFonts w:ascii="AdvPSHEL-B" w:hAnsi="AdvPSHEL-B" w:cs="AdvPSHEL-B"/>
          <w:sz w:val="20"/>
          <w:szCs w:val="20"/>
        </w:rPr>
      </w:pPr>
      <w:r>
        <w:rPr>
          <w:rFonts w:ascii="AdvPSHEL-B" w:hAnsi="AdvPSHEL-B" w:cs="AdvPSHEL-B"/>
          <w:sz w:val="20"/>
          <w:szCs w:val="20"/>
        </w:rPr>
        <w:t>Partial resistance</w:t>
      </w:r>
    </w:p>
    <w:p w:rsidR="00410FA0" w:rsidRDefault="00410FA0" w:rsidP="00F812D4">
      <w:pPr>
        <w:autoSpaceDE w:val="0"/>
        <w:autoSpaceDN w:val="0"/>
        <w:adjustRightInd w:val="0"/>
        <w:spacing w:after="0" w:line="240" w:lineRule="auto"/>
        <w:rPr>
          <w:rFonts w:ascii="AdvPSSAB-R" w:hAnsi="AdvPSSAB-R" w:cs="AdvPSSAB-R"/>
          <w:sz w:val="18"/>
          <w:szCs w:val="18"/>
        </w:rPr>
      </w:pPr>
      <w:r>
        <w:rPr>
          <w:rFonts w:ascii="AdvPSSAB-R" w:hAnsi="AdvPSSAB-R" w:cs="AdvPSSAB-R"/>
          <w:sz w:val="18"/>
          <w:szCs w:val="18"/>
        </w:rPr>
        <w:t>Published experimental evidence on the selection of fungicide</w:t>
      </w:r>
      <w:r w:rsidR="00034238">
        <w:rPr>
          <w:rFonts w:ascii="AdvPSSAB-R" w:hAnsi="AdvPSSAB-R" w:cs="AdvPSSAB-R"/>
          <w:sz w:val="18"/>
          <w:szCs w:val="18"/>
        </w:rPr>
        <w:t xml:space="preserve"> </w:t>
      </w:r>
      <w:r>
        <w:rPr>
          <w:rFonts w:ascii="AdvPSSAB-R" w:hAnsi="AdvPSSAB-R" w:cs="AdvPSSAB-R"/>
          <w:sz w:val="18"/>
          <w:szCs w:val="18"/>
        </w:rPr>
        <w:t>resistance suggests that increased dose increases</w:t>
      </w:r>
      <w:r w:rsidR="00034238">
        <w:rPr>
          <w:rFonts w:ascii="AdvPSSAB-R" w:hAnsi="AdvPSSAB-R" w:cs="AdvPSSAB-R"/>
          <w:sz w:val="18"/>
          <w:szCs w:val="18"/>
        </w:rPr>
        <w:t xml:space="preserve"> </w:t>
      </w:r>
      <w:r>
        <w:rPr>
          <w:rFonts w:ascii="AdvPSSAB-R" w:hAnsi="AdvPSSAB-R" w:cs="AdvPSSAB-R"/>
          <w:sz w:val="18"/>
          <w:szCs w:val="18"/>
        </w:rPr>
        <w:t xml:space="preserve">selection. This </w:t>
      </w:r>
      <w:r w:rsidRPr="00F812D4">
        <w:rPr>
          <w:rFonts w:ascii="AdvPSSAB-R" w:hAnsi="AdvPSSAB-R" w:cs="AdvPSSAB-R"/>
          <w:sz w:val="24"/>
          <w:szCs w:val="24"/>
          <w:highlight w:val="green"/>
        </w:rPr>
        <w:t>also holds for the experiments involving</w:t>
      </w:r>
      <w:r w:rsidR="00034238" w:rsidRPr="00F812D4">
        <w:rPr>
          <w:rFonts w:ascii="AdvPSSAB-R" w:hAnsi="AdvPSSAB-R" w:cs="AdvPSSAB-R"/>
          <w:sz w:val="24"/>
          <w:szCs w:val="24"/>
          <w:highlight w:val="green"/>
        </w:rPr>
        <w:t xml:space="preserve"> </w:t>
      </w:r>
      <w:r w:rsidRPr="00F812D4">
        <w:rPr>
          <w:rFonts w:ascii="AdvPSSAB-R" w:hAnsi="AdvPSSAB-R" w:cs="AdvPSSAB-R"/>
          <w:sz w:val="24"/>
          <w:szCs w:val="24"/>
          <w:highlight w:val="green"/>
        </w:rPr>
        <w:t>pathogen-fungicide combinations where the pathogen</w:t>
      </w:r>
      <w:r w:rsidR="00034238" w:rsidRPr="00F812D4">
        <w:rPr>
          <w:rFonts w:ascii="AdvPSSAB-R" w:hAnsi="AdvPSSAB-R" w:cs="AdvPSSAB-R"/>
          <w:sz w:val="24"/>
          <w:szCs w:val="24"/>
          <w:highlight w:val="green"/>
        </w:rPr>
        <w:t xml:space="preserve"> </w:t>
      </w:r>
      <w:r w:rsidRPr="00F812D4">
        <w:rPr>
          <w:rFonts w:ascii="AdvPSSAB-R" w:hAnsi="AdvPSSAB-R" w:cs="AdvPSSAB-R"/>
          <w:sz w:val="24"/>
          <w:szCs w:val="24"/>
          <w:highlight w:val="green"/>
        </w:rPr>
        <w:t>evolves partial resistance to the fungicide</w:t>
      </w:r>
      <w:r w:rsidRPr="00F812D4">
        <w:rPr>
          <w:rFonts w:ascii="AdvPSSAB-R" w:hAnsi="AdvPSSAB-R" w:cs="AdvPSSAB-R"/>
          <w:sz w:val="24"/>
          <w:szCs w:val="24"/>
        </w:rPr>
        <w:t>.</w:t>
      </w:r>
      <w:r w:rsidR="00F812D4" w:rsidRPr="00F812D4">
        <w:rPr>
          <w:rFonts w:ascii="AdvPSSAB-R" w:hAnsi="AdvPSSAB-R" w:cs="AdvPSSAB-R"/>
          <w:sz w:val="18"/>
          <w:szCs w:val="18"/>
        </w:rPr>
        <w:t xml:space="preserve"> </w:t>
      </w:r>
      <w:r w:rsidR="00F812D4">
        <w:rPr>
          <w:rFonts w:ascii="AdvPSSAB-R" w:hAnsi="AdvPSSAB-R" w:cs="AdvPSSAB-R"/>
          <w:sz w:val="18"/>
          <w:szCs w:val="18"/>
        </w:rPr>
        <w:t>The authors believe that the effect of dose on the emergence and selection of partial resistance needs further study because there are possible scenarios where partial resistance can lead to situations where increased dose can decrease the risk of fungicide resistance.</w:t>
      </w:r>
    </w:p>
    <w:p w:rsidR="00F812D4" w:rsidRDefault="00F812D4" w:rsidP="00034238">
      <w:pPr>
        <w:autoSpaceDE w:val="0"/>
        <w:autoSpaceDN w:val="0"/>
        <w:adjustRightInd w:val="0"/>
        <w:spacing w:after="0" w:line="240" w:lineRule="auto"/>
        <w:rPr>
          <w:rFonts w:ascii="AdvPSHEL-B" w:hAnsi="AdvPSHEL-B" w:cs="AdvPSHEL-B"/>
          <w:sz w:val="20"/>
          <w:szCs w:val="20"/>
        </w:rPr>
      </w:pPr>
    </w:p>
    <w:p w:rsidR="00034238" w:rsidRDefault="00034238" w:rsidP="00034238">
      <w:pPr>
        <w:autoSpaceDE w:val="0"/>
        <w:autoSpaceDN w:val="0"/>
        <w:adjustRightInd w:val="0"/>
        <w:spacing w:after="0" w:line="240" w:lineRule="auto"/>
        <w:rPr>
          <w:rFonts w:ascii="AdvPSHEL-B" w:hAnsi="AdvPSHEL-B" w:cs="AdvPSHEL-B"/>
          <w:sz w:val="20"/>
          <w:szCs w:val="20"/>
        </w:rPr>
      </w:pPr>
      <w:r>
        <w:rPr>
          <w:rFonts w:ascii="AdvPSHEL-B" w:hAnsi="AdvPSHEL-B" w:cs="AdvPSHEL-B"/>
          <w:sz w:val="20"/>
          <w:szCs w:val="20"/>
        </w:rPr>
        <w:t>Discussion and conclusions</w:t>
      </w:r>
    </w:p>
    <w:p w:rsidR="00034238" w:rsidRDefault="00034238" w:rsidP="00034238">
      <w:pPr>
        <w:rPr>
          <w:rFonts w:ascii="AdvPSSAB-R" w:hAnsi="AdvPSSAB-R" w:cs="AdvPSSAB-R"/>
          <w:sz w:val="18"/>
          <w:szCs w:val="18"/>
        </w:rPr>
      </w:pPr>
      <w:r>
        <w:rPr>
          <w:rFonts w:ascii="AdvPSSAB-R" w:hAnsi="AdvPSSAB-R" w:cs="AdvPSSAB-R"/>
          <w:sz w:val="18"/>
          <w:szCs w:val="18"/>
        </w:rPr>
        <w:t>Resistance management strategies should be based on evidence interpreted within a sound experimental and theoretical framework. Further work is needed especially in the area of partial resistance where there are theoretical situations possible where a higher dose may lead to a lower risk of fungicide resistance.</w:t>
      </w:r>
    </w:p>
    <w:p w:rsidR="00034238" w:rsidRPr="00034238" w:rsidRDefault="00034238" w:rsidP="00034238">
      <w:pPr>
        <w:rPr>
          <w:rFonts w:ascii="AdvPSSAB-R" w:hAnsi="AdvPSSAB-R" w:cs="AdvPSSAB-R"/>
          <w:sz w:val="18"/>
          <w:szCs w:val="18"/>
        </w:rPr>
      </w:pPr>
      <w:r>
        <w:rPr>
          <w:rFonts w:ascii="AdvPSSAB-R" w:hAnsi="AdvPSSAB-R" w:cs="AdvPSSAB-R"/>
          <w:sz w:val="18"/>
          <w:szCs w:val="18"/>
        </w:rPr>
        <w:t xml:space="preserve">In conclusion, a high dose may be required to obtain effective control – particularly on susceptible cultivars under high disease pressure, or where a sensitivity shift has eroded efficacy and dose has to be increased to maintain effective control </w:t>
      </w:r>
      <w:r w:rsidRPr="00F812D4">
        <w:rPr>
          <w:rFonts w:ascii="AdvPSSAB-R" w:hAnsi="AdvPSSAB-R" w:cs="AdvPSSAB-R"/>
          <w:sz w:val="24"/>
          <w:szCs w:val="24"/>
          <w:highlight w:val="cyan"/>
        </w:rPr>
        <w:t>(i.e. in the adjustment phas</w:t>
      </w:r>
      <w:r w:rsidRPr="00F812D4">
        <w:rPr>
          <w:rFonts w:ascii="AdvPSSAB-R" w:hAnsi="AdvPSSAB-R" w:cs="AdvPSSAB-R"/>
          <w:sz w:val="24"/>
          <w:szCs w:val="24"/>
        </w:rPr>
        <w:t>e</w:t>
      </w:r>
      <w:r>
        <w:rPr>
          <w:rFonts w:ascii="AdvPSSAB-R" w:hAnsi="AdvPSSAB-R" w:cs="AdvPSSAB-R"/>
          <w:sz w:val="18"/>
          <w:szCs w:val="18"/>
        </w:rPr>
        <w:t>).</w:t>
      </w:r>
      <w:r w:rsidRPr="00034238">
        <w:rPr>
          <w:rFonts w:ascii="AdvPSSAB-R" w:hAnsi="AdvPSSAB-R" w:cs="AdvPSSAB-R"/>
          <w:sz w:val="18"/>
          <w:szCs w:val="18"/>
        </w:rPr>
        <w:t xml:space="preserve"> </w:t>
      </w:r>
      <w:r>
        <w:rPr>
          <w:rFonts w:ascii="AdvPSSAB-R" w:hAnsi="AdvPSSAB-R" w:cs="AdvPSSAB-R"/>
          <w:sz w:val="18"/>
          <w:szCs w:val="18"/>
        </w:rPr>
        <w:t>However, current evidence and analysis suggests that, in most circumstances, a high fungicide dose will increase the speed at</w:t>
      </w:r>
      <w:r w:rsidR="00870FB1">
        <w:rPr>
          <w:rFonts w:ascii="AdvPSSAB-R" w:hAnsi="AdvPSSAB-R" w:cs="AdvPSSAB-R"/>
          <w:sz w:val="18"/>
          <w:szCs w:val="18"/>
        </w:rPr>
        <w:t xml:space="preserve"> </w:t>
      </w:r>
      <w:r>
        <w:rPr>
          <w:rFonts w:ascii="AdvPSSAB-R" w:hAnsi="AdvPSSAB-R" w:cs="AdvPSSAB-R"/>
          <w:sz w:val="18"/>
          <w:szCs w:val="18"/>
        </w:rPr>
        <w:t>which fungicide resistance develops.</w:t>
      </w:r>
    </w:p>
    <w:p w:rsidR="00034238" w:rsidRDefault="00034238" w:rsidP="000E28F4">
      <w:pPr>
        <w:rPr>
          <w:rFonts w:ascii="AdvOTce2aec1c" w:hAnsi="AdvOTce2aec1c" w:cs="AdvOTce2aec1c"/>
          <w:highlight w:val="yellow"/>
        </w:rPr>
      </w:pPr>
    </w:p>
    <w:p w:rsidR="000E28F4" w:rsidRPr="000E28F4" w:rsidRDefault="000E28F4" w:rsidP="000E28F4">
      <w:pPr>
        <w:rPr>
          <w:rFonts w:ascii="AdvOTce2aec1c" w:hAnsi="AdvOTce2aec1c" w:cs="AdvOTce2aec1c"/>
        </w:rPr>
      </w:pPr>
      <w:r w:rsidRPr="008114A5">
        <w:rPr>
          <w:rFonts w:ascii="AdvOTce2aec1c" w:hAnsi="AdvOTce2aec1c" w:cs="AdvOTce2aec1c"/>
          <w:highlight w:val="yellow"/>
        </w:rPr>
        <w:t>Combating bacteria and drug resistance by inhibiting mechanisms of persistence and adaptation</w:t>
      </w:r>
    </w:p>
    <w:p w:rsidR="00CE48B8" w:rsidRDefault="000E28F4" w:rsidP="000E28F4">
      <w:pPr>
        <w:rPr>
          <w:rFonts w:ascii="AdvOTce2aec1c" w:hAnsi="AdvOTce2aec1c" w:cs="AdvOTce2aec1c"/>
        </w:rPr>
      </w:pPr>
      <w:r w:rsidRPr="000E28F4">
        <w:rPr>
          <w:rFonts w:ascii="AdvOTce2aec1c" w:hAnsi="AdvOTce2aec1c" w:cs="AdvOTce2aec1c"/>
        </w:rPr>
        <w:t xml:space="preserve">Peter A Smith &amp; Floyd E </w:t>
      </w:r>
      <w:proofErr w:type="spellStart"/>
      <w:r w:rsidRPr="000E28F4">
        <w:rPr>
          <w:rFonts w:ascii="AdvOTce2aec1c" w:hAnsi="AdvOTce2aec1c" w:cs="AdvOTce2aec1c"/>
        </w:rPr>
        <w:t>Romesberg</w:t>
      </w:r>
      <w:proofErr w:type="spellEnd"/>
    </w:p>
    <w:p w:rsidR="00CE48B8" w:rsidRDefault="00CE48B8" w:rsidP="00A86D84">
      <w:pPr>
        <w:rPr>
          <w:rFonts w:ascii="AdvOTce2aec1c" w:hAnsi="AdvOTce2aec1c" w:cs="AdvOTce2aec1c"/>
        </w:rPr>
      </w:pPr>
    </w:p>
    <w:p w:rsidR="008114A5" w:rsidRDefault="008114A5" w:rsidP="00A86D84">
      <w:pPr>
        <w:rPr>
          <w:rFonts w:ascii="AdvOTce2aec1c" w:hAnsi="AdvOTce2aec1c" w:cs="AdvOTce2aec1c"/>
        </w:rPr>
      </w:pPr>
    </w:p>
    <w:p w:rsidR="008114A5" w:rsidRPr="008114A5" w:rsidRDefault="008114A5" w:rsidP="008114A5">
      <w:pPr>
        <w:rPr>
          <w:rFonts w:ascii="AdvOTce2aec1c" w:hAnsi="AdvOTce2aec1c" w:cs="AdvOTce2aec1c"/>
        </w:rPr>
      </w:pPr>
      <w:r w:rsidRPr="008114A5">
        <w:rPr>
          <w:rFonts w:ascii="AdvOTce2aec1c" w:hAnsi="AdvOTce2aec1c" w:cs="AdvOTce2aec1c"/>
          <w:highlight w:val="yellow"/>
        </w:rPr>
        <w:t>Low pesticide rates</w:t>
      </w:r>
      <w:r w:rsidR="00B3432D">
        <w:rPr>
          <w:rFonts w:ascii="AdvOTce2aec1c" w:hAnsi="AdvOTce2aec1c" w:cs="AdvOTce2aec1c"/>
          <w:highlight w:val="yellow"/>
        </w:rPr>
        <w:t xml:space="preserve"> </w:t>
      </w:r>
      <w:r w:rsidRPr="008114A5">
        <w:rPr>
          <w:rFonts w:ascii="AdvOTce2aec1c" w:hAnsi="AdvOTce2aec1c" w:cs="AdvOTce2aec1c"/>
          <w:highlight w:val="yellow"/>
        </w:rPr>
        <w:t>may hasten the evolution of resistance by increasing mutation frequencies</w:t>
      </w:r>
    </w:p>
    <w:p w:rsidR="008114A5" w:rsidRDefault="008114A5" w:rsidP="008114A5">
      <w:pPr>
        <w:rPr>
          <w:rFonts w:ascii="AdvOTce2aec1c" w:hAnsi="AdvOTce2aec1c" w:cs="AdvOTce2aec1c"/>
        </w:rPr>
      </w:pPr>
      <w:r w:rsidRPr="008114A5">
        <w:rPr>
          <w:rFonts w:ascii="AdvOTce2aec1c" w:hAnsi="AdvOTce2aec1c" w:cs="AdvOTce2aec1c"/>
        </w:rPr>
        <w:lastRenderedPageBreak/>
        <w:t xml:space="preserve">Jonathan </w:t>
      </w:r>
      <w:proofErr w:type="spellStart"/>
      <w:r w:rsidRPr="008114A5">
        <w:rPr>
          <w:rFonts w:ascii="AdvOTce2aec1c" w:hAnsi="AdvOTce2aec1c" w:cs="AdvOTce2aec1c"/>
        </w:rPr>
        <w:t>Gressel</w:t>
      </w:r>
      <w:proofErr w:type="spellEnd"/>
      <w:r w:rsidRPr="008114A5">
        <w:rPr>
          <w:rFonts w:ascii="Cambria Math" w:hAnsi="Cambria Math" w:cs="Cambria Math"/>
        </w:rPr>
        <w:t>∗</w:t>
      </w:r>
    </w:p>
    <w:p w:rsidR="00CE48B8" w:rsidRDefault="00CE48B8" w:rsidP="00A86D84">
      <w:pPr>
        <w:rPr>
          <w:rFonts w:ascii="AdvOTce2aec1c" w:hAnsi="AdvOTce2aec1c" w:cs="AdvOTce2aec1c"/>
        </w:rPr>
      </w:pPr>
    </w:p>
    <w:p w:rsidR="008114A5" w:rsidRDefault="008114A5" w:rsidP="00A86D84">
      <w:pPr>
        <w:rPr>
          <w:rFonts w:ascii="AdvOTce2aec1c" w:hAnsi="AdvOTce2aec1c" w:cs="AdvOTce2aec1c"/>
        </w:rPr>
      </w:pPr>
    </w:p>
    <w:p w:rsidR="008114A5" w:rsidRPr="008114A5" w:rsidRDefault="008114A5" w:rsidP="008114A5">
      <w:pPr>
        <w:rPr>
          <w:rFonts w:ascii="AdvOTce2aec1c" w:hAnsi="AdvOTce2aec1c" w:cs="AdvOTce2aec1c"/>
        </w:rPr>
      </w:pPr>
      <w:r w:rsidRPr="008114A5">
        <w:rPr>
          <w:rFonts w:ascii="AdvOTce2aec1c" w:hAnsi="AdvOTce2aec1c" w:cs="AdvOTce2aec1c"/>
          <w:highlight w:val="yellow"/>
        </w:rPr>
        <w:t xml:space="preserve">Microsatellite stability in the plant pathogen Botrytis </w:t>
      </w:r>
      <w:proofErr w:type="spellStart"/>
      <w:r w:rsidRPr="008114A5">
        <w:rPr>
          <w:rFonts w:ascii="AdvOTce2aec1c" w:hAnsi="AdvOTce2aec1c" w:cs="AdvOTce2aec1c"/>
          <w:highlight w:val="yellow"/>
        </w:rPr>
        <w:t>cinerea</w:t>
      </w:r>
      <w:proofErr w:type="spellEnd"/>
      <w:r w:rsidRPr="008114A5">
        <w:rPr>
          <w:rFonts w:ascii="AdvOTce2aec1c" w:hAnsi="AdvOTce2aec1c" w:cs="AdvOTce2aec1c"/>
          <w:highlight w:val="yellow"/>
        </w:rPr>
        <w:t xml:space="preserve"> after exposure to different selective pressures</w:t>
      </w:r>
    </w:p>
    <w:p w:rsidR="008114A5" w:rsidRDefault="008114A5" w:rsidP="008114A5">
      <w:pPr>
        <w:rPr>
          <w:rFonts w:ascii="AdvOTce2aec1c" w:hAnsi="AdvOTce2aec1c" w:cs="AdvOTce2aec1c"/>
        </w:rPr>
      </w:pPr>
      <w:proofErr w:type="spellStart"/>
      <w:r w:rsidRPr="008114A5">
        <w:rPr>
          <w:rFonts w:ascii="AdvOTce2aec1c" w:hAnsi="AdvOTce2aec1c" w:cs="AdvOTce2aec1c"/>
        </w:rPr>
        <w:t>Sakhr</w:t>
      </w:r>
      <w:proofErr w:type="spellEnd"/>
      <w:r w:rsidRPr="008114A5">
        <w:rPr>
          <w:rFonts w:ascii="AdvOTce2aec1c" w:hAnsi="AdvOTce2aec1c" w:cs="AdvOTce2aec1c"/>
        </w:rPr>
        <w:t xml:space="preserve"> AJOUZ, </w:t>
      </w:r>
      <w:proofErr w:type="spellStart"/>
      <w:r w:rsidRPr="008114A5">
        <w:rPr>
          <w:rFonts w:ascii="AdvOTce2aec1c" w:hAnsi="AdvOTce2aec1c" w:cs="AdvOTce2aec1c"/>
        </w:rPr>
        <w:t>Ve´ronique</w:t>
      </w:r>
      <w:proofErr w:type="spellEnd"/>
      <w:r w:rsidRPr="008114A5">
        <w:rPr>
          <w:rFonts w:ascii="AdvOTce2aec1c" w:hAnsi="AdvOTce2aec1c" w:cs="AdvOTce2aec1c"/>
        </w:rPr>
        <w:t xml:space="preserve"> DECOGNET, Philippe C. NICOT, Marc BARDIN*</w:t>
      </w:r>
    </w:p>
    <w:p w:rsidR="00CE48B8" w:rsidRDefault="0057424A" w:rsidP="007D7AD7">
      <w:pPr>
        <w:autoSpaceDE w:val="0"/>
        <w:autoSpaceDN w:val="0"/>
        <w:adjustRightInd w:val="0"/>
        <w:spacing w:after="0" w:line="240" w:lineRule="auto"/>
        <w:rPr>
          <w:rFonts w:ascii="AdvCaeciliaRm" w:hAnsi="AdvCaeciliaRm" w:cs="AdvCaeciliaRm"/>
          <w:sz w:val="20"/>
          <w:szCs w:val="20"/>
        </w:rPr>
      </w:pPr>
      <w:r w:rsidRPr="0057424A">
        <w:rPr>
          <w:rFonts w:ascii="AdvCaeciliaRm" w:hAnsi="AdvCaeciliaRm" w:cs="AdvCaeciliaRm"/>
          <w:sz w:val="20"/>
          <w:szCs w:val="20"/>
        </w:rPr>
        <w:t xml:space="preserve">The stability of microsatellite markers was investigated in the spore-producing fungus </w:t>
      </w:r>
      <w:r w:rsidRPr="0057424A">
        <w:rPr>
          <w:rFonts w:ascii="AdvCaeciliaIt" w:hAnsi="AdvCaeciliaIt" w:cs="AdvCaeciliaIt"/>
          <w:sz w:val="20"/>
          <w:szCs w:val="20"/>
        </w:rPr>
        <w:t>Botrytis</w:t>
      </w:r>
      <w:r w:rsidR="00D86CA0">
        <w:rPr>
          <w:rFonts w:ascii="AdvCaeciliaIt" w:hAnsi="AdvCaeciliaIt" w:cs="AdvCaeciliaIt"/>
          <w:sz w:val="20"/>
          <w:szCs w:val="20"/>
        </w:rPr>
        <w:t xml:space="preserve"> </w:t>
      </w:r>
      <w:proofErr w:type="spellStart"/>
      <w:r w:rsidRPr="0057424A">
        <w:rPr>
          <w:rFonts w:ascii="AdvCaeciliaIt" w:hAnsi="AdvCaeciliaIt" w:cs="AdvCaeciliaIt"/>
          <w:sz w:val="20"/>
          <w:szCs w:val="20"/>
        </w:rPr>
        <w:t>cinerea</w:t>
      </w:r>
      <w:proofErr w:type="spellEnd"/>
      <w:r w:rsidRPr="0057424A">
        <w:rPr>
          <w:rFonts w:ascii="AdvCaeciliaIt" w:hAnsi="AdvCaeciliaIt" w:cs="AdvCaeciliaIt"/>
          <w:sz w:val="20"/>
          <w:szCs w:val="20"/>
        </w:rPr>
        <w:t xml:space="preserve"> </w:t>
      </w:r>
      <w:r w:rsidRPr="0057424A">
        <w:rPr>
          <w:rFonts w:ascii="AdvCaeciliaRm" w:hAnsi="AdvCaeciliaRm" w:cs="AdvCaeciliaRm"/>
          <w:sz w:val="20"/>
          <w:szCs w:val="20"/>
        </w:rPr>
        <w:t>exposed to four growth conditions. This knowledge is essential in order to differentiate</w:t>
      </w:r>
      <w:r w:rsidR="00D86CA0">
        <w:rPr>
          <w:rFonts w:ascii="AdvCaeciliaRm" w:hAnsi="AdvCaeciliaRm" w:cs="AdvCaeciliaRm"/>
          <w:sz w:val="20"/>
          <w:szCs w:val="20"/>
        </w:rPr>
        <w:t xml:space="preserve"> </w:t>
      </w:r>
      <w:r w:rsidRPr="0057424A">
        <w:rPr>
          <w:rFonts w:ascii="AdvCaeciliaRm" w:hAnsi="AdvCaeciliaRm" w:cs="AdvCaeciliaRm"/>
          <w:sz w:val="20"/>
          <w:szCs w:val="20"/>
        </w:rPr>
        <w:t>mutations from genetic exchanges or recombination in population genetics</w:t>
      </w:r>
      <w:r w:rsidR="007D7AD7">
        <w:rPr>
          <w:rFonts w:ascii="AdvCaeciliaRm" w:hAnsi="AdvCaeciliaRm" w:cs="AdvCaeciliaRm"/>
          <w:sz w:val="20"/>
          <w:szCs w:val="20"/>
        </w:rPr>
        <w:t xml:space="preserve"> </w:t>
      </w:r>
      <w:r w:rsidRPr="0057424A">
        <w:rPr>
          <w:rFonts w:ascii="AdvCaeciliaRm" w:hAnsi="AdvCaeciliaRm" w:cs="AdvCaeciliaRm"/>
          <w:sz w:val="20"/>
          <w:szCs w:val="20"/>
        </w:rPr>
        <w:t>studies. It is also important when using strains from collections that need to be regularly</w:t>
      </w:r>
      <w:r w:rsidR="007D7AD7">
        <w:rPr>
          <w:rFonts w:ascii="AdvCaeciliaRm" w:hAnsi="AdvCaeciliaRm" w:cs="AdvCaeciliaRm"/>
          <w:sz w:val="20"/>
          <w:szCs w:val="20"/>
        </w:rPr>
        <w:t xml:space="preserve"> </w:t>
      </w:r>
      <w:r w:rsidRPr="0057424A">
        <w:rPr>
          <w:rFonts w:ascii="AdvCaeciliaRm" w:hAnsi="AdvCaeciliaRm" w:cs="AdvCaeciliaRm"/>
          <w:sz w:val="20"/>
          <w:szCs w:val="20"/>
        </w:rPr>
        <w:t>propagated on medium.</w:t>
      </w:r>
    </w:p>
    <w:p w:rsidR="007D7AD7" w:rsidRDefault="007D7AD7" w:rsidP="0057424A">
      <w:pPr>
        <w:autoSpaceDE w:val="0"/>
        <w:autoSpaceDN w:val="0"/>
        <w:adjustRightInd w:val="0"/>
        <w:spacing w:after="0" w:line="240" w:lineRule="auto"/>
        <w:rPr>
          <w:rFonts w:ascii="AdvCaeciliaRm" w:hAnsi="AdvCaeciliaRm" w:cs="AdvCaeciliaRm"/>
          <w:sz w:val="20"/>
          <w:szCs w:val="20"/>
        </w:rPr>
      </w:pPr>
    </w:p>
    <w:p w:rsidR="0057424A" w:rsidRPr="0057424A" w:rsidRDefault="0057424A" w:rsidP="007D7AD7">
      <w:pPr>
        <w:autoSpaceDE w:val="0"/>
        <w:autoSpaceDN w:val="0"/>
        <w:adjustRightInd w:val="0"/>
        <w:spacing w:after="0" w:line="240" w:lineRule="auto"/>
        <w:rPr>
          <w:rFonts w:ascii="AdvP6EC0" w:hAnsi="AdvP6EC0" w:cs="AdvP6EC0"/>
          <w:color w:val="231F20"/>
          <w:sz w:val="20"/>
          <w:szCs w:val="20"/>
        </w:rPr>
      </w:pPr>
      <w:r w:rsidRPr="0057424A">
        <w:rPr>
          <w:rFonts w:ascii="AdvCaeciliaRm" w:hAnsi="AdvCaeciliaRm" w:cs="AdvCaeciliaRm"/>
          <w:sz w:val="20"/>
          <w:szCs w:val="20"/>
        </w:rPr>
        <w:t>The results showed that, despite the phenotypic</w:t>
      </w:r>
      <w:r w:rsidR="007D7AD7">
        <w:rPr>
          <w:rFonts w:ascii="AdvCaeciliaRm" w:hAnsi="AdvCaeciliaRm" w:cs="AdvCaeciliaRm"/>
          <w:sz w:val="20"/>
          <w:szCs w:val="20"/>
        </w:rPr>
        <w:t xml:space="preserve"> </w:t>
      </w:r>
      <w:r w:rsidRPr="0057424A">
        <w:rPr>
          <w:rFonts w:ascii="AdvCaeciliaRm" w:hAnsi="AdvCaeciliaRm" w:cs="AdvCaeciliaRm"/>
          <w:sz w:val="20"/>
          <w:szCs w:val="20"/>
        </w:rPr>
        <w:t>changes observed in some generations, no changes were observed in the allele size at</w:t>
      </w:r>
      <w:r w:rsidR="007D7AD7">
        <w:rPr>
          <w:rFonts w:ascii="AdvCaeciliaRm" w:hAnsi="AdvCaeciliaRm" w:cs="AdvCaeciliaRm"/>
          <w:sz w:val="20"/>
          <w:szCs w:val="20"/>
        </w:rPr>
        <w:t xml:space="preserve"> </w:t>
      </w:r>
      <w:r w:rsidRPr="0057424A">
        <w:rPr>
          <w:rFonts w:ascii="AdvCaeciliaRm" w:hAnsi="AdvCaeciliaRm" w:cs="AdvCaeciliaRm"/>
          <w:sz w:val="20"/>
          <w:szCs w:val="20"/>
        </w:rPr>
        <w:t>nine microsatellite loci whatever the selective pressure endured by the fungus.</w:t>
      </w:r>
    </w:p>
    <w:p w:rsidR="007D7AD7" w:rsidRDefault="007D7AD7" w:rsidP="007D7AD7">
      <w:pPr>
        <w:autoSpaceDE w:val="0"/>
        <w:autoSpaceDN w:val="0"/>
        <w:adjustRightInd w:val="0"/>
        <w:spacing w:after="0" w:line="240" w:lineRule="auto"/>
        <w:rPr>
          <w:rFonts w:ascii="AdvCaeciliaRm" w:hAnsi="AdvCaeciliaRm" w:cs="AdvCaeciliaRm"/>
          <w:color w:val="000000"/>
          <w:sz w:val="20"/>
          <w:szCs w:val="20"/>
        </w:rPr>
      </w:pPr>
    </w:p>
    <w:p w:rsidR="00034238" w:rsidRPr="00415C7C" w:rsidRDefault="0057424A" w:rsidP="0057424A">
      <w:pPr>
        <w:rPr>
          <w:rFonts w:ascii="AdvCaeciliaRm" w:hAnsi="AdvCaeciliaRm" w:cs="AdvCaeciliaRm"/>
          <w:color w:val="000000"/>
          <w:sz w:val="20"/>
          <w:szCs w:val="20"/>
        </w:rPr>
      </w:pPr>
      <w:r w:rsidRPr="00415C7C">
        <w:rPr>
          <w:rFonts w:ascii="AdvCaeciliaRm" w:hAnsi="AdvCaeciliaRm" w:cs="AdvCaeciliaRm"/>
          <w:color w:val="000000"/>
          <w:sz w:val="20"/>
          <w:szCs w:val="20"/>
        </w:rPr>
        <w:t>Some of</w:t>
      </w:r>
      <w:r w:rsidR="007D7AD7">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these conditions may represent a stress to which they have</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to adapt. For certain fungi, stresses such as nutritive deficiency</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could increase mutation rates in the genome (</w:t>
      </w:r>
      <w:r w:rsidRPr="00415C7C">
        <w:rPr>
          <w:rFonts w:ascii="AdvCaeciliaRm" w:hAnsi="AdvCaeciliaRm" w:cs="AdvCaeciliaRm"/>
          <w:color w:val="000066"/>
          <w:sz w:val="20"/>
          <w:szCs w:val="20"/>
        </w:rPr>
        <w:t>Drake</w:t>
      </w:r>
      <w:r w:rsidR="00D86CA0">
        <w:rPr>
          <w:rFonts w:ascii="AdvCaeciliaRm" w:hAnsi="AdvCaeciliaRm" w:cs="AdvCaeciliaRm"/>
          <w:color w:val="000066"/>
          <w:sz w:val="20"/>
          <w:szCs w:val="20"/>
        </w:rPr>
        <w:t xml:space="preserve"> </w:t>
      </w:r>
      <w:r w:rsidRPr="00415C7C">
        <w:rPr>
          <w:rFonts w:ascii="AdvCaeciliaIt" w:hAnsi="AdvCaeciliaIt" w:cs="AdvCaeciliaIt"/>
          <w:color w:val="000066"/>
          <w:sz w:val="20"/>
          <w:szCs w:val="20"/>
        </w:rPr>
        <w:t>et al</w:t>
      </w:r>
      <w:r w:rsidRPr="00415C7C">
        <w:rPr>
          <w:rFonts w:ascii="AdvCaeciliaRm" w:hAnsi="AdvCaeciliaRm" w:cs="AdvCaeciliaRm"/>
          <w:color w:val="000066"/>
          <w:sz w:val="20"/>
          <w:szCs w:val="20"/>
        </w:rPr>
        <w:t>. 1998</w:t>
      </w:r>
      <w:r w:rsidRPr="00415C7C">
        <w:rPr>
          <w:rFonts w:ascii="AdvCaeciliaRm" w:hAnsi="AdvCaeciliaRm" w:cs="AdvCaeciliaRm"/>
          <w:color w:val="000000"/>
          <w:sz w:val="20"/>
          <w:szCs w:val="20"/>
        </w:rPr>
        <w:t>) by modifying the activity of transposable elements</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and inducing systems involved in the modification or repair of</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DNA (</w:t>
      </w:r>
      <w:proofErr w:type="spellStart"/>
      <w:r w:rsidRPr="00415C7C">
        <w:rPr>
          <w:rFonts w:ascii="AdvCaeciliaRm" w:hAnsi="AdvCaeciliaRm" w:cs="AdvCaeciliaRm"/>
          <w:color w:val="000066"/>
          <w:sz w:val="20"/>
          <w:szCs w:val="20"/>
        </w:rPr>
        <w:t>Mes</w:t>
      </w:r>
      <w:proofErr w:type="spellEnd"/>
      <w:r w:rsidRPr="00415C7C">
        <w:rPr>
          <w:rFonts w:ascii="AdvCaeciliaRm" w:hAnsi="AdvCaeciliaRm" w:cs="AdvCaeciliaRm"/>
          <w:color w:val="000066"/>
          <w:sz w:val="20"/>
          <w:szCs w:val="20"/>
        </w:rPr>
        <w:t xml:space="preserve"> </w:t>
      </w:r>
      <w:r w:rsidRPr="00415C7C">
        <w:rPr>
          <w:rFonts w:ascii="AdvCaeciliaIt" w:hAnsi="AdvCaeciliaIt" w:cs="AdvCaeciliaIt"/>
          <w:color w:val="000066"/>
          <w:sz w:val="20"/>
          <w:szCs w:val="20"/>
        </w:rPr>
        <w:t>et al</w:t>
      </w:r>
      <w:r w:rsidRPr="00415C7C">
        <w:rPr>
          <w:rFonts w:ascii="AdvCaeciliaRm" w:hAnsi="AdvCaeciliaRm" w:cs="AdvCaeciliaRm"/>
          <w:color w:val="000066"/>
          <w:sz w:val="20"/>
          <w:szCs w:val="20"/>
        </w:rPr>
        <w:t xml:space="preserve">. 2000; Ikeda </w:t>
      </w:r>
      <w:r w:rsidRPr="00415C7C">
        <w:rPr>
          <w:rFonts w:ascii="AdvCaeciliaIt" w:hAnsi="AdvCaeciliaIt" w:cs="AdvCaeciliaIt"/>
          <w:color w:val="000066"/>
          <w:sz w:val="20"/>
          <w:szCs w:val="20"/>
        </w:rPr>
        <w:t>et al</w:t>
      </w:r>
      <w:r w:rsidRPr="00415C7C">
        <w:rPr>
          <w:rFonts w:ascii="AdvCaeciliaRm" w:hAnsi="AdvCaeciliaRm" w:cs="AdvCaeciliaRm"/>
          <w:color w:val="000066"/>
          <w:sz w:val="20"/>
          <w:szCs w:val="20"/>
        </w:rPr>
        <w:t>. 2001</w:t>
      </w:r>
      <w:r w:rsidRPr="00415C7C">
        <w:rPr>
          <w:rFonts w:ascii="AdvCaeciliaRm" w:hAnsi="AdvCaeciliaRm" w:cs="AdvCaeciliaRm"/>
          <w:color w:val="000000"/>
          <w:sz w:val="20"/>
          <w:szCs w:val="20"/>
        </w:rPr>
        <w:t>).</w:t>
      </w:r>
    </w:p>
    <w:p w:rsidR="0057424A" w:rsidRPr="00415C7C" w:rsidRDefault="00415C7C" w:rsidP="00415C7C">
      <w:pPr>
        <w:rPr>
          <w:rFonts w:ascii="AdvCaeciliaRm" w:hAnsi="AdvCaeciliaRm" w:cs="AdvCaeciliaRm"/>
          <w:color w:val="000000"/>
          <w:sz w:val="20"/>
          <w:szCs w:val="20"/>
        </w:rPr>
      </w:pPr>
      <w:r w:rsidRPr="00415C7C">
        <w:rPr>
          <w:rFonts w:ascii="AdvCaeciliaIt" w:hAnsi="AdvCaeciliaIt" w:cs="AdvCaeciliaIt"/>
          <w:color w:val="000000"/>
          <w:sz w:val="20"/>
          <w:szCs w:val="20"/>
        </w:rPr>
        <w:t xml:space="preserve">Botrytis </w:t>
      </w:r>
      <w:proofErr w:type="spellStart"/>
      <w:r w:rsidRPr="00415C7C">
        <w:rPr>
          <w:rFonts w:ascii="AdvCaeciliaIt" w:hAnsi="AdvCaeciliaIt" w:cs="AdvCaeciliaIt"/>
          <w:color w:val="000000"/>
          <w:sz w:val="20"/>
          <w:szCs w:val="20"/>
        </w:rPr>
        <w:t>cinerea</w:t>
      </w:r>
      <w:proofErr w:type="spellEnd"/>
      <w:r w:rsidRPr="00415C7C">
        <w:rPr>
          <w:rFonts w:ascii="AdvCaeciliaIt" w:hAnsi="AdvCaeciliaIt" w:cs="AdvCaeciliaIt"/>
          <w:color w:val="000000"/>
          <w:sz w:val="20"/>
          <w:szCs w:val="20"/>
        </w:rPr>
        <w:t xml:space="preserve"> </w:t>
      </w:r>
      <w:proofErr w:type="spellStart"/>
      <w:r w:rsidRPr="00415C7C">
        <w:rPr>
          <w:rFonts w:ascii="AdvCaeciliaRm" w:hAnsi="AdvCaeciliaRm" w:cs="AdvCaeciliaRm"/>
          <w:color w:val="000000"/>
          <w:sz w:val="20"/>
          <w:szCs w:val="20"/>
        </w:rPr>
        <w:t>Pers</w:t>
      </w:r>
      <w:proofErr w:type="spellEnd"/>
      <w:r w:rsidRPr="00415C7C">
        <w:rPr>
          <w:rFonts w:ascii="AdvCaeciliaRm" w:hAnsi="AdvCaeciliaRm" w:cs="AdvCaeciliaRm"/>
          <w:color w:val="000000"/>
          <w:sz w:val="20"/>
          <w:szCs w:val="20"/>
        </w:rPr>
        <w:t>.</w:t>
      </w:r>
      <w:proofErr w:type="gramStart"/>
      <w:r w:rsidRPr="00415C7C">
        <w:rPr>
          <w:rFonts w:ascii="AdvCaeciliaRm" w:hAnsi="AdvCaeciliaRm" w:cs="AdvCaeciliaRm"/>
          <w:color w:val="000000"/>
          <w:sz w:val="20"/>
          <w:szCs w:val="20"/>
        </w:rPr>
        <w:t>:Fr</w:t>
      </w:r>
      <w:proofErr w:type="gramEnd"/>
      <w:r w:rsidRPr="00415C7C">
        <w:rPr>
          <w:rFonts w:ascii="AdvCaeciliaRm" w:hAnsi="AdvCaeciliaRm" w:cs="AdvCaeciliaRm"/>
          <w:color w:val="000000"/>
          <w:sz w:val="20"/>
          <w:szCs w:val="20"/>
        </w:rPr>
        <w:t xml:space="preserve"> (teleomorph </w:t>
      </w:r>
      <w:proofErr w:type="spellStart"/>
      <w:r w:rsidRPr="00415C7C">
        <w:rPr>
          <w:rFonts w:ascii="AdvCaeciliaIt" w:hAnsi="AdvCaeciliaIt" w:cs="AdvCaeciliaIt"/>
          <w:color w:val="000000"/>
          <w:sz w:val="20"/>
          <w:szCs w:val="20"/>
        </w:rPr>
        <w:t>Botryotinia</w:t>
      </w:r>
      <w:proofErr w:type="spellEnd"/>
      <w:r w:rsidRPr="00415C7C">
        <w:rPr>
          <w:rFonts w:ascii="AdvCaeciliaIt" w:hAnsi="AdvCaeciliaIt" w:cs="AdvCaeciliaIt"/>
          <w:color w:val="000000"/>
          <w:sz w:val="20"/>
          <w:szCs w:val="20"/>
        </w:rPr>
        <w:t xml:space="preserve"> </w:t>
      </w:r>
      <w:proofErr w:type="spellStart"/>
      <w:r w:rsidRPr="00415C7C">
        <w:rPr>
          <w:rFonts w:ascii="AdvCaeciliaIt" w:hAnsi="AdvCaeciliaIt" w:cs="AdvCaeciliaIt"/>
          <w:color w:val="000000"/>
          <w:sz w:val="20"/>
          <w:szCs w:val="20"/>
        </w:rPr>
        <w:t>fuckeliana</w:t>
      </w:r>
      <w:proofErr w:type="spellEnd"/>
      <w:r w:rsidRPr="00415C7C">
        <w:rPr>
          <w:rFonts w:ascii="AdvCaeciliaIt" w:hAnsi="AdvCaeciliaIt" w:cs="AdvCaeciliaIt"/>
          <w:color w:val="000000"/>
          <w:sz w:val="20"/>
          <w:szCs w:val="20"/>
        </w:rPr>
        <w:t xml:space="preserve"> </w:t>
      </w:r>
      <w:r w:rsidRPr="00415C7C">
        <w:rPr>
          <w:rFonts w:ascii="AdvCaeciliaRm" w:hAnsi="AdvCaeciliaRm" w:cs="AdvCaeciliaRm"/>
          <w:color w:val="000000"/>
          <w:sz w:val="20"/>
          <w:szCs w:val="20"/>
        </w:rPr>
        <w:t>(de</w:t>
      </w:r>
      <w:r w:rsidR="00D86CA0">
        <w:rPr>
          <w:rFonts w:ascii="AdvCaeciliaRm" w:hAnsi="AdvCaeciliaRm" w:cs="AdvCaeciliaRm"/>
          <w:color w:val="000000"/>
          <w:sz w:val="20"/>
          <w:szCs w:val="20"/>
        </w:rPr>
        <w:t xml:space="preserve"> </w:t>
      </w:r>
      <w:proofErr w:type="spellStart"/>
      <w:r w:rsidRPr="00415C7C">
        <w:rPr>
          <w:rFonts w:ascii="AdvCaeciliaRm" w:hAnsi="AdvCaeciliaRm" w:cs="AdvCaeciliaRm"/>
          <w:color w:val="000000"/>
          <w:sz w:val="20"/>
          <w:szCs w:val="20"/>
        </w:rPr>
        <w:t>Bary</w:t>
      </w:r>
      <w:proofErr w:type="spellEnd"/>
      <w:r w:rsidRPr="00415C7C">
        <w:rPr>
          <w:rFonts w:ascii="AdvCaeciliaRm" w:hAnsi="AdvCaeciliaRm" w:cs="AdvCaeciliaRm"/>
          <w:color w:val="000000"/>
          <w:sz w:val="20"/>
          <w:szCs w:val="20"/>
        </w:rPr>
        <w:t xml:space="preserve">) </w:t>
      </w:r>
      <w:proofErr w:type="spellStart"/>
      <w:r w:rsidRPr="00415C7C">
        <w:rPr>
          <w:rFonts w:ascii="AdvCaeciliaRm" w:hAnsi="AdvCaeciliaRm" w:cs="AdvCaeciliaRm"/>
          <w:color w:val="000000"/>
          <w:sz w:val="20"/>
          <w:szCs w:val="20"/>
        </w:rPr>
        <w:t>Whetzel</w:t>
      </w:r>
      <w:proofErr w:type="spellEnd"/>
      <w:r w:rsidRPr="00415C7C">
        <w:rPr>
          <w:rFonts w:ascii="AdvCaeciliaRm" w:hAnsi="AdvCaeciliaRm" w:cs="AdvCaeciliaRm"/>
          <w:color w:val="000000"/>
          <w:sz w:val="20"/>
          <w:szCs w:val="20"/>
        </w:rPr>
        <w:t xml:space="preserve">) is a </w:t>
      </w:r>
      <w:r w:rsidRPr="00870FB1">
        <w:rPr>
          <w:rFonts w:ascii="AdvCaeciliaRm" w:hAnsi="AdvCaeciliaRm" w:cs="AdvCaeciliaRm"/>
          <w:color w:val="000000"/>
          <w:sz w:val="20"/>
          <w:szCs w:val="20"/>
          <w:highlight w:val="yellow"/>
        </w:rPr>
        <w:t>haploid necrotrophic fungal</w:t>
      </w:r>
      <w:r w:rsidRPr="00415C7C">
        <w:rPr>
          <w:rFonts w:ascii="AdvCaeciliaRm" w:hAnsi="AdvCaeciliaRm" w:cs="AdvCaeciliaRm"/>
          <w:color w:val="000000"/>
          <w:sz w:val="20"/>
          <w:szCs w:val="20"/>
        </w:rPr>
        <w:t xml:space="preserve"> pathogen of</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numerous plants estimated to more than 200 species (</w:t>
      </w:r>
      <w:r w:rsidRPr="00415C7C">
        <w:rPr>
          <w:rFonts w:ascii="AdvCaeciliaRm" w:hAnsi="AdvCaeciliaRm" w:cs="AdvCaeciliaRm"/>
          <w:color w:val="000066"/>
          <w:sz w:val="20"/>
          <w:szCs w:val="20"/>
        </w:rPr>
        <w:t>Jarvis</w:t>
      </w:r>
      <w:r w:rsidR="00D86CA0">
        <w:rPr>
          <w:rFonts w:ascii="AdvCaeciliaRm" w:hAnsi="AdvCaeciliaRm" w:cs="AdvCaeciliaRm"/>
          <w:color w:val="000066"/>
          <w:sz w:val="20"/>
          <w:szCs w:val="20"/>
        </w:rPr>
        <w:t xml:space="preserve"> </w:t>
      </w:r>
      <w:r w:rsidRPr="00415C7C">
        <w:rPr>
          <w:rFonts w:ascii="AdvCaeciliaRm" w:hAnsi="AdvCaeciliaRm" w:cs="AdvCaeciliaRm"/>
          <w:color w:val="000066"/>
          <w:sz w:val="20"/>
          <w:szCs w:val="20"/>
        </w:rPr>
        <w:t>1980</w:t>
      </w:r>
      <w:r w:rsidRPr="00415C7C">
        <w:rPr>
          <w:rFonts w:ascii="AdvCaeciliaRm" w:hAnsi="AdvCaeciliaRm" w:cs="AdvCaeciliaRm"/>
          <w:color w:val="000000"/>
          <w:sz w:val="20"/>
          <w:szCs w:val="20"/>
        </w:rPr>
        <w:t>).</w:t>
      </w:r>
    </w:p>
    <w:p w:rsidR="00415C7C" w:rsidRPr="00415C7C" w:rsidRDefault="00415C7C" w:rsidP="00415C7C">
      <w:pPr>
        <w:rPr>
          <w:rFonts w:ascii="AdvCaeciliaRm" w:hAnsi="AdvCaeciliaRm" w:cs="AdvCaeciliaRm"/>
          <w:color w:val="000000"/>
          <w:sz w:val="20"/>
          <w:szCs w:val="20"/>
        </w:rPr>
      </w:pPr>
      <w:r w:rsidRPr="00415C7C">
        <w:rPr>
          <w:rFonts w:ascii="AdvCaeciliaRm" w:hAnsi="AdvCaeciliaRm" w:cs="AdvCaeciliaRm"/>
          <w:color w:val="000000"/>
          <w:sz w:val="20"/>
          <w:szCs w:val="20"/>
        </w:rPr>
        <w:t>Microsatellite</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markers (simple sequence repeats) are short tandem repeated</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tracts of DNA composed of units that are 1</w:t>
      </w:r>
      <w:r w:rsidR="007D7AD7">
        <w:rPr>
          <w:rFonts w:ascii="AdvPS44A44B" w:hAnsi="AdvPS44A44B" w:cs="AdvPS44A44B"/>
          <w:color w:val="000000"/>
          <w:sz w:val="20"/>
          <w:szCs w:val="20"/>
        </w:rPr>
        <w:t>-</w:t>
      </w:r>
      <w:r w:rsidRPr="00415C7C">
        <w:rPr>
          <w:rFonts w:ascii="AdvCaeciliaRm" w:hAnsi="AdvCaeciliaRm" w:cs="AdvCaeciliaRm"/>
          <w:color w:val="000000"/>
          <w:sz w:val="20"/>
          <w:szCs w:val="20"/>
        </w:rPr>
        <w:t>6 base pairs long,</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spread throughout the genome and used as genetic markers in</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genome mapping or population genetics studies because of</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their high level of polymorphism (</w:t>
      </w:r>
      <w:proofErr w:type="spellStart"/>
      <w:r w:rsidRPr="00415C7C">
        <w:rPr>
          <w:rFonts w:ascii="AdvCaeciliaRm" w:hAnsi="AdvCaeciliaRm" w:cs="AdvCaeciliaRm"/>
          <w:color w:val="000066"/>
          <w:sz w:val="20"/>
          <w:szCs w:val="20"/>
        </w:rPr>
        <w:t>Jarne</w:t>
      </w:r>
      <w:proofErr w:type="spellEnd"/>
      <w:r w:rsidRPr="00415C7C">
        <w:rPr>
          <w:rFonts w:ascii="AdvCaeciliaRm" w:hAnsi="AdvCaeciliaRm" w:cs="AdvCaeciliaRm"/>
          <w:color w:val="000066"/>
          <w:sz w:val="20"/>
          <w:szCs w:val="20"/>
        </w:rPr>
        <w:t xml:space="preserve"> &amp; </w:t>
      </w:r>
      <w:proofErr w:type="spellStart"/>
      <w:r w:rsidRPr="00415C7C">
        <w:rPr>
          <w:rFonts w:ascii="AdvCaeciliaRm" w:hAnsi="AdvCaeciliaRm" w:cs="AdvCaeciliaRm"/>
          <w:color w:val="000066"/>
          <w:sz w:val="20"/>
          <w:szCs w:val="20"/>
        </w:rPr>
        <w:t>Lagoda</w:t>
      </w:r>
      <w:proofErr w:type="spellEnd"/>
      <w:r w:rsidRPr="00415C7C">
        <w:rPr>
          <w:rFonts w:ascii="AdvCaeciliaRm" w:hAnsi="AdvCaeciliaRm" w:cs="AdvCaeciliaRm"/>
          <w:color w:val="000066"/>
          <w:sz w:val="20"/>
          <w:szCs w:val="20"/>
        </w:rPr>
        <w:t xml:space="preserve"> 1996</w:t>
      </w:r>
      <w:r w:rsidRPr="00415C7C">
        <w:rPr>
          <w:rFonts w:ascii="AdvCaeciliaRm" w:hAnsi="AdvCaeciliaRm" w:cs="AdvCaeciliaRm"/>
          <w:color w:val="000000"/>
          <w:sz w:val="20"/>
          <w:szCs w:val="20"/>
        </w:rPr>
        <w:t>). Their</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mutation rates are thought to vary from 10</w:t>
      </w:r>
      <w:r w:rsidRPr="00415C7C">
        <w:rPr>
          <w:rFonts w:ascii="AdvP4C4E74" w:hAnsi="AdvP4C4E74" w:cs="AdvP4C4E74"/>
          <w:color w:val="000000"/>
          <w:sz w:val="20"/>
          <w:szCs w:val="20"/>
        </w:rPr>
        <w:t>_</w:t>
      </w:r>
      <w:r w:rsidRPr="00415C7C">
        <w:rPr>
          <w:rFonts w:ascii="AdvCaeciliaRm" w:hAnsi="AdvCaeciliaRm" w:cs="AdvCaeciliaRm"/>
          <w:color w:val="000000"/>
          <w:sz w:val="20"/>
          <w:szCs w:val="20"/>
        </w:rPr>
        <w:t>6 to 10</w:t>
      </w:r>
      <w:r w:rsidRPr="00415C7C">
        <w:rPr>
          <w:rFonts w:ascii="AdvP4C4E74" w:hAnsi="AdvP4C4E74" w:cs="AdvP4C4E74"/>
          <w:color w:val="000000"/>
          <w:sz w:val="20"/>
          <w:szCs w:val="20"/>
        </w:rPr>
        <w:t>_</w:t>
      </w:r>
      <w:r w:rsidRPr="00415C7C">
        <w:rPr>
          <w:rFonts w:ascii="AdvCaeciliaRm" w:hAnsi="AdvCaeciliaRm" w:cs="AdvCaeciliaRm"/>
          <w:color w:val="000000"/>
          <w:sz w:val="20"/>
          <w:szCs w:val="20"/>
        </w:rPr>
        <w:t>3 per locus</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per gamete per generation depending on organism and locus</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w:t>
      </w:r>
      <w:r w:rsidRPr="00415C7C">
        <w:rPr>
          <w:rFonts w:ascii="AdvCaeciliaRm" w:hAnsi="AdvCaeciliaRm" w:cs="AdvCaeciliaRm"/>
          <w:color w:val="000066"/>
          <w:sz w:val="20"/>
          <w:szCs w:val="20"/>
        </w:rPr>
        <w:t xml:space="preserve">Weber &amp; Wong 1993; </w:t>
      </w:r>
      <w:proofErr w:type="spellStart"/>
      <w:r w:rsidRPr="00415C7C">
        <w:rPr>
          <w:rFonts w:ascii="AdvCaeciliaRm" w:hAnsi="AdvCaeciliaRm" w:cs="AdvCaeciliaRm"/>
          <w:color w:val="000066"/>
          <w:sz w:val="20"/>
          <w:szCs w:val="20"/>
        </w:rPr>
        <w:t>Schug</w:t>
      </w:r>
      <w:proofErr w:type="spellEnd"/>
      <w:r w:rsidRPr="00415C7C">
        <w:rPr>
          <w:rFonts w:ascii="AdvCaeciliaRm" w:hAnsi="AdvCaeciliaRm" w:cs="AdvCaeciliaRm"/>
          <w:color w:val="000066"/>
          <w:sz w:val="20"/>
          <w:szCs w:val="20"/>
        </w:rPr>
        <w:t xml:space="preserve"> </w:t>
      </w:r>
      <w:r w:rsidRPr="00415C7C">
        <w:rPr>
          <w:rFonts w:ascii="AdvCaeciliaIt" w:hAnsi="AdvCaeciliaIt" w:cs="AdvCaeciliaIt"/>
          <w:color w:val="000066"/>
          <w:sz w:val="20"/>
          <w:szCs w:val="20"/>
        </w:rPr>
        <w:t>et al</w:t>
      </w:r>
      <w:r w:rsidRPr="00415C7C">
        <w:rPr>
          <w:rFonts w:ascii="AdvCaeciliaRm" w:hAnsi="AdvCaeciliaRm" w:cs="AdvCaeciliaRm"/>
          <w:color w:val="000066"/>
          <w:sz w:val="20"/>
          <w:szCs w:val="20"/>
        </w:rPr>
        <w:t>. 1997</w:t>
      </w:r>
      <w:r w:rsidRPr="00415C7C">
        <w:rPr>
          <w:rFonts w:ascii="AdvCaeciliaRm" w:hAnsi="AdvCaeciliaRm" w:cs="AdvCaeciliaRm"/>
          <w:color w:val="000000"/>
          <w:sz w:val="20"/>
          <w:szCs w:val="20"/>
        </w:rPr>
        <w:t>). .. This high genetic</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variability is interpreted as an indication of genetic exchange</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between distant populations (</w:t>
      </w:r>
      <w:proofErr w:type="spellStart"/>
      <w:r w:rsidRPr="00415C7C">
        <w:rPr>
          <w:rFonts w:ascii="AdvCaeciliaRm" w:hAnsi="AdvCaeciliaRm" w:cs="AdvCaeciliaRm"/>
          <w:color w:val="000066"/>
          <w:sz w:val="20"/>
          <w:szCs w:val="20"/>
        </w:rPr>
        <w:t>Karchani-Balma</w:t>
      </w:r>
      <w:proofErr w:type="spellEnd"/>
      <w:r w:rsidRPr="00415C7C">
        <w:rPr>
          <w:rFonts w:ascii="AdvCaeciliaRm" w:hAnsi="AdvCaeciliaRm" w:cs="AdvCaeciliaRm"/>
          <w:color w:val="000066"/>
          <w:sz w:val="20"/>
          <w:szCs w:val="20"/>
        </w:rPr>
        <w:t xml:space="preserve"> </w:t>
      </w:r>
      <w:r w:rsidRPr="00415C7C">
        <w:rPr>
          <w:rFonts w:ascii="AdvCaeciliaIt" w:hAnsi="AdvCaeciliaIt" w:cs="AdvCaeciliaIt"/>
          <w:color w:val="000066"/>
          <w:sz w:val="20"/>
          <w:szCs w:val="20"/>
        </w:rPr>
        <w:t>et al</w:t>
      </w:r>
      <w:r w:rsidRPr="00415C7C">
        <w:rPr>
          <w:rFonts w:ascii="AdvCaeciliaRm" w:hAnsi="AdvCaeciliaRm" w:cs="AdvCaeciliaRm"/>
          <w:color w:val="000066"/>
          <w:sz w:val="20"/>
          <w:szCs w:val="20"/>
        </w:rPr>
        <w:t>. 2008;</w:t>
      </w:r>
      <w:r w:rsidR="00D86CA0">
        <w:rPr>
          <w:rFonts w:ascii="AdvCaeciliaRm" w:hAnsi="AdvCaeciliaRm" w:cs="AdvCaeciliaRm"/>
          <w:color w:val="000066"/>
          <w:sz w:val="20"/>
          <w:szCs w:val="20"/>
        </w:rPr>
        <w:t xml:space="preserve"> </w:t>
      </w:r>
      <w:proofErr w:type="spellStart"/>
      <w:r w:rsidRPr="00415C7C">
        <w:rPr>
          <w:rFonts w:ascii="AdvCaeciliaRm" w:hAnsi="AdvCaeciliaRm" w:cs="AdvCaeciliaRm"/>
          <w:color w:val="000066"/>
          <w:sz w:val="20"/>
          <w:szCs w:val="20"/>
        </w:rPr>
        <w:t>Decognet</w:t>
      </w:r>
      <w:proofErr w:type="spellEnd"/>
      <w:r w:rsidRPr="00415C7C">
        <w:rPr>
          <w:rFonts w:ascii="AdvCaeciliaRm" w:hAnsi="AdvCaeciliaRm" w:cs="AdvCaeciliaRm"/>
          <w:color w:val="000066"/>
          <w:sz w:val="20"/>
          <w:szCs w:val="20"/>
        </w:rPr>
        <w:t xml:space="preserve"> </w:t>
      </w:r>
      <w:r w:rsidRPr="00415C7C">
        <w:rPr>
          <w:rFonts w:ascii="AdvCaeciliaIt" w:hAnsi="AdvCaeciliaIt" w:cs="AdvCaeciliaIt"/>
          <w:color w:val="000066"/>
          <w:sz w:val="20"/>
          <w:szCs w:val="20"/>
        </w:rPr>
        <w:t>et al</w:t>
      </w:r>
      <w:r w:rsidRPr="00415C7C">
        <w:rPr>
          <w:rFonts w:ascii="AdvCaeciliaRm" w:hAnsi="AdvCaeciliaRm" w:cs="AdvCaeciliaRm"/>
          <w:color w:val="000066"/>
          <w:sz w:val="20"/>
          <w:szCs w:val="20"/>
        </w:rPr>
        <w:t>. 2009</w:t>
      </w:r>
      <w:r w:rsidRPr="00415C7C">
        <w:rPr>
          <w:rFonts w:ascii="AdvCaeciliaRm" w:hAnsi="AdvCaeciliaRm" w:cs="AdvCaeciliaRm"/>
          <w:color w:val="000000"/>
          <w:sz w:val="20"/>
          <w:szCs w:val="20"/>
        </w:rPr>
        <w:t>) and/or an indirect proof of recombination</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w:t>
      </w:r>
      <w:proofErr w:type="spellStart"/>
      <w:r w:rsidRPr="00415C7C">
        <w:rPr>
          <w:rFonts w:ascii="AdvCaeciliaRm" w:hAnsi="AdvCaeciliaRm" w:cs="AdvCaeciliaRm"/>
          <w:color w:val="000066"/>
          <w:sz w:val="20"/>
          <w:szCs w:val="20"/>
        </w:rPr>
        <w:t>Karchani-Balma</w:t>
      </w:r>
      <w:proofErr w:type="spellEnd"/>
      <w:r w:rsidRPr="00415C7C">
        <w:rPr>
          <w:rFonts w:ascii="AdvCaeciliaRm" w:hAnsi="AdvCaeciliaRm" w:cs="AdvCaeciliaRm"/>
          <w:color w:val="000066"/>
          <w:sz w:val="20"/>
          <w:szCs w:val="20"/>
        </w:rPr>
        <w:t xml:space="preserve"> </w:t>
      </w:r>
      <w:r w:rsidRPr="00415C7C">
        <w:rPr>
          <w:rFonts w:ascii="AdvCaeciliaIt" w:hAnsi="AdvCaeciliaIt" w:cs="AdvCaeciliaIt"/>
          <w:color w:val="000066"/>
          <w:sz w:val="20"/>
          <w:szCs w:val="20"/>
        </w:rPr>
        <w:t>et al</w:t>
      </w:r>
      <w:r w:rsidRPr="00415C7C">
        <w:rPr>
          <w:rFonts w:ascii="AdvCaeciliaRm" w:hAnsi="AdvCaeciliaRm" w:cs="AdvCaeciliaRm"/>
          <w:color w:val="000066"/>
          <w:sz w:val="20"/>
          <w:szCs w:val="20"/>
        </w:rPr>
        <w:t xml:space="preserve">. 2008; </w:t>
      </w:r>
      <w:proofErr w:type="spellStart"/>
      <w:r w:rsidRPr="00415C7C">
        <w:rPr>
          <w:rFonts w:ascii="AdvCaeciliaRm" w:hAnsi="AdvCaeciliaRm" w:cs="AdvCaeciliaRm"/>
          <w:color w:val="000066"/>
          <w:sz w:val="20"/>
          <w:szCs w:val="20"/>
        </w:rPr>
        <w:t>Vaczy</w:t>
      </w:r>
      <w:proofErr w:type="spellEnd"/>
      <w:r w:rsidRPr="00415C7C">
        <w:rPr>
          <w:rFonts w:ascii="AdvCaeciliaRm" w:hAnsi="AdvCaeciliaRm" w:cs="AdvCaeciliaRm"/>
          <w:color w:val="000066"/>
          <w:sz w:val="20"/>
          <w:szCs w:val="20"/>
        </w:rPr>
        <w:t xml:space="preserve"> </w:t>
      </w:r>
      <w:r w:rsidRPr="00415C7C">
        <w:rPr>
          <w:rFonts w:ascii="AdvCaeciliaIt" w:hAnsi="AdvCaeciliaIt" w:cs="AdvCaeciliaIt"/>
          <w:color w:val="000066"/>
          <w:sz w:val="20"/>
          <w:szCs w:val="20"/>
        </w:rPr>
        <w:t>et al</w:t>
      </w:r>
      <w:r w:rsidRPr="00415C7C">
        <w:rPr>
          <w:rFonts w:ascii="AdvCaeciliaRm" w:hAnsi="AdvCaeciliaRm" w:cs="AdvCaeciliaRm"/>
          <w:color w:val="000066"/>
          <w:sz w:val="20"/>
          <w:szCs w:val="20"/>
        </w:rPr>
        <w:t>. 2008</w:t>
      </w:r>
      <w:r w:rsidRPr="00415C7C">
        <w:rPr>
          <w:rFonts w:ascii="AdvCaeciliaRm" w:hAnsi="AdvCaeciliaRm" w:cs="AdvCaeciliaRm"/>
          <w:color w:val="000000"/>
          <w:sz w:val="20"/>
          <w:szCs w:val="20"/>
        </w:rPr>
        <w:t>). However, mutations</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in the microsatellite loci overtime may also reveal diversity</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and therefore misinterpret the conclusions of these</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studies. In order to properly apply these markers in population</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studies, one should estimate the mutation rate of the</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microsatellite markers used.</w:t>
      </w:r>
    </w:p>
    <w:p w:rsidR="00415C7C" w:rsidRPr="00415C7C" w:rsidRDefault="00415C7C" w:rsidP="00415C7C">
      <w:pPr>
        <w:rPr>
          <w:rFonts w:ascii="AdvCaeciliaRm" w:hAnsi="AdvCaeciliaRm" w:cs="AdvCaeciliaRm"/>
          <w:color w:val="000000"/>
          <w:sz w:val="20"/>
          <w:szCs w:val="20"/>
        </w:rPr>
      </w:pPr>
      <w:proofErr w:type="spellStart"/>
      <w:r w:rsidRPr="00415C7C">
        <w:rPr>
          <w:rFonts w:ascii="AdvCaeciliaRm" w:hAnsi="AdvCaeciliaRm" w:cs="AdvCaeciliaRm"/>
          <w:color w:val="000066"/>
          <w:sz w:val="20"/>
          <w:szCs w:val="20"/>
          <w:highlight w:val="cyan"/>
        </w:rPr>
        <w:t>Lasker</w:t>
      </w:r>
      <w:proofErr w:type="spellEnd"/>
      <w:r w:rsidRPr="00415C7C">
        <w:rPr>
          <w:rFonts w:ascii="AdvCaeciliaRm" w:hAnsi="AdvCaeciliaRm" w:cs="AdvCaeciliaRm"/>
          <w:color w:val="000066"/>
          <w:sz w:val="20"/>
          <w:szCs w:val="20"/>
          <w:highlight w:val="cyan"/>
        </w:rPr>
        <w:t xml:space="preserve"> &amp; Ran (2004)</w:t>
      </w:r>
      <w:r w:rsidRPr="00415C7C">
        <w:rPr>
          <w:rFonts w:ascii="AdvCaeciliaRm" w:hAnsi="AdvCaeciliaRm" w:cs="AdvCaeciliaRm"/>
          <w:color w:val="000066"/>
          <w:sz w:val="20"/>
          <w:szCs w:val="20"/>
        </w:rPr>
        <w:t xml:space="preserve"> </w:t>
      </w:r>
      <w:r w:rsidRPr="00415C7C">
        <w:rPr>
          <w:rFonts w:ascii="AdvCaeciliaRm" w:hAnsi="AdvCaeciliaRm" w:cs="AdvCaeciliaRm"/>
          <w:color w:val="000000"/>
          <w:sz w:val="20"/>
          <w:szCs w:val="20"/>
        </w:rPr>
        <w:t>demonstrated</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the short-term stability of microsatellite profiles after</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 xml:space="preserve">the serial culture of </w:t>
      </w:r>
      <w:proofErr w:type="spellStart"/>
      <w:r w:rsidRPr="00415C7C">
        <w:rPr>
          <w:rFonts w:ascii="AdvCaeciliaIt" w:hAnsi="AdvCaeciliaIt" w:cs="AdvCaeciliaIt"/>
          <w:color w:val="000000"/>
          <w:sz w:val="20"/>
          <w:szCs w:val="20"/>
          <w:highlight w:val="cyan"/>
        </w:rPr>
        <w:t>Penicillium</w:t>
      </w:r>
      <w:proofErr w:type="spellEnd"/>
      <w:r w:rsidRPr="00415C7C">
        <w:rPr>
          <w:rFonts w:ascii="AdvCaeciliaIt" w:hAnsi="AdvCaeciliaIt" w:cs="AdvCaeciliaIt"/>
          <w:color w:val="000000"/>
          <w:sz w:val="20"/>
          <w:szCs w:val="20"/>
          <w:highlight w:val="cyan"/>
        </w:rPr>
        <w:t xml:space="preserve"> </w:t>
      </w:r>
      <w:proofErr w:type="spellStart"/>
      <w:r w:rsidRPr="00415C7C">
        <w:rPr>
          <w:rFonts w:ascii="AdvCaeciliaIt" w:hAnsi="AdvCaeciliaIt" w:cs="AdvCaeciliaIt"/>
          <w:color w:val="000000"/>
          <w:sz w:val="20"/>
          <w:szCs w:val="20"/>
          <w:highlight w:val="cyan"/>
        </w:rPr>
        <w:t>marneffei</w:t>
      </w:r>
      <w:proofErr w:type="spellEnd"/>
      <w:r w:rsidRPr="00415C7C">
        <w:rPr>
          <w:rFonts w:ascii="AdvCaeciliaIt" w:hAnsi="AdvCaeciliaIt" w:cs="AdvCaeciliaIt"/>
          <w:color w:val="000000"/>
          <w:sz w:val="20"/>
          <w:szCs w:val="20"/>
          <w:highlight w:val="cyan"/>
        </w:rPr>
        <w:t xml:space="preserve"> </w:t>
      </w:r>
      <w:r w:rsidRPr="00415C7C">
        <w:rPr>
          <w:rFonts w:ascii="AdvCaeciliaRm" w:hAnsi="AdvCaeciliaRm" w:cs="AdvCaeciliaRm"/>
          <w:color w:val="000000"/>
          <w:sz w:val="20"/>
          <w:szCs w:val="20"/>
          <w:highlight w:val="cyan"/>
        </w:rPr>
        <w:t>during 7</w:t>
      </w:r>
      <w:r w:rsidR="005127C3">
        <w:rPr>
          <w:rFonts w:ascii="AdvPS44A44B" w:hAnsi="AdvPS44A44B" w:cs="AdvPS44A44B"/>
          <w:color w:val="000000"/>
          <w:sz w:val="20"/>
          <w:szCs w:val="20"/>
          <w:highlight w:val="cyan"/>
        </w:rPr>
        <w:t>-</w:t>
      </w:r>
      <w:r w:rsidRPr="00415C7C">
        <w:rPr>
          <w:rFonts w:ascii="AdvCaeciliaRm" w:hAnsi="AdvCaeciliaRm" w:cs="AdvCaeciliaRm"/>
          <w:color w:val="000000"/>
          <w:sz w:val="20"/>
          <w:szCs w:val="20"/>
          <w:highlight w:val="cyan"/>
        </w:rPr>
        <w:t>8 weeks.</w:t>
      </w:r>
      <w:r w:rsidR="00D86CA0">
        <w:rPr>
          <w:rFonts w:ascii="AdvCaeciliaRm" w:hAnsi="AdvCaeciliaRm" w:cs="AdvCaeciliaRm"/>
          <w:color w:val="000000"/>
          <w:sz w:val="20"/>
          <w:szCs w:val="20"/>
          <w:highlight w:val="cyan"/>
        </w:rPr>
        <w:t xml:space="preserve"> </w:t>
      </w:r>
      <w:r w:rsidRPr="00415C7C">
        <w:rPr>
          <w:rFonts w:ascii="AdvCaeciliaRm" w:hAnsi="AdvCaeciliaRm" w:cs="AdvCaeciliaRm"/>
          <w:color w:val="000000"/>
          <w:sz w:val="20"/>
          <w:szCs w:val="20"/>
          <w:highlight w:val="cyan"/>
        </w:rPr>
        <w:t xml:space="preserve">More recently, </w:t>
      </w:r>
      <w:r w:rsidRPr="00870FB1">
        <w:rPr>
          <w:rFonts w:ascii="AdvCaeciliaRm" w:hAnsi="AdvCaeciliaRm" w:cs="AdvCaeciliaRm"/>
          <w:color w:val="000066"/>
          <w:sz w:val="20"/>
          <w:szCs w:val="20"/>
          <w:highlight w:val="green"/>
        </w:rPr>
        <w:t xml:space="preserve">Kohn </w:t>
      </w:r>
      <w:r w:rsidRPr="00870FB1">
        <w:rPr>
          <w:rFonts w:ascii="AdvCaeciliaIt" w:hAnsi="AdvCaeciliaIt" w:cs="AdvCaeciliaIt"/>
          <w:color w:val="000066"/>
          <w:sz w:val="20"/>
          <w:szCs w:val="20"/>
          <w:highlight w:val="green"/>
        </w:rPr>
        <w:t>et al</w:t>
      </w:r>
      <w:r w:rsidRPr="00870FB1">
        <w:rPr>
          <w:rFonts w:ascii="AdvCaeciliaRm" w:hAnsi="AdvCaeciliaRm" w:cs="AdvCaeciliaRm"/>
          <w:color w:val="000066"/>
          <w:sz w:val="20"/>
          <w:szCs w:val="20"/>
          <w:highlight w:val="green"/>
        </w:rPr>
        <w:t>. (2008</w:t>
      </w:r>
      <w:r w:rsidRPr="00415C7C">
        <w:rPr>
          <w:rFonts w:ascii="AdvCaeciliaRm" w:hAnsi="AdvCaeciliaRm" w:cs="AdvCaeciliaRm"/>
          <w:color w:val="000066"/>
          <w:sz w:val="20"/>
          <w:szCs w:val="20"/>
        </w:rPr>
        <w:t xml:space="preserve">) </w:t>
      </w:r>
      <w:r w:rsidRPr="00415C7C">
        <w:rPr>
          <w:rFonts w:ascii="AdvCaeciliaRm" w:hAnsi="AdvCaeciliaRm" w:cs="AdvCaeciliaRm"/>
          <w:color w:val="000000"/>
          <w:sz w:val="20"/>
          <w:szCs w:val="20"/>
        </w:rPr>
        <w:t>reported that no mutations</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were detected in alleles of seven microsatellite loci after</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 xml:space="preserve">400 d of continuous </w:t>
      </w:r>
      <w:r w:rsidRPr="00415C7C">
        <w:rPr>
          <w:rFonts w:ascii="AdvCaeciliaIt" w:hAnsi="AdvCaeciliaIt" w:cs="AdvCaeciliaIt"/>
          <w:color w:val="000000"/>
          <w:sz w:val="20"/>
          <w:szCs w:val="20"/>
        </w:rPr>
        <w:t xml:space="preserve">in vitro </w:t>
      </w:r>
      <w:r w:rsidRPr="00415C7C">
        <w:rPr>
          <w:rFonts w:ascii="AdvCaeciliaRm" w:hAnsi="AdvCaeciliaRm" w:cs="AdvCaeciliaRm"/>
          <w:color w:val="000000"/>
          <w:sz w:val="20"/>
          <w:szCs w:val="20"/>
        </w:rPr>
        <w:t>hyphal growth of 12 strains of</w:t>
      </w:r>
      <w:r w:rsidR="00D86CA0">
        <w:rPr>
          <w:rFonts w:ascii="AdvCaeciliaRm" w:hAnsi="AdvCaeciliaRm" w:cs="AdvCaeciliaRm"/>
          <w:color w:val="000000"/>
          <w:sz w:val="20"/>
          <w:szCs w:val="20"/>
        </w:rPr>
        <w:t xml:space="preserve"> </w:t>
      </w:r>
      <w:r w:rsidRPr="00415C7C">
        <w:rPr>
          <w:rFonts w:ascii="AdvCaeciliaRm" w:hAnsi="AdvCaeciliaRm" w:cs="AdvCaeciliaRm"/>
          <w:color w:val="000000"/>
          <w:sz w:val="20"/>
          <w:szCs w:val="20"/>
        </w:rPr>
        <w:t xml:space="preserve">the plant pathogenic ascomycete </w:t>
      </w:r>
      <w:r w:rsidRPr="00870FB1">
        <w:rPr>
          <w:rFonts w:ascii="AdvCaeciliaIt" w:hAnsi="AdvCaeciliaIt" w:cs="AdvCaeciliaIt"/>
          <w:color w:val="000000"/>
          <w:sz w:val="20"/>
          <w:szCs w:val="20"/>
          <w:highlight w:val="yellow"/>
        </w:rPr>
        <w:t>Sclerotinia sclerotiorum</w:t>
      </w:r>
      <w:r w:rsidRPr="00415C7C">
        <w:rPr>
          <w:rFonts w:ascii="AdvCaeciliaRm" w:hAnsi="AdvCaeciliaRm" w:cs="AdvCaeciliaRm"/>
          <w:color w:val="000000"/>
          <w:sz w:val="20"/>
          <w:szCs w:val="20"/>
        </w:rPr>
        <w:t>.</w:t>
      </w:r>
    </w:p>
    <w:p w:rsidR="0057424A" w:rsidRDefault="005127C3" w:rsidP="0057424A">
      <w:pPr>
        <w:rPr>
          <w:rFonts w:ascii="AdvCaeciliaRm" w:hAnsi="AdvCaeciliaRm" w:cs="AdvCaeciliaRm"/>
          <w:color w:val="000000"/>
          <w:sz w:val="16"/>
          <w:szCs w:val="16"/>
        </w:rPr>
      </w:pPr>
      <w:r>
        <w:rPr>
          <w:rFonts w:ascii="AdvCaceiliaHVY" w:hAnsi="AdvCaceiliaHVY" w:cs="AdvCaceiliaHVY"/>
          <w:sz w:val="19"/>
          <w:szCs w:val="19"/>
        </w:rPr>
        <w:t>Materials and methods</w:t>
      </w:r>
    </w:p>
    <w:p w:rsidR="0057424A" w:rsidRPr="00CA3122" w:rsidRDefault="00415C7C" w:rsidP="00415C7C">
      <w:pPr>
        <w:rPr>
          <w:rFonts w:ascii="AdvCaeciliaRm" w:hAnsi="AdvCaeciliaRm" w:cs="AdvCaeciliaRm"/>
          <w:color w:val="000000"/>
          <w:sz w:val="20"/>
          <w:szCs w:val="20"/>
        </w:rPr>
      </w:pPr>
      <w:r w:rsidRPr="00DE5202">
        <w:rPr>
          <w:rFonts w:ascii="AdvCaeciliaRm" w:hAnsi="AdvCaeciliaRm" w:cs="AdvCaeciliaRm"/>
          <w:color w:val="000000"/>
          <w:sz w:val="20"/>
          <w:szCs w:val="20"/>
        </w:rPr>
        <w:t>A total of 20 successive generations were produced for each</w:t>
      </w:r>
      <w:r w:rsidR="00D86CA0">
        <w:rPr>
          <w:rFonts w:ascii="AdvCaeciliaRm" w:hAnsi="AdvCaeciliaRm" w:cs="AdvCaeciliaRm"/>
          <w:color w:val="000000"/>
          <w:sz w:val="20"/>
          <w:szCs w:val="20"/>
        </w:rPr>
        <w:t xml:space="preserve"> </w:t>
      </w:r>
      <w:r w:rsidRPr="00DE5202">
        <w:rPr>
          <w:rFonts w:ascii="AdvCaeciliaRm" w:hAnsi="AdvCaeciliaRm" w:cs="AdvCaeciliaRm"/>
          <w:color w:val="000000"/>
          <w:sz w:val="20"/>
          <w:szCs w:val="20"/>
        </w:rPr>
        <w:t>type of PDA medium. On PDA medium supplemented with</w:t>
      </w:r>
      <w:r w:rsidR="00D86CA0">
        <w:rPr>
          <w:rFonts w:ascii="AdvCaeciliaRm" w:hAnsi="AdvCaeciliaRm" w:cs="AdvCaeciliaRm"/>
          <w:color w:val="000000"/>
          <w:sz w:val="20"/>
          <w:szCs w:val="20"/>
        </w:rPr>
        <w:t xml:space="preserve"> </w:t>
      </w:r>
      <w:proofErr w:type="spellStart"/>
      <w:r w:rsidRPr="00DE5202">
        <w:rPr>
          <w:rFonts w:ascii="AdvCaeciliaRm" w:hAnsi="AdvCaeciliaRm" w:cs="AdvCaeciliaRm"/>
          <w:color w:val="000000"/>
          <w:sz w:val="20"/>
          <w:szCs w:val="20"/>
        </w:rPr>
        <w:t>pyrrolnitrin</w:t>
      </w:r>
      <w:proofErr w:type="spellEnd"/>
      <w:r w:rsidRPr="00DE5202">
        <w:rPr>
          <w:rFonts w:ascii="AdvCaeciliaRm" w:hAnsi="AdvCaeciliaRm" w:cs="AdvCaeciliaRm"/>
          <w:color w:val="000000"/>
          <w:sz w:val="20"/>
          <w:szCs w:val="20"/>
        </w:rPr>
        <w:t xml:space="preserve"> or iprodione the first ten generations were produced</w:t>
      </w:r>
      <w:r w:rsidR="00D86CA0">
        <w:rPr>
          <w:rFonts w:ascii="AdvCaeciliaRm" w:hAnsi="AdvCaeciliaRm" w:cs="AdvCaeciliaRm"/>
          <w:color w:val="000000"/>
          <w:sz w:val="20"/>
          <w:szCs w:val="20"/>
        </w:rPr>
        <w:t xml:space="preserve"> </w:t>
      </w:r>
      <w:r w:rsidRPr="00DE5202">
        <w:rPr>
          <w:rFonts w:ascii="AdvCaeciliaRm" w:hAnsi="AdvCaeciliaRm" w:cs="AdvCaeciliaRm"/>
          <w:color w:val="000000"/>
          <w:sz w:val="20"/>
          <w:szCs w:val="20"/>
        </w:rPr>
        <w:t>using a constant concentration of the compound and</w:t>
      </w:r>
      <w:r w:rsidR="00D86CA0">
        <w:rPr>
          <w:rFonts w:ascii="AdvCaeciliaRm" w:hAnsi="AdvCaeciliaRm" w:cs="AdvCaeciliaRm"/>
          <w:color w:val="000000"/>
          <w:sz w:val="20"/>
          <w:szCs w:val="20"/>
        </w:rPr>
        <w:t xml:space="preserve"> </w:t>
      </w:r>
      <w:r w:rsidRPr="00DE5202">
        <w:rPr>
          <w:rFonts w:ascii="AdvCaeciliaRm" w:hAnsi="AdvCaeciliaRm" w:cs="AdvCaeciliaRm"/>
          <w:color w:val="000000"/>
          <w:sz w:val="20"/>
          <w:szCs w:val="20"/>
        </w:rPr>
        <w:t>the ten last generations were produced with increasing doses</w:t>
      </w:r>
      <w:r w:rsidR="00D86CA0">
        <w:rPr>
          <w:rFonts w:ascii="AdvCaeciliaRm" w:hAnsi="AdvCaeciliaRm" w:cs="AdvCaeciliaRm"/>
          <w:color w:val="000000"/>
          <w:sz w:val="20"/>
          <w:szCs w:val="20"/>
        </w:rPr>
        <w:t xml:space="preserve"> </w:t>
      </w:r>
      <w:r w:rsidRPr="00CA3122">
        <w:rPr>
          <w:rFonts w:ascii="AdvCaeciliaRm" w:hAnsi="AdvCaeciliaRm" w:cs="AdvCaeciliaRm"/>
          <w:color w:val="000000"/>
          <w:sz w:val="20"/>
          <w:szCs w:val="20"/>
        </w:rPr>
        <w:t>of the compound (</w:t>
      </w:r>
      <w:r w:rsidRPr="00CA3122">
        <w:rPr>
          <w:rFonts w:ascii="AdvCaeciliaRm" w:hAnsi="AdvCaeciliaRm" w:cs="AdvCaeciliaRm"/>
          <w:color w:val="000066"/>
          <w:sz w:val="20"/>
          <w:szCs w:val="20"/>
        </w:rPr>
        <w:t>Table 2</w:t>
      </w:r>
      <w:r w:rsidRPr="00CA3122">
        <w:rPr>
          <w:rFonts w:ascii="AdvCaeciliaRm" w:hAnsi="AdvCaeciliaRm" w:cs="AdvCaeciliaRm"/>
          <w:color w:val="000000"/>
          <w:sz w:val="20"/>
          <w:szCs w:val="20"/>
        </w:rPr>
        <w:t>).</w:t>
      </w:r>
    </w:p>
    <w:p w:rsidR="00DE5202" w:rsidRPr="00CA3122" w:rsidRDefault="00DE5202" w:rsidP="00DE5202">
      <w:pPr>
        <w:autoSpaceDE w:val="0"/>
        <w:autoSpaceDN w:val="0"/>
        <w:adjustRightInd w:val="0"/>
        <w:spacing w:after="0" w:line="240" w:lineRule="auto"/>
        <w:rPr>
          <w:rFonts w:ascii="AdvCaeciliaRm" w:hAnsi="AdvCaeciliaRm" w:cs="AdvCaeciliaRm"/>
          <w:sz w:val="20"/>
          <w:szCs w:val="20"/>
        </w:rPr>
      </w:pPr>
      <w:r w:rsidRPr="00CA3122">
        <w:rPr>
          <w:rFonts w:ascii="AdvCaeciliaRm" w:hAnsi="AdvCaeciliaRm" w:cs="AdvCaeciliaRm"/>
          <w:sz w:val="20"/>
          <w:szCs w:val="20"/>
        </w:rPr>
        <w:t>For some reasons after storage, some of the lineages</w:t>
      </w:r>
      <w:r w:rsidR="00D86CA0">
        <w:rPr>
          <w:rFonts w:ascii="AdvCaeciliaRm" w:hAnsi="AdvCaeciliaRm" w:cs="AdvCaeciliaRm"/>
          <w:sz w:val="20"/>
          <w:szCs w:val="20"/>
        </w:rPr>
        <w:t xml:space="preserve"> </w:t>
      </w:r>
      <w:r w:rsidRPr="00CA3122">
        <w:rPr>
          <w:rFonts w:ascii="AdvCaeciliaRm" w:hAnsi="AdvCaeciliaRm" w:cs="AdvCaeciliaRm"/>
          <w:sz w:val="20"/>
          <w:szCs w:val="20"/>
        </w:rPr>
        <w:t>produced were not able to grow anymore on PDA medium.</w:t>
      </w:r>
      <w:r w:rsidR="00D86CA0">
        <w:rPr>
          <w:rFonts w:ascii="AdvCaeciliaRm" w:hAnsi="AdvCaeciliaRm" w:cs="AdvCaeciliaRm"/>
          <w:sz w:val="20"/>
          <w:szCs w:val="20"/>
        </w:rPr>
        <w:t xml:space="preserve"> </w:t>
      </w:r>
      <w:r w:rsidRPr="00CA3122">
        <w:rPr>
          <w:rFonts w:ascii="AdvCaeciliaRm" w:hAnsi="AdvCaeciliaRm" w:cs="AdvCaeciliaRm"/>
          <w:sz w:val="20"/>
          <w:szCs w:val="20"/>
        </w:rPr>
        <w:t>Therefore they were not used for phenotypic and genotypic</w:t>
      </w:r>
      <w:r w:rsidR="00D86CA0">
        <w:rPr>
          <w:rFonts w:ascii="AdvCaeciliaRm" w:hAnsi="AdvCaeciliaRm" w:cs="AdvCaeciliaRm"/>
          <w:sz w:val="20"/>
          <w:szCs w:val="20"/>
        </w:rPr>
        <w:t xml:space="preserve"> </w:t>
      </w:r>
      <w:r w:rsidRPr="00CA3122">
        <w:rPr>
          <w:rFonts w:ascii="AdvCaeciliaRm" w:hAnsi="AdvCaeciliaRm" w:cs="AdvCaeciliaRm"/>
          <w:sz w:val="20"/>
          <w:szCs w:val="20"/>
        </w:rPr>
        <w:t>characterizations.</w:t>
      </w:r>
    </w:p>
    <w:p w:rsidR="0057424A" w:rsidRDefault="0057424A" w:rsidP="0057424A">
      <w:pPr>
        <w:rPr>
          <w:rFonts w:ascii="AdvP6EC0" w:hAnsi="AdvP6EC0" w:cs="AdvP6EC0"/>
          <w:color w:val="231F20"/>
          <w:sz w:val="18"/>
          <w:szCs w:val="18"/>
        </w:rPr>
      </w:pPr>
    </w:p>
    <w:p w:rsidR="00034238" w:rsidRPr="00CA3122" w:rsidRDefault="00CA3122" w:rsidP="00CA3122">
      <w:pPr>
        <w:rPr>
          <w:rFonts w:ascii="AdvP6EC0" w:hAnsi="AdvP6EC0" w:cs="AdvP6EC0"/>
          <w:color w:val="231F20"/>
          <w:sz w:val="20"/>
          <w:szCs w:val="20"/>
        </w:rPr>
      </w:pPr>
      <w:r w:rsidRPr="00CA3122">
        <w:rPr>
          <w:rFonts w:ascii="AdvCaeciliaBdIt" w:hAnsi="AdvCaeciliaBdIt" w:cs="AdvCaeciliaBdIt"/>
          <w:sz w:val="20"/>
          <w:szCs w:val="20"/>
        </w:rPr>
        <w:t>Microsatellite marker analyses</w:t>
      </w:r>
      <w:r w:rsidR="00D86CA0">
        <w:rPr>
          <w:rFonts w:ascii="AdvCaeciliaBdIt" w:hAnsi="AdvCaeciliaBdIt" w:cs="AdvCaeciliaBdIt"/>
          <w:sz w:val="20"/>
          <w:szCs w:val="20"/>
        </w:rPr>
        <w:t xml:space="preserve"> </w:t>
      </w:r>
      <w:proofErr w:type="gramStart"/>
      <w:r w:rsidRPr="00CA3122">
        <w:rPr>
          <w:rFonts w:ascii="AdvCaeciliaRm" w:hAnsi="AdvCaeciliaRm" w:cs="AdvCaeciliaRm"/>
          <w:sz w:val="20"/>
          <w:szCs w:val="20"/>
        </w:rPr>
        <w:t>To</w:t>
      </w:r>
      <w:proofErr w:type="gramEnd"/>
      <w:r w:rsidRPr="00CA3122">
        <w:rPr>
          <w:rFonts w:ascii="AdvCaeciliaRm" w:hAnsi="AdvCaeciliaRm" w:cs="AdvCaeciliaRm"/>
          <w:sz w:val="20"/>
          <w:szCs w:val="20"/>
        </w:rPr>
        <w:t xml:space="preserve"> assess the stability of microsatellites, the microsatellite</w:t>
      </w:r>
      <w:r w:rsidR="00D86CA0">
        <w:rPr>
          <w:rFonts w:ascii="AdvCaeciliaRm" w:hAnsi="AdvCaeciliaRm" w:cs="AdvCaeciliaRm"/>
          <w:sz w:val="20"/>
          <w:szCs w:val="20"/>
        </w:rPr>
        <w:t xml:space="preserve"> </w:t>
      </w:r>
      <w:r w:rsidRPr="00CA3122">
        <w:rPr>
          <w:rFonts w:ascii="AdvCaeciliaRm" w:hAnsi="AdvCaeciliaRm" w:cs="AdvCaeciliaRm"/>
          <w:sz w:val="20"/>
          <w:szCs w:val="20"/>
        </w:rPr>
        <w:t xml:space="preserve">profiles of the parent isolates (G0) on </w:t>
      </w:r>
      <w:proofErr w:type="spellStart"/>
      <w:r w:rsidRPr="00CA3122">
        <w:rPr>
          <w:rFonts w:ascii="AdvCaeciliaRm" w:hAnsi="AdvCaeciliaRm" w:cs="AdvCaeciliaRm"/>
          <w:sz w:val="20"/>
          <w:szCs w:val="20"/>
        </w:rPr>
        <w:t>pyrrolnitrin</w:t>
      </w:r>
      <w:proofErr w:type="spellEnd"/>
      <w:r w:rsidRPr="00CA3122">
        <w:rPr>
          <w:rFonts w:ascii="AdvCaeciliaRm" w:hAnsi="AdvCaeciliaRm" w:cs="AdvCaeciliaRm"/>
          <w:sz w:val="20"/>
          <w:szCs w:val="20"/>
        </w:rPr>
        <w:t xml:space="preserve"> (G10P and G20P), on iprodione (G20I)</w:t>
      </w:r>
      <w:r w:rsidR="00D86CA0">
        <w:rPr>
          <w:rFonts w:ascii="AdvCaeciliaRm" w:hAnsi="AdvCaeciliaRm" w:cs="AdvCaeciliaRm"/>
          <w:sz w:val="20"/>
          <w:szCs w:val="20"/>
        </w:rPr>
        <w:t xml:space="preserve"> </w:t>
      </w:r>
      <w:r w:rsidRPr="00CA3122">
        <w:rPr>
          <w:rFonts w:ascii="AdvCaeciliaRm" w:hAnsi="AdvCaeciliaRm" w:cs="AdvCaeciliaRm"/>
          <w:sz w:val="20"/>
          <w:szCs w:val="20"/>
        </w:rPr>
        <w:t>and in condition of nutritive stress (G10N).</w:t>
      </w:r>
    </w:p>
    <w:p w:rsidR="00631165" w:rsidRDefault="00631165" w:rsidP="004B6A04">
      <w:pPr>
        <w:autoSpaceDE w:val="0"/>
        <w:autoSpaceDN w:val="0"/>
        <w:adjustRightInd w:val="0"/>
        <w:spacing w:after="0" w:line="240" w:lineRule="auto"/>
        <w:rPr>
          <w:rFonts w:ascii="AdvCaeciliaRm" w:hAnsi="AdvCaeciliaRm" w:cs="AdvCaeciliaRm"/>
          <w:sz w:val="20"/>
          <w:szCs w:val="20"/>
        </w:rPr>
      </w:pPr>
    </w:p>
    <w:p w:rsidR="00631165" w:rsidRDefault="00631165" w:rsidP="00631165">
      <w:pPr>
        <w:autoSpaceDE w:val="0"/>
        <w:autoSpaceDN w:val="0"/>
        <w:adjustRightInd w:val="0"/>
        <w:spacing w:after="0" w:line="240" w:lineRule="auto"/>
        <w:rPr>
          <w:rFonts w:ascii="AdvCaceiliaHVY" w:hAnsi="AdvCaceiliaHVY" w:cs="AdvCaceiliaHVY"/>
          <w:sz w:val="19"/>
          <w:szCs w:val="19"/>
        </w:rPr>
      </w:pPr>
      <w:r>
        <w:rPr>
          <w:rFonts w:ascii="AdvCaceiliaHVY" w:hAnsi="AdvCaceiliaHVY" w:cs="AdvCaceiliaHVY"/>
          <w:sz w:val="19"/>
          <w:szCs w:val="19"/>
        </w:rPr>
        <w:t>Results</w:t>
      </w:r>
    </w:p>
    <w:p w:rsidR="00631165" w:rsidRDefault="00631165" w:rsidP="00631165">
      <w:pPr>
        <w:autoSpaceDE w:val="0"/>
        <w:autoSpaceDN w:val="0"/>
        <w:adjustRightInd w:val="0"/>
        <w:spacing w:after="0" w:line="240" w:lineRule="auto"/>
        <w:rPr>
          <w:rFonts w:ascii="AdvCaeciliaRm" w:hAnsi="AdvCaeciliaRm" w:cs="AdvCaeciliaRm"/>
          <w:sz w:val="20"/>
          <w:szCs w:val="20"/>
        </w:rPr>
      </w:pPr>
      <w:r>
        <w:rPr>
          <w:rFonts w:ascii="AdvCaeciliaBdIt" w:hAnsi="AdvCaeciliaBdIt" w:cs="AdvCaeciliaBdIt"/>
          <w:sz w:val="17"/>
          <w:szCs w:val="17"/>
        </w:rPr>
        <w:lastRenderedPageBreak/>
        <w:t>Phenotypic changes</w:t>
      </w:r>
    </w:p>
    <w:p w:rsidR="00034238" w:rsidRPr="004B6A04" w:rsidRDefault="004B6A04" w:rsidP="004B6A04">
      <w:pPr>
        <w:rPr>
          <w:rFonts w:ascii="AdvP6EC0" w:hAnsi="AdvP6EC0" w:cs="AdvP6EC0"/>
          <w:color w:val="231F20"/>
          <w:sz w:val="20"/>
          <w:szCs w:val="20"/>
        </w:rPr>
      </w:pPr>
      <w:r w:rsidRPr="004B6A04">
        <w:rPr>
          <w:rFonts w:ascii="AdvCaeciliaRm" w:hAnsi="AdvCaeciliaRm" w:cs="AdvCaeciliaRm"/>
          <w:sz w:val="20"/>
          <w:szCs w:val="20"/>
        </w:rPr>
        <w:t xml:space="preserve">The two isolates sensitive to iprodione and </w:t>
      </w:r>
      <w:proofErr w:type="spellStart"/>
      <w:r w:rsidRPr="004B6A04">
        <w:rPr>
          <w:rFonts w:ascii="AdvCaeciliaRm" w:hAnsi="AdvCaeciliaRm" w:cs="AdvCaeciliaRm"/>
          <w:color w:val="000000"/>
          <w:sz w:val="20"/>
          <w:szCs w:val="20"/>
        </w:rPr>
        <w:t>dicloran</w:t>
      </w:r>
      <w:proofErr w:type="spellEnd"/>
      <w:r w:rsidRPr="004B6A04">
        <w:rPr>
          <w:rFonts w:ascii="AdvCaeciliaRm" w:hAnsi="AdvCaeciliaRm" w:cs="AdvCaeciliaRm"/>
          <w:color w:val="000000"/>
          <w:sz w:val="20"/>
          <w:szCs w:val="20"/>
        </w:rPr>
        <w:t xml:space="preserve"> (BC25 and H6) acquired resistance to these fungicides</w:t>
      </w:r>
      <w:r w:rsidR="00D86CA0">
        <w:rPr>
          <w:rFonts w:ascii="AdvCaeciliaRm" w:hAnsi="AdvCaeciliaRm" w:cs="AdvCaeciliaRm"/>
          <w:color w:val="000000"/>
          <w:sz w:val="20"/>
          <w:szCs w:val="20"/>
        </w:rPr>
        <w:t xml:space="preserve"> </w:t>
      </w:r>
      <w:r w:rsidRPr="004B6A04">
        <w:rPr>
          <w:rFonts w:ascii="AdvCaeciliaRm" w:hAnsi="AdvCaeciliaRm" w:cs="AdvCaeciliaRm"/>
          <w:color w:val="000000"/>
          <w:sz w:val="20"/>
          <w:szCs w:val="20"/>
        </w:rPr>
        <w:t xml:space="preserve">when grown on medium amended with </w:t>
      </w:r>
      <w:proofErr w:type="spellStart"/>
      <w:r w:rsidRPr="004B6A04">
        <w:rPr>
          <w:rFonts w:ascii="AdvCaeciliaRm" w:hAnsi="AdvCaeciliaRm" w:cs="AdvCaeciliaRm"/>
          <w:color w:val="000000"/>
          <w:sz w:val="20"/>
          <w:szCs w:val="20"/>
        </w:rPr>
        <w:t>pyrrolnitrin</w:t>
      </w:r>
      <w:proofErr w:type="spellEnd"/>
      <w:r w:rsidRPr="004B6A04">
        <w:rPr>
          <w:rFonts w:ascii="AdvCaeciliaRm" w:hAnsi="AdvCaeciliaRm" w:cs="AdvCaeciliaRm"/>
          <w:color w:val="000000"/>
          <w:sz w:val="20"/>
          <w:szCs w:val="20"/>
        </w:rPr>
        <w:t xml:space="preserve"> (G20P) or</w:t>
      </w:r>
      <w:r w:rsidR="00D86CA0">
        <w:rPr>
          <w:rFonts w:ascii="AdvCaeciliaRm" w:hAnsi="AdvCaeciliaRm" w:cs="AdvCaeciliaRm"/>
          <w:color w:val="000000"/>
          <w:sz w:val="20"/>
          <w:szCs w:val="20"/>
        </w:rPr>
        <w:t xml:space="preserve"> </w:t>
      </w:r>
      <w:r w:rsidRPr="004B6A04">
        <w:rPr>
          <w:rFonts w:ascii="AdvCaeciliaRm" w:hAnsi="AdvCaeciliaRm" w:cs="AdvCaeciliaRm"/>
          <w:color w:val="000000"/>
          <w:sz w:val="20"/>
          <w:szCs w:val="20"/>
        </w:rPr>
        <w:t>iprodione (G20I) (</w:t>
      </w:r>
      <w:r w:rsidRPr="004B6A04">
        <w:rPr>
          <w:rFonts w:ascii="AdvCaeciliaRm" w:hAnsi="AdvCaeciliaRm" w:cs="AdvCaeciliaRm"/>
          <w:color w:val="000066"/>
          <w:sz w:val="20"/>
          <w:szCs w:val="20"/>
        </w:rPr>
        <w:t>Table 3</w:t>
      </w:r>
      <w:r w:rsidRPr="004B6A04">
        <w:rPr>
          <w:rFonts w:ascii="AdvCaeciliaRm" w:hAnsi="AdvCaeciliaRm" w:cs="AdvCaeciliaRm"/>
          <w:color w:val="000000"/>
          <w:sz w:val="20"/>
          <w:szCs w:val="20"/>
        </w:rPr>
        <w:t>). Finally, no changes in the resistance</w:t>
      </w:r>
      <w:r w:rsidR="00D86CA0">
        <w:rPr>
          <w:rFonts w:ascii="AdvCaeciliaRm" w:hAnsi="AdvCaeciliaRm" w:cs="AdvCaeciliaRm"/>
          <w:color w:val="000000"/>
          <w:sz w:val="20"/>
          <w:szCs w:val="20"/>
        </w:rPr>
        <w:t xml:space="preserve"> </w:t>
      </w:r>
      <w:r w:rsidRPr="004B6A04">
        <w:rPr>
          <w:rFonts w:ascii="AdvCaeciliaRm" w:hAnsi="AdvCaeciliaRm" w:cs="AdvCaeciliaRm"/>
          <w:color w:val="000000"/>
          <w:sz w:val="20"/>
          <w:szCs w:val="20"/>
        </w:rPr>
        <w:t xml:space="preserve">of </w:t>
      </w:r>
      <w:proofErr w:type="spellStart"/>
      <w:r w:rsidRPr="004B6A04">
        <w:rPr>
          <w:rFonts w:ascii="AdvCaeciliaRm" w:hAnsi="AdvCaeciliaRm" w:cs="AdvCaeciliaRm"/>
          <w:color w:val="000000"/>
          <w:sz w:val="20"/>
          <w:szCs w:val="20"/>
        </w:rPr>
        <w:t>carbendazim</w:t>
      </w:r>
      <w:proofErr w:type="spellEnd"/>
      <w:r w:rsidRPr="004B6A04">
        <w:rPr>
          <w:rFonts w:ascii="AdvCaeciliaRm" w:hAnsi="AdvCaeciliaRm" w:cs="AdvCaeciliaRm"/>
          <w:color w:val="000000"/>
          <w:sz w:val="20"/>
          <w:szCs w:val="20"/>
        </w:rPr>
        <w:t xml:space="preserve"> were observed (</w:t>
      </w:r>
      <w:r w:rsidRPr="004B6A04">
        <w:rPr>
          <w:rFonts w:ascii="AdvCaeciliaRm" w:hAnsi="AdvCaeciliaRm" w:cs="AdvCaeciliaRm"/>
          <w:color w:val="000066"/>
          <w:sz w:val="20"/>
          <w:szCs w:val="20"/>
        </w:rPr>
        <w:t>Table 3</w:t>
      </w:r>
      <w:r w:rsidRPr="004B6A04">
        <w:rPr>
          <w:rFonts w:ascii="AdvCaeciliaRm" w:hAnsi="AdvCaeciliaRm" w:cs="AdvCaeciliaRm"/>
          <w:color w:val="000000"/>
          <w:sz w:val="20"/>
          <w:szCs w:val="20"/>
        </w:rPr>
        <w:t>). In parallel a modification</w:t>
      </w:r>
      <w:r w:rsidR="00D86CA0">
        <w:rPr>
          <w:rFonts w:ascii="AdvCaeciliaRm" w:hAnsi="AdvCaeciliaRm" w:cs="AdvCaeciliaRm"/>
          <w:color w:val="000000"/>
          <w:sz w:val="20"/>
          <w:szCs w:val="20"/>
        </w:rPr>
        <w:t xml:space="preserve"> </w:t>
      </w:r>
      <w:r w:rsidRPr="004B6A04">
        <w:rPr>
          <w:rFonts w:ascii="AdvCaeciliaRm" w:hAnsi="AdvCaeciliaRm" w:cs="AdvCaeciliaRm"/>
          <w:color w:val="000000"/>
          <w:sz w:val="20"/>
          <w:szCs w:val="20"/>
        </w:rPr>
        <w:t>in the level of aggressiveness on apple fruits and tomato</w:t>
      </w:r>
      <w:r w:rsidR="00D86CA0">
        <w:rPr>
          <w:rFonts w:ascii="AdvCaeciliaRm" w:hAnsi="AdvCaeciliaRm" w:cs="AdvCaeciliaRm"/>
          <w:color w:val="000000"/>
          <w:sz w:val="20"/>
          <w:szCs w:val="20"/>
        </w:rPr>
        <w:t xml:space="preserve"> </w:t>
      </w:r>
      <w:r w:rsidRPr="004B6A04">
        <w:rPr>
          <w:rFonts w:ascii="AdvCaeciliaRm" w:hAnsi="AdvCaeciliaRm" w:cs="AdvCaeciliaRm"/>
          <w:color w:val="000000"/>
          <w:sz w:val="20"/>
          <w:szCs w:val="20"/>
        </w:rPr>
        <w:t>plants was observed: the generations that acquired a resistance</w:t>
      </w:r>
      <w:r w:rsidR="00D86CA0">
        <w:rPr>
          <w:rFonts w:ascii="AdvCaeciliaRm" w:hAnsi="AdvCaeciliaRm" w:cs="AdvCaeciliaRm"/>
          <w:color w:val="000000"/>
          <w:sz w:val="20"/>
          <w:szCs w:val="20"/>
        </w:rPr>
        <w:t xml:space="preserve"> </w:t>
      </w:r>
      <w:r w:rsidRPr="004B6A04">
        <w:rPr>
          <w:rFonts w:ascii="AdvCaeciliaRm" w:hAnsi="AdvCaeciliaRm" w:cs="AdvCaeciliaRm"/>
          <w:color w:val="000000"/>
          <w:sz w:val="20"/>
          <w:szCs w:val="20"/>
        </w:rPr>
        <w:t xml:space="preserve">to </w:t>
      </w:r>
      <w:proofErr w:type="spellStart"/>
      <w:r w:rsidRPr="004B6A04">
        <w:rPr>
          <w:rFonts w:ascii="AdvCaeciliaRm" w:hAnsi="AdvCaeciliaRm" w:cs="AdvCaeciliaRm"/>
          <w:color w:val="000000"/>
          <w:sz w:val="20"/>
          <w:szCs w:val="20"/>
        </w:rPr>
        <w:t>pyrrolnitrin</w:t>
      </w:r>
      <w:proofErr w:type="spellEnd"/>
      <w:r w:rsidRPr="004B6A04">
        <w:rPr>
          <w:rFonts w:ascii="AdvCaeciliaRm" w:hAnsi="AdvCaeciliaRm" w:cs="AdvCaeciliaRm"/>
          <w:color w:val="000000"/>
          <w:sz w:val="20"/>
          <w:szCs w:val="20"/>
        </w:rPr>
        <w:t xml:space="preserve"> (G20P) were less aggressive compared</w:t>
      </w:r>
      <w:r w:rsidR="00D86CA0">
        <w:rPr>
          <w:rFonts w:ascii="AdvCaeciliaRm" w:hAnsi="AdvCaeciliaRm" w:cs="AdvCaeciliaRm"/>
          <w:color w:val="000000"/>
          <w:sz w:val="20"/>
          <w:szCs w:val="20"/>
        </w:rPr>
        <w:t xml:space="preserve"> </w:t>
      </w:r>
      <w:r w:rsidRPr="004B6A04">
        <w:rPr>
          <w:rFonts w:ascii="AdvCaeciliaRm" w:hAnsi="AdvCaeciliaRm" w:cs="AdvCaeciliaRm"/>
          <w:color w:val="000000"/>
          <w:sz w:val="20"/>
          <w:szCs w:val="20"/>
        </w:rPr>
        <w:t>to the corresponding control G0 isolates suggesting a fitness</w:t>
      </w:r>
      <w:r w:rsidR="00D86CA0">
        <w:rPr>
          <w:rFonts w:ascii="AdvCaeciliaRm" w:hAnsi="AdvCaeciliaRm" w:cs="AdvCaeciliaRm"/>
          <w:color w:val="000000"/>
          <w:sz w:val="20"/>
          <w:szCs w:val="20"/>
        </w:rPr>
        <w:t xml:space="preserve"> </w:t>
      </w:r>
      <w:r w:rsidRPr="004B6A04">
        <w:rPr>
          <w:rFonts w:ascii="AdvCaeciliaRm" w:hAnsi="AdvCaeciliaRm" w:cs="AdvCaeciliaRm"/>
          <w:color w:val="000000"/>
          <w:sz w:val="20"/>
          <w:szCs w:val="20"/>
        </w:rPr>
        <w:t xml:space="preserve">cost of resistance to </w:t>
      </w:r>
      <w:proofErr w:type="spellStart"/>
      <w:r w:rsidRPr="004B6A04">
        <w:rPr>
          <w:rFonts w:ascii="AdvCaeciliaRm" w:hAnsi="AdvCaeciliaRm" w:cs="AdvCaeciliaRm"/>
          <w:color w:val="000000"/>
          <w:sz w:val="20"/>
          <w:szCs w:val="20"/>
        </w:rPr>
        <w:t>pyrrolnitrin</w:t>
      </w:r>
      <w:proofErr w:type="spellEnd"/>
      <w:r w:rsidRPr="004B6A04">
        <w:rPr>
          <w:rFonts w:ascii="AdvCaeciliaRm" w:hAnsi="AdvCaeciliaRm" w:cs="AdvCaeciliaRm"/>
          <w:color w:val="000000"/>
          <w:sz w:val="20"/>
          <w:szCs w:val="20"/>
        </w:rPr>
        <w:t xml:space="preserve"> (</w:t>
      </w:r>
      <w:r w:rsidRPr="004B6A04">
        <w:rPr>
          <w:rFonts w:ascii="AdvCaeciliaRm" w:hAnsi="AdvCaeciliaRm" w:cs="AdvCaeciliaRm"/>
          <w:color w:val="000066"/>
          <w:sz w:val="20"/>
          <w:szCs w:val="20"/>
        </w:rPr>
        <w:t>Table 3</w:t>
      </w:r>
      <w:r w:rsidRPr="004B6A04">
        <w:rPr>
          <w:rFonts w:ascii="AdvCaeciliaRm" w:hAnsi="AdvCaeciliaRm" w:cs="AdvCaeciliaRm"/>
          <w:color w:val="000000"/>
          <w:sz w:val="20"/>
          <w:szCs w:val="20"/>
        </w:rPr>
        <w:t>).</w:t>
      </w:r>
    </w:p>
    <w:p w:rsidR="00034238" w:rsidRDefault="00631165" w:rsidP="004B6A04">
      <w:pPr>
        <w:rPr>
          <w:rFonts w:ascii="AdvCaeciliaRm" w:hAnsi="AdvCaeciliaRm" w:cs="AdvCaeciliaRm"/>
          <w:color w:val="000000"/>
          <w:sz w:val="20"/>
          <w:szCs w:val="20"/>
        </w:rPr>
      </w:pPr>
      <w:r w:rsidRPr="00631165">
        <w:rPr>
          <w:rFonts w:ascii="AdvCaeciliaRm" w:hAnsi="AdvCaeciliaRm" w:cs="AdvCaeciliaRm"/>
          <w:sz w:val="20"/>
          <w:szCs w:val="20"/>
        </w:rPr>
        <w:t>For each isolate, after</w:t>
      </w:r>
      <w:r w:rsidR="00D86CA0">
        <w:rPr>
          <w:rFonts w:ascii="AdvCaeciliaRm" w:hAnsi="AdvCaeciliaRm" w:cs="AdvCaeciliaRm"/>
          <w:sz w:val="20"/>
          <w:szCs w:val="20"/>
        </w:rPr>
        <w:t xml:space="preserve"> </w:t>
      </w:r>
      <w:r w:rsidRPr="00631165">
        <w:rPr>
          <w:rFonts w:ascii="AdvCaeciliaRm" w:hAnsi="AdvCaeciliaRm" w:cs="AdvCaeciliaRm"/>
          <w:sz w:val="20"/>
          <w:szCs w:val="20"/>
        </w:rPr>
        <w:t xml:space="preserve">the generations </w:t>
      </w:r>
      <w:proofErr w:type="spellStart"/>
      <w:r w:rsidRPr="00631165">
        <w:rPr>
          <w:rFonts w:ascii="AdvCaeciliaRm" w:hAnsi="AdvCaeciliaRm" w:cs="AdvCaeciliaRm"/>
          <w:sz w:val="20"/>
          <w:szCs w:val="20"/>
        </w:rPr>
        <w:t>realised</w:t>
      </w:r>
      <w:proofErr w:type="spellEnd"/>
      <w:r w:rsidRPr="00631165">
        <w:rPr>
          <w:rFonts w:ascii="AdvCaeciliaRm" w:hAnsi="AdvCaeciliaRm" w:cs="AdvCaeciliaRm"/>
          <w:sz w:val="20"/>
          <w:szCs w:val="20"/>
        </w:rPr>
        <w:t xml:space="preserve"> on rich PDA medium (G20C), poor glucose</w:t>
      </w:r>
      <w:r w:rsidR="00D86CA0">
        <w:rPr>
          <w:rFonts w:ascii="AdvCaeciliaRm" w:hAnsi="AdvCaeciliaRm" w:cs="AdvCaeciliaRm"/>
          <w:sz w:val="20"/>
          <w:szCs w:val="20"/>
        </w:rPr>
        <w:t xml:space="preserve"> </w:t>
      </w:r>
      <w:r w:rsidRPr="00631165">
        <w:rPr>
          <w:rFonts w:ascii="AdvCaeciliaRm" w:hAnsi="AdvCaeciliaRm" w:cs="AdvCaeciliaRm"/>
          <w:sz w:val="20"/>
          <w:szCs w:val="20"/>
        </w:rPr>
        <w:t xml:space="preserve">medium (G10N), </w:t>
      </w:r>
      <w:proofErr w:type="spellStart"/>
      <w:r w:rsidRPr="00631165">
        <w:rPr>
          <w:rFonts w:ascii="AdvCaeciliaRm" w:hAnsi="AdvCaeciliaRm" w:cs="AdvCaeciliaRm"/>
          <w:sz w:val="20"/>
          <w:szCs w:val="20"/>
        </w:rPr>
        <w:t>pyrrolnitrin</w:t>
      </w:r>
      <w:proofErr w:type="spellEnd"/>
      <w:r w:rsidRPr="00631165">
        <w:rPr>
          <w:rFonts w:ascii="AdvCaeciliaRm" w:hAnsi="AdvCaeciliaRm" w:cs="AdvCaeciliaRm"/>
          <w:sz w:val="20"/>
          <w:szCs w:val="20"/>
        </w:rPr>
        <w:t>-amended medium (G10P</w:t>
      </w:r>
      <w:r w:rsidR="00D86CA0">
        <w:rPr>
          <w:rFonts w:ascii="AdvCaeciliaRm" w:hAnsi="AdvCaeciliaRm" w:cs="AdvCaeciliaRm"/>
          <w:sz w:val="20"/>
          <w:szCs w:val="20"/>
        </w:rPr>
        <w:t xml:space="preserve"> </w:t>
      </w:r>
      <w:r w:rsidRPr="00631165">
        <w:rPr>
          <w:rFonts w:ascii="AdvCaeciliaRm" w:hAnsi="AdvCaeciliaRm" w:cs="AdvCaeciliaRm"/>
          <w:sz w:val="20"/>
          <w:szCs w:val="20"/>
        </w:rPr>
        <w:t>and G20P) or iprodione-amended medium (G20I), the</w:t>
      </w:r>
      <w:r>
        <w:rPr>
          <w:rFonts w:ascii="AdvCaeciliaRm" w:hAnsi="AdvCaeciliaRm" w:cs="AdvCaeciliaRm"/>
          <w:sz w:val="16"/>
          <w:szCs w:val="16"/>
        </w:rPr>
        <w:t xml:space="preserve"> </w:t>
      </w:r>
      <w:r w:rsidR="004B6A04" w:rsidRPr="004B6A04">
        <w:rPr>
          <w:rFonts w:ascii="AdvCaeciliaRm" w:hAnsi="AdvCaeciliaRm" w:cs="AdvCaeciliaRm"/>
          <w:color w:val="000000"/>
          <w:sz w:val="20"/>
          <w:szCs w:val="20"/>
        </w:rPr>
        <w:t>amplicons obtained were all of similar sizes at the nine microsatellite</w:t>
      </w:r>
      <w:r w:rsidR="00D86CA0">
        <w:rPr>
          <w:rFonts w:ascii="AdvCaeciliaRm" w:hAnsi="AdvCaeciliaRm" w:cs="AdvCaeciliaRm"/>
          <w:color w:val="000000"/>
          <w:sz w:val="20"/>
          <w:szCs w:val="20"/>
        </w:rPr>
        <w:t xml:space="preserve"> </w:t>
      </w:r>
      <w:r w:rsidR="004B6A04" w:rsidRPr="004B6A04">
        <w:rPr>
          <w:rFonts w:ascii="AdvCaeciliaRm" w:hAnsi="AdvCaeciliaRm" w:cs="AdvCaeciliaRm"/>
          <w:color w:val="000000"/>
          <w:sz w:val="20"/>
          <w:szCs w:val="20"/>
        </w:rPr>
        <w:t>loci whatever the motif and the size of the microsatellites</w:t>
      </w:r>
      <w:r w:rsidR="00D86CA0">
        <w:rPr>
          <w:rFonts w:ascii="AdvCaeciliaRm" w:hAnsi="AdvCaeciliaRm" w:cs="AdvCaeciliaRm"/>
          <w:color w:val="000000"/>
          <w:sz w:val="20"/>
          <w:szCs w:val="20"/>
        </w:rPr>
        <w:t xml:space="preserve"> </w:t>
      </w:r>
      <w:r w:rsidR="004B6A04" w:rsidRPr="004B6A04">
        <w:rPr>
          <w:rFonts w:ascii="AdvCaeciliaRm" w:hAnsi="AdvCaeciliaRm" w:cs="AdvCaeciliaRm"/>
          <w:color w:val="000000"/>
          <w:sz w:val="20"/>
          <w:szCs w:val="20"/>
        </w:rPr>
        <w:t>core repeat are (</w:t>
      </w:r>
      <w:r w:rsidR="004B6A04" w:rsidRPr="004B6A04">
        <w:rPr>
          <w:rFonts w:ascii="AdvCaeciliaRm" w:hAnsi="AdvCaeciliaRm" w:cs="AdvCaeciliaRm"/>
          <w:color w:val="000066"/>
          <w:sz w:val="20"/>
          <w:szCs w:val="20"/>
        </w:rPr>
        <w:t>Table 4</w:t>
      </w:r>
      <w:r w:rsidR="004B6A04" w:rsidRPr="004B6A04">
        <w:rPr>
          <w:rFonts w:ascii="AdvCaeciliaRm" w:hAnsi="AdvCaeciliaRm" w:cs="AdvCaeciliaRm"/>
          <w:color w:val="000000"/>
          <w:sz w:val="20"/>
          <w:szCs w:val="20"/>
        </w:rPr>
        <w:t>). The haplotypes remained</w:t>
      </w:r>
      <w:r w:rsidR="00D86CA0">
        <w:rPr>
          <w:rFonts w:ascii="AdvCaeciliaRm" w:hAnsi="AdvCaeciliaRm" w:cs="AdvCaeciliaRm"/>
          <w:color w:val="000000"/>
          <w:sz w:val="20"/>
          <w:szCs w:val="20"/>
        </w:rPr>
        <w:t xml:space="preserve"> </w:t>
      </w:r>
      <w:r w:rsidR="004B6A04" w:rsidRPr="004B6A04">
        <w:rPr>
          <w:rFonts w:ascii="AdvCaeciliaRm" w:hAnsi="AdvCaeciliaRm" w:cs="AdvCaeciliaRm"/>
          <w:color w:val="000000"/>
          <w:sz w:val="20"/>
          <w:szCs w:val="20"/>
        </w:rPr>
        <w:t>identical whatever the selective pressure endured by the fungus,</w:t>
      </w:r>
      <w:r w:rsidR="00D86CA0">
        <w:rPr>
          <w:rFonts w:ascii="AdvCaeciliaRm" w:hAnsi="AdvCaeciliaRm" w:cs="AdvCaeciliaRm"/>
          <w:color w:val="000000"/>
          <w:sz w:val="20"/>
          <w:szCs w:val="20"/>
        </w:rPr>
        <w:t xml:space="preserve"> </w:t>
      </w:r>
      <w:r w:rsidR="004B6A04" w:rsidRPr="004B6A04">
        <w:rPr>
          <w:rFonts w:ascii="AdvCaeciliaRm" w:hAnsi="AdvCaeciliaRm" w:cs="AdvCaeciliaRm"/>
          <w:color w:val="000000"/>
          <w:sz w:val="20"/>
          <w:szCs w:val="20"/>
        </w:rPr>
        <w:t>revealing a good stability of the microsatellites genetic</w:t>
      </w:r>
      <w:r w:rsidR="00D86CA0">
        <w:rPr>
          <w:rFonts w:ascii="AdvCaeciliaRm" w:hAnsi="AdvCaeciliaRm" w:cs="AdvCaeciliaRm"/>
          <w:color w:val="000000"/>
          <w:sz w:val="20"/>
          <w:szCs w:val="20"/>
        </w:rPr>
        <w:t xml:space="preserve"> </w:t>
      </w:r>
      <w:r w:rsidR="004B6A04" w:rsidRPr="004B6A04">
        <w:rPr>
          <w:rFonts w:ascii="AdvCaeciliaRm" w:hAnsi="AdvCaeciliaRm" w:cs="AdvCaeciliaRm"/>
          <w:color w:val="000000"/>
          <w:sz w:val="20"/>
          <w:szCs w:val="20"/>
        </w:rPr>
        <w:t xml:space="preserve">markers in </w:t>
      </w:r>
      <w:r w:rsidR="004B6A04" w:rsidRPr="004B6A04">
        <w:rPr>
          <w:rFonts w:ascii="AdvCaeciliaIt" w:hAnsi="AdvCaeciliaIt" w:cs="AdvCaeciliaIt"/>
          <w:color w:val="000000"/>
          <w:sz w:val="20"/>
          <w:szCs w:val="20"/>
        </w:rPr>
        <w:t xml:space="preserve">Botrytis </w:t>
      </w:r>
      <w:proofErr w:type="spellStart"/>
      <w:r w:rsidR="004B6A04" w:rsidRPr="004B6A04">
        <w:rPr>
          <w:rFonts w:ascii="AdvCaeciliaIt" w:hAnsi="AdvCaeciliaIt" w:cs="AdvCaeciliaIt"/>
          <w:color w:val="000000"/>
          <w:sz w:val="20"/>
          <w:szCs w:val="20"/>
        </w:rPr>
        <w:t>cinerea</w:t>
      </w:r>
      <w:proofErr w:type="spellEnd"/>
      <w:r w:rsidR="004B6A04" w:rsidRPr="004B6A04">
        <w:rPr>
          <w:rFonts w:ascii="AdvCaeciliaIt" w:hAnsi="AdvCaeciliaIt" w:cs="AdvCaeciliaIt"/>
          <w:color w:val="000000"/>
          <w:sz w:val="20"/>
          <w:szCs w:val="20"/>
        </w:rPr>
        <w:t xml:space="preserve"> </w:t>
      </w:r>
      <w:r w:rsidR="004B6A04" w:rsidRPr="004B6A04">
        <w:rPr>
          <w:rFonts w:ascii="AdvCaeciliaRm" w:hAnsi="AdvCaeciliaRm" w:cs="AdvCaeciliaRm"/>
          <w:color w:val="000000"/>
          <w:sz w:val="20"/>
          <w:szCs w:val="20"/>
        </w:rPr>
        <w:t>isolates (</w:t>
      </w:r>
      <w:r w:rsidR="004B6A04" w:rsidRPr="004B6A04">
        <w:rPr>
          <w:rFonts w:ascii="AdvCaeciliaRm" w:hAnsi="AdvCaeciliaRm" w:cs="AdvCaeciliaRm"/>
          <w:color w:val="000066"/>
          <w:sz w:val="20"/>
          <w:szCs w:val="20"/>
        </w:rPr>
        <w:t>Table 4</w:t>
      </w:r>
      <w:r w:rsidR="004B6A04" w:rsidRPr="004B6A04">
        <w:rPr>
          <w:rFonts w:ascii="AdvCaeciliaRm" w:hAnsi="AdvCaeciliaRm" w:cs="AdvCaeciliaRm"/>
          <w:color w:val="000000"/>
          <w:sz w:val="20"/>
          <w:szCs w:val="20"/>
        </w:rPr>
        <w:t>).</w:t>
      </w:r>
    </w:p>
    <w:p w:rsidR="00631165" w:rsidRPr="004B6A04" w:rsidRDefault="00631165" w:rsidP="004B6A04">
      <w:pPr>
        <w:rPr>
          <w:rFonts w:ascii="AdvP6EC0" w:hAnsi="AdvP6EC0" w:cs="AdvP6EC0"/>
          <w:color w:val="231F20"/>
          <w:sz w:val="20"/>
          <w:szCs w:val="20"/>
        </w:rPr>
      </w:pPr>
    </w:p>
    <w:p w:rsidR="00034238" w:rsidRPr="00482A0E" w:rsidRDefault="00631165" w:rsidP="00631165">
      <w:pPr>
        <w:rPr>
          <w:rFonts w:ascii="AdvCaeciliaRm" w:hAnsi="AdvCaeciliaRm" w:cs="AdvCaeciliaRm"/>
        </w:rPr>
      </w:pPr>
      <w:r w:rsidRPr="00482A0E">
        <w:rPr>
          <w:rFonts w:ascii="AdvCaeciliaRm" w:hAnsi="AdvCaeciliaRm" w:cs="AdvCaeciliaRm"/>
        </w:rPr>
        <w:t>The main purpose of the present study was to assess if an exposure</w:t>
      </w:r>
      <w:r w:rsidR="00D86CA0" w:rsidRPr="00482A0E">
        <w:rPr>
          <w:rFonts w:ascii="AdvCaeciliaRm" w:hAnsi="AdvCaeciliaRm" w:cs="AdvCaeciliaRm"/>
        </w:rPr>
        <w:t xml:space="preserve"> </w:t>
      </w:r>
      <w:r w:rsidRPr="00482A0E">
        <w:rPr>
          <w:rFonts w:ascii="AdvCaeciliaRm" w:hAnsi="AdvCaeciliaRm" w:cs="AdvCaeciliaRm"/>
        </w:rPr>
        <w:t xml:space="preserve">of the filamentous fungus </w:t>
      </w:r>
      <w:r w:rsidRPr="00482A0E">
        <w:rPr>
          <w:rFonts w:ascii="AdvCaeciliaIt" w:hAnsi="AdvCaeciliaIt" w:cs="AdvCaeciliaIt"/>
        </w:rPr>
        <w:t xml:space="preserve">Botrytis </w:t>
      </w:r>
      <w:proofErr w:type="spellStart"/>
      <w:r w:rsidRPr="00482A0E">
        <w:rPr>
          <w:rFonts w:ascii="AdvCaeciliaIt" w:hAnsi="AdvCaeciliaIt" w:cs="AdvCaeciliaIt"/>
        </w:rPr>
        <w:t>cinerea</w:t>
      </w:r>
      <w:proofErr w:type="spellEnd"/>
      <w:r w:rsidRPr="00482A0E">
        <w:rPr>
          <w:rFonts w:ascii="AdvCaeciliaIt" w:hAnsi="AdvCaeciliaIt" w:cs="AdvCaeciliaIt"/>
        </w:rPr>
        <w:t xml:space="preserve"> </w:t>
      </w:r>
      <w:r w:rsidRPr="00482A0E">
        <w:rPr>
          <w:rFonts w:ascii="AdvCaeciliaRm" w:hAnsi="AdvCaeciliaRm" w:cs="AdvCaeciliaRm"/>
        </w:rPr>
        <w:t>to different</w:t>
      </w:r>
      <w:r w:rsidR="00D86CA0" w:rsidRPr="00482A0E">
        <w:rPr>
          <w:rFonts w:ascii="AdvCaeciliaRm" w:hAnsi="AdvCaeciliaRm" w:cs="AdvCaeciliaRm"/>
        </w:rPr>
        <w:t xml:space="preserve"> </w:t>
      </w:r>
      <w:r w:rsidRPr="00482A0E">
        <w:rPr>
          <w:rFonts w:ascii="AdvCaeciliaRm" w:hAnsi="AdvCaeciliaRm" w:cs="AdvCaeciliaRm"/>
        </w:rPr>
        <w:t>environmental stresses during successive conidial generations</w:t>
      </w:r>
      <w:r w:rsidR="00D86CA0" w:rsidRPr="00482A0E">
        <w:rPr>
          <w:rFonts w:ascii="AdvCaeciliaRm" w:hAnsi="AdvCaeciliaRm" w:cs="AdvCaeciliaRm"/>
        </w:rPr>
        <w:t xml:space="preserve"> </w:t>
      </w:r>
      <w:r w:rsidRPr="00482A0E">
        <w:rPr>
          <w:rFonts w:ascii="AdvCaeciliaRm" w:hAnsi="AdvCaeciliaRm" w:cs="AdvCaeciliaRm"/>
        </w:rPr>
        <w:t>could have an effect on the stability of the microsatellite</w:t>
      </w:r>
      <w:r w:rsidR="00D86CA0" w:rsidRPr="00482A0E">
        <w:rPr>
          <w:rFonts w:ascii="AdvCaeciliaRm" w:hAnsi="AdvCaeciliaRm" w:cs="AdvCaeciliaRm"/>
        </w:rPr>
        <w:t xml:space="preserve"> </w:t>
      </w:r>
      <w:r w:rsidRPr="00482A0E">
        <w:rPr>
          <w:rFonts w:ascii="AdvCaeciliaRm" w:hAnsi="AdvCaeciliaRm" w:cs="AdvCaeciliaRm"/>
        </w:rPr>
        <w:t xml:space="preserve">markers. Whatever the number of generations </w:t>
      </w:r>
      <w:proofErr w:type="spellStart"/>
      <w:r w:rsidRPr="00482A0E">
        <w:rPr>
          <w:rFonts w:ascii="AdvCaeciliaRm" w:hAnsi="AdvCaeciliaRm" w:cs="AdvCaeciliaRm"/>
        </w:rPr>
        <w:t>realised</w:t>
      </w:r>
      <w:proofErr w:type="spellEnd"/>
      <w:r w:rsidRPr="00482A0E">
        <w:rPr>
          <w:rFonts w:ascii="AdvCaeciliaRm" w:hAnsi="AdvCaeciliaRm" w:cs="AdvCaeciliaRm"/>
        </w:rPr>
        <w:t xml:space="preserve"> on</w:t>
      </w:r>
      <w:r w:rsidR="00D86CA0" w:rsidRPr="00482A0E">
        <w:rPr>
          <w:rFonts w:ascii="AdvCaeciliaRm" w:hAnsi="AdvCaeciliaRm" w:cs="AdvCaeciliaRm"/>
        </w:rPr>
        <w:t xml:space="preserve"> </w:t>
      </w:r>
      <w:r w:rsidRPr="00482A0E">
        <w:rPr>
          <w:rFonts w:ascii="AdvCaeciliaRm" w:hAnsi="AdvCaeciliaRm" w:cs="AdvCaeciliaRm"/>
        </w:rPr>
        <w:t>Petri plates (G10 or G20), the duration of the consecutive transfers</w:t>
      </w:r>
      <w:r w:rsidR="00D86CA0" w:rsidRPr="00482A0E">
        <w:rPr>
          <w:rFonts w:ascii="AdvCaeciliaRm" w:hAnsi="AdvCaeciliaRm" w:cs="AdvCaeciliaRm"/>
        </w:rPr>
        <w:t xml:space="preserve"> </w:t>
      </w:r>
      <w:r w:rsidRPr="00482A0E">
        <w:rPr>
          <w:rFonts w:ascii="AdvCaeciliaRm" w:hAnsi="AdvCaeciliaRm" w:cs="AdvCaeciliaRm"/>
        </w:rPr>
        <w:t>(280</w:t>
      </w:r>
      <w:r w:rsidR="00482A0E">
        <w:rPr>
          <w:rFonts w:ascii="AdvPS44A44B" w:hAnsi="AdvPS44A44B" w:cs="AdvPS44A44B"/>
        </w:rPr>
        <w:t>-</w:t>
      </w:r>
      <w:r w:rsidRPr="00482A0E">
        <w:rPr>
          <w:rFonts w:ascii="AdvCaeciliaRm" w:hAnsi="AdvCaeciliaRm" w:cs="AdvCaeciliaRm"/>
        </w:rPr>
        <w:t>300 d of successive cultures) and the nature of stress</w:t>
      </w:r>
      <w:r w:rsidR="00D86CA0" w:rsidRPr="00482A0E">
        <w:rPr>
          <w:rFonts w:ascii="AdvCaeciliaRm" w:hAnsi="AdvCaeciliaRm" w:cs="AdvCaeciliaRm"/>
        </w:rPr>
        <w:t xml:space="preserve"> </w:t>
      </w:r>
      <w:r w:rsidRPr="00482A0E">
        <w:rPr>
          <w:rFonts w:ascii="AdvCaeciliaRm" w:hAnsi="AdvCaeciliaRm" w:cs="AdvCaeciliaRm"/>
        </w:rPr>
        <w:t xml:space="preserve">endured by the fungus, </w:t>
      </w:r>
      <w:r w:rsidRPr="00482A0E">
        <w:rPr>
          <w:rFonts w:ascii="AdvCaeciliaRm" w:hAnsi="AdvCaeciliaRm" w:cs="AdvCaeciliaRm"/>
          <w:highlight w:val="green"/>
        </w:rPr>
        <w:t>no mutations were observed in alleles</w:t>
      </w:r>
      <w:r w:rsidR="00D86CA0" w:rsidRPr="00482A0E">
        <w:rPr>
          <w:rFonts w:ascii="AdvCaeciliaRm" w:hAnsi="AdvCaeciliaRm" w:cs="AdvCaeciliaRm"/>
          <w:highlight w:val="green"/>
        </w:rPr>
        <w:t xml:space="preserve"> </w:t>
      </w:r>
      <w:r w:rsidRPr="00482A0E">
        <w:rPr>
          <w:rFonts w:ascii="AdvCaeciliaRm" w:hAnsi="AdvCaeciliaRm" w:cs="AdvCaeciliaRm"/>
          <w:highlight w:val="green"/>
        </w:rPr>
        <w:t>at the nine microsatellite loci studied</w:t>
      </w:r>
      <w:r w:rsidRPr="00482A0E">
        <w:rPr>
          <w:rFonts w:ascii="AdvCaeciliaRm" w:hAnsi="AdvCaeciliaRm" w:cs="AdvCaeciliaRm"/>
        </w:rPr>
        <w:t>.</w:t>
      </w:r>
    </w:p>
    <w:p w:rsidR="00631165" w:rsidRPr="00482A0E" w:rsidRDefault="00631165" w:rsidP="00631165">
      <w:pPr>
        <w:rPr>
          <w:rFonts w:ascii="AdvP6EC0" w:hAnsi="AdvP6EC0" w:cs="AdvP6EC0"/>
          <w:color w:val="231F20"/>
          <w:sz w:val="24"/>
          <w:szCs w:val="24"/>
        </w:rPr>
      </w:pPr>
      <w:r w:rsidRPr="00482A0E">
        <w:rPr>
          <w:rFonts w:ascii="AdvCaeciliaRm" w:hAnsi="AdvCaeciliaRm" w:cs="AdvCaeciliaRm"/>
          <w:color w:val="000000"/>
          <w:sz w:val="24"/>
          <w:szCs w:val="24"/>
          <w:highlight w:val="yellow"/>
        </w:rPr>
        <w:t>In yeasts, microsatellite</w:t>
      </w:r>
      <w:r w:rsidR="00D86CA0" w:rsidRPr="00482A0E">
        <w:rPr>
          <w:rFonts w:ascii="AdvCaeciliaRm" w:hAnsi="AdvCaeciliaRm" w:cs="AdvCaeciliaRm"/>
          <w:color w:val="000000"/>
          <w:sz w:val="24"/>
          <w:szCs w:val="24"/>
          <w:highlight w:val="yellow"/>
        </w:rPr>
        <w:t xml:space="preserve"> </w:t>
      </w:r>
      <w:r w:rsidRPr="00482A0E">
        <w:rPr>
          <w:rFonts w:ascii="AdvCaeciliaRm" w:hAnsi="AdvCaeciliaRm" w:cs="AdvCaeciliaRm"/>
          <w:color w:val="000000"/>
          <w:sz w:val="24"/>
          <w:szCs w:val="24"/>
          <w:highlight w:val="yellow"/>
        </w:rPr>
        <w:t>instability increased as repetitive tracts became longer</w:t>
      </w:r>
      <w:r w:rsidR="00D86CA0" w:rsidRPr="00482A0E">
        <w:rPr>
          <w:rFonts w:ascii="AdvCaeciliaRm" w:hAnsi="AdvCaeciliaRm" w:cs="AdvCaeciliaRm"/>
          <w:color w:val="000000"/>
          <w:sz w:val="24"/>
          <w:szCs w:val="24"/>
          <w:highlight w:val="yellow"/>
        </w:rPr>
        <w:t xml:space="preserve"> </w:t>
      </w:r>
      <w:r w:rsidRPr="00482A0E">
        <w:rPr>
          <w:rFonts w:ascii="AdvCaeciliaRm" w:hAnsi="AdvCaeciliaRm" w:cs="AdvCaeciliaRm"/>
          <w:color w:val="000000"/>
          <w:sz w:val="24"/>
          <w:szCs w:val="24"/>
          <w:highlight w:val="yellow"/>
        </w:rPr>
        <w:t>(</w:t>
      </w:r>
      <w:proofErr w:type="spellStart"/>
      <w:r w:rsidRPr="00482A0E">
        <w:rPr>
          <w:rFonts w:ascii="AdvCaeciliaRm" w:hAnsi="AdvCaeciliaRm" w:cs="AdvCaeciliaRm"/>
          <w:color w:val="000066"/>
          <w:sz w:val="24"/>
          <w:szCs w:val="24"/>
          <w:highlight w:val="yellow"/>
        </w:rPr>
        <w:t>Wierdl</w:t>
      </w:r>
      <w:proofErr w:type="spellEnd"/>
      <w:r w:rsidRPr="00482A0E">
        <w:rPr>
          <w:rFonts w:ascii="AdvCaeciliaRm" w:hAnsi="AdvCaeciliaRm" w:cs="AdvCaeciliaRm"/>
          <w:color w:val="000066"/>
          <w:sz w:val="24"/>
          <w:szCs w:val="24"/>
          <w:highlight w:val="yellow"/>
        </w:rPr>
        <w:t xml:space="preserve"> </w:t>
      </w:r>
      <w:r w:rsidRPr="00482A0E">
        <w:rPr>
          <w:rFonts w:ascii="AdvCaeciliaIt" w:hAnsi="AdvCaeciliaIt" w:cs="AdvCaeciliaIt"/>
          <w:color w:val="000066"/>
          <w:sz w:val="24"/>
          <w:szCs w:val="24"/>
          <w:highlight w:val="yellow"/>
        </w:rPr>
        <w:t>et al</w:t>
      </w:r>
      <w:r w:rsidRPr="00482A0E">
        <w:rPr>
          <w:rFonts w:ascii="AdvCaeciliaRm" w:hAnsi="AdvCaeciliaRm" w:cs="AdvCaeciliaRm"/>
          <w:color w:val="000066"/>
          <w:sz w:val="24"/>
          <w:szCs w:val="24"/>
          <w:highlight w:val="yellow"/>
        </w:rPr>
        <w:t>. 1997</w:t>
      </w:r>
      <w:r w:rsidRPr="00482A0E">
        <w:rPr>
          <w:rFonts w:ascii="AdvCaeciliaRm" w:hAnsi="AdvCaeciliaRm" w:cs="AdvCaeciliaRm"/>
          <w:color w:val="000000"/>
          <w:sz w:val="24"/>
          <w:szCs w:val="24"/>
          <w:highlight w:val="yellow"/>
        </w:rPr>
        <w:t>).</w:t>
      </w:r>
    </w:p>
    <w:p w:rsidR="004B6A04" w:rsidRPr="00EB344F" w:rsidRDefault="00555EB1" w:rsidP="00555EB1">
      <w:pPr>
        <w:rPr>
          <w:rFonts w:ascii="AdvCaeciliaRm" w:hAnsi="AdvCaeciliaRm" w:cs="AdvCaeciliaRm"/>
          <w:color w:val="000000"/>
          <w:sz w:val="24"/>
          <w:szCs w:val="24"/>
        </w:rPr>
      </w:pPr>
      <w:r w:rsidRPr="00EB344F">
        <w:rPr>
          <w:rFonts w:ascii="AdvCaeciliaRm" w:hAnsi="AdvCaeciliaRm" w:cs="AdvCaeciliaRm"/>
          <w:sz w:val="24"/>
          <w:szCs w:val="24"/>
          <w:highlight w:val="green"/>
        </w:rPr>
        <w:t>The stability</w:t>
      </w:r>
      <w:r w:rsidR="00D86CA0" w:rsidRPr="00EB344F">
        <w:rPr>
          <w:rFonts w:ascii="AdvCaeciliaRm" w:hAnsi="AdvCaeciliaRm" w:cs="AdvCaeciliaRm"/>
          <w:sz w:val="24"/>
          <w:szCs w:val="24"/>
          <w:highlight w:val="green"/>
        </w:rPr>
        <w:t xml:space="preserve"> </w:t>
      </w:r>
      <w:r w:rsidRPr="00EB344F">
        <w:rPr>
          <w:rFonts w:ascii="AdvCaeciliaRm" w:hAnsi="AdvCaeciliaRm" w:cs="AdvCaeciliaRm"/>
          <w:sz w:val="24"/>
          <w:szCs w:val="24"/>
          <w:highlight w:val="green"/>
        </w:rPr>
        <w:t>in alleles at seven microsatellite loci was also observed in</w:t>
      </w:r>
      <w:r w:rsidR="00D86CA0" w:rsidRPr="00EB344F">
        <w:rPr>
          <w:rFonts w:ascii="AdvCaeciliaRm" w:hAnsi="AdvCaeciliaRm" w:cs="AdvCaeciliaRm"/>
          <w:sz w:val="24"/>
          <w:szCs w:val="24"/>
          <w:highlight w:val="green"/>
        </w:rPr>
        <w:t xml:space="preserve"> </w:t>
      </w:r>
      <w:r w:rsidRPr="00EB344F">
        <w:rPr>
          <w:rFonts w:ascii="AdvCaeciliaRm" w:hAnsi="AdvCaeciliaRm" w:cs="AdvCaeciliaRm"/>
          <w:sz w:val="24"/>
          <w:szCs w:val="24"/>
          <w:highlight w:val="green"/>
        </w:rPr>
        <w:t>the non-</w:t>
      </w:r>
      <w:proofErr w:type="spellStart"/>
      <w:r w:rsidRPr="00EB344F">
        <w:rPr>
          <w:rFonts w:ascii="AdvCaeciliaRm" w:hAnsi="AdvCaeciliaRm" w:cs="AdvCaeciliaRm"/>
          <w:sz w:val="24"/>
          <w:szCs w:val="24"/>
          <w:highlight w:val="green"/>
        </w:rPr>
        <w:t>sporulating</w:t>
      </w:r>
      <w:proofErr w:type="spellEnd"/>
      <w:r w:rsidRPr="00EB344F">
        <w:rPr>
          <w:rFonts w:ascii="AdvCaeciliaRm" w:hAnsi="AdvCaeciliaRm" w:cs="AdvCaeciliaRm"/>
          <w:sz w:val="24"/>
          <w:szCs w:val="24"/>
          <w:highlight w:val="green"/>
        </w:rPr>
        <w:t xml:space="preserve"> plant pathogenic ascomycete </w:t>
      </w:r>
      <w:r w:rsidRPr="00EB344F">
        <w:rPr>
          <w:rFonts w:ascii="AdvCaeciliaIt" w:hAnsi="AdvCaeciliaIt" w:cs="AdvCaeciliaIt"/>
          <w:sz w:val="24"/>
          <w:szCs w:val="24"/>
          <w:highlight w:val="green"/>
        </w:rPr>
        <w:t>Sclerotinia</w:t>
      </w:r>
      <w:r w:rsidR="00D86CA0" w:rsidRPr="00EB344F">
        <w:rPr>
          <w:rFonts w:ascii="AdvCaeciliaIt" w:hAnsi="AdvCaeciliaIt" w:cs="AdvCaeciliaIt"/>
          <w:sz w:val="24"/>
          <w:szCs w:val="24"/>
          <w:highlight w:val="green"/>
        </w:rPr>
        <w:t xml:space="preserve"> </w:t>
      </w:r>
      <w:r w:rsidRPr="00EB344F">
        <w:rPr>
          <w:rFonts w:ascii="AdvCaeciliaIt" w:hAnsi="AdvCaeciliaIt" w:cs="AdvCaeciliaIt"/>
          <w:sz w:val="24"/>
          <w:szCs w:val="24"/>
          <w:highlight w:val="green"/>
        </w:rPr>
        <w:t xml:space="preserve">sclerotiorum </w:t>
      </w:r>
      <w:r w:rsidRPr="00EB344F">
        <w:rPr>
          <w:rFonts w:ascii="AdvCaeciliaRm" w:hAnsi="AdvCaeciliaRm" w:cs="AdvCaeciliaRm"/>
          <w:sz w:val="24"/>
          <w:szCs w:val="24"/>
          <w:highlight w:val="green"/>
        </w:rPr>
        <w:t xml:space="preserve">after 400 d of continuous </w:t>
      </w:r>
      <w:r w:rsidRPr="00EB344F">
        <w:rPr>
          <w:rFonts w:ascii="AdvCaeciliaIt" w:hAnsi="AdvCaeciliaIt" w:cs="AdvCaeciliaIt"/>
          <w:sz w:val="24"/>
          <w:szCs w:val="24"/>
          <w:highlight w:val="green"/>
        </w:rPr>
        <w:t xml:space="preserve">in vitro </w:t>
      </w:r>
      <w:r w:rsidRPr="00EB344F">
        <w:rPr>
          <w:rFonts w:ascii="AdvCaeciliaRm" w:hAnsi="AdvCaeciliaRm" w:cs="AdvCaeciliaRm"/>
          <w:sz w:val="24"/>
          <w:szCs w:val="24"/>
          <w:highlight w:val="green"/>
        </w:rPr>
        <w:t xml:space="preserve">hyphal growth (Kohn et al. 2008). </w:t>
      </w:r>
      <w:r w:rsidRPr="00EB344F">
        <w:rPr>
          <w:rFonts w:ascii="AdvCaeciliaRm" w:hAnsi="AdvCaeciliaRm" w:cs="AdvCaeciliaRm"/>
          <w:color w:val="000000"/>
          <w:sz w:val="24"/>
          <w:szCs w:val="24"/>
          <w:highlight w:val="green"/>
        </w:rPr>
        <w:t>The short-term stability of polymorphic</w:t>
      </w:r>
      <w:r w:rsidR="00D86CA0" w:rsidRPr="00EB344F">
        <w:rPr>
          <w:rFonts w:ascii="AdvCaeciliaRm" w:hAnsi="AdvCaeciliaRm" w:cs="AdvCaeciliaRm"/>
          <w:color w:val="000000"/>
          <w:sz w:val="24"/>
          <w:szCs w:val="24"/>
          <w:highlight w:val="green"/>
        </w:rPr>
        <w:t xml:space="preserve"> </w:t>
      </w:r>
      <w:r w:rsidRPr="00EB344F">
        <w:rPr>
          <w:rFonts w:ascii="AdvCaeciliaRm" w:hAnsi="AdvCaeciliaRm" w:cs="AdvCaeciliaRm"/>
          <w:color w:val="000000"/>
          <w:sz w:val="24"/>
          <w:szCs w:val="24"/>
          <w:highlight w:val="green"/>
        </w:rPr>
        <w:t xml:space="preserve">microsatellite marker profiles was also demonstrated in </w:t>
      </w:r>
      <w:proofErr w:type="spellStart"/>
      <w:r w:rsidRPr="00EB344F">
        <w:rPr>
          <w:rFonts w:ascii="AdvCaeciliaIt" w:hAnsi="AdvCaeciliaIt" w:cs="AdvCaeciliaIt"/>
          <w:color w:val="000000"/>
          <w:sz w:val="24"/>
          <w:szCs w:val="24"/>
          <w:highlight w:val="green"/>
        </w:rPr>
        <w:t>Penicillium</w:t>
      </w:r>
      <w:proofErr w:type="spellEnd"/>
      <w:r w:rsidR="00D86CA0" w:rsidRPr="00EB344F">
        <w:rPr>
          <w:rFonts w:ascii="AdvCaeciliaIt" w:hAnsi="AdvCaeciliaIt" w:cs="AdvCaeciliaIt"/>
          <w:color w:val="000000"/>
          <w:sz w:val="24"/>
          <w:szCs w:val="24"/>
          <w:highlight w:val="green"/>
        </w:rPr>
        <w:t xml:space="preserve"> </w:t>
      </w:r>
      <w:proofErr w:type="spellStart"/>
      <w:r w:rsidRPr="00EB344F">
        <w:rPr>
          <w:rFonts w:ascii="AdvCaeciliaIt" w:hAnsi="AdvCaeciliaIt" w:cs="AdvCaeciliaIt"/>
          <w:color w:val="000000"/>
          <w:sz w:val="24"/>
          <w:szCs w:val="24"/>
          <w:highlight w:val="green"/>
        </w:rPr>
        <w:t>marneffei</w:t>
      </w:r>
      <w:proofErr w:type="spellEnd"/>
      <w:r w:rsidRPr="00EB344F">
        <w:rPr>
          <w:rFonts w:ascii="AdvCaeciliaIt" w:hAnsi="AdvCaeciliaIt" w:cs="AdvCaeciliaIt"/>
          <w:color w:val="000000"/>
          <w:sz w:val="24"/>
          <w:szCs w:val="24"/>
          <w:highlight w:val="green"/>
        </w:rPr>
        <w:t xml:space="preserve"> </w:t>
      </w:r>
      <w:r w:rsidRPr="00EB344F">
        <w:rPr>
          <w:rFonts w:ascii="AdvCaeciliaRm" w:hAnsi="AdvCaeciliaRm" w:cs="AdvCaeciliaRm"/>
          <w:color w:val="000000"/>
          <w:sz w:val="24"/>
          <w:szCs w:val="24"/>
          <w:highlight w:val="green"/>
        </w:rPr>
        <w:t>isolates after 7</w:t>
      </w:r>
      <w:r w:rsidR="00482A0E" w:rsidRPr="00EB344F">
        <w:rPr>
          <w:rFonts w:ascii="AdvPS44A44B" w:hAnsi="AdvPS44A44B" w:cs="AdvPS44A44B"/>
          <w:color w:val="000000"/>
          <w:sz w:val="24"/>
          <w:szCs w:val="24"/>
          <w:highlight w:val="green"/>
        </w:rPr>
        <w:t>-</w:t>
      </w:r>
      <w:r w:rsidRPr="00EB344F">
        <w:rPr>
          <w:rFonts w:ascii="AdvCaeciliaRm" w:hAnsi="AdvCaeciliaRm" w:cs="AdvCaeciliaRm"/>
          <w:color w:val="000000"/>
          <w:sz w:val="24"/>
          <w:szCs w:val="24"/>
          <w:highlight w:val="green"/>
        </w:rPr>
        <w:t>8 weeks of serial culture in liquid</w:t>
      </w:r>
      <w:r w:rsidR="00D86CA0" w:rsidRPr="00EB344F">
        <w:rPr>
          <w:rFonts w:ascii="AdvCaeciliaRm" w:hAnsi="AdvCaeciliaRm" w:cs="AdvCaeciliaRm"/>
          <w:color w:val="000000"/>
          <w:sz w:val="24"/>
          <w:szCs w:val="24"/>
          <w:highlight w:val="green"/>
        </w:rPr>
        <w:t xml:space="preserve"> </w:t>
      </w:r>
      <w:r w:rsidRPr="00EB344F">
        <w:rPr>
          <w:rFonts w:ascii="AdvCaeciliaRm" w:hAnsi="AdvCaeciliaRm" w:cs="AdvCaeciliaRm"/>
          <w:color w:val="000000"/>
          <w:sz w:val="24"/>
          <w:szCs w:val="24"/>
          <w:highlight w:val="green"/>
        </w:rPr>
        <w:t>media (</w:t>
      </w:r>
      <w:proofErr w:type="spellStart"/>
      <w:r w:rsidRPr="00EB344F">
        <w:rPr>
          <w:rFonts w:ascii="AdvCaeciliaRm" w:hAnsi="AdvCaeciliaRm" w:cs="AdvCaeciliaRm"/>
          <w:color w:val="000066"/>
          <w:sz w:val="24"/>
          <w:szCs w:val="24"/>
          <w:highlight w:val="green"/>
        </w:rPr>
        <w:t>Lasker</w:t>
      </w:r>
      <w:proofErr w:type="spellEnd"/>
      <w:r w:rsidRPr="00EB344F">
        <w:rPr>
          <w:rFonts w:ascii="AdvCaeciliaRm" w:hAnsi="AdvCaeciliaRm" w:cs="AdvCaeciliaRm"/>
          <w:color w:val="000066"/>
          <w:sz w:val="24"/>
          <w:szCs w:val="24"/>
          <w:highlight w:val="green"/>
        </w:rPr>
        <w:t xml:space="preserve"> &amp; Ran 2004</w:t>
      </w:r>
      <w:r w:rsidRPr="00EB344F">
        <w:rPr>
          <w:rFonts w:ascii="AdvCaeciliaRm" w:hAnsi="AdvCaeciliaRm" w:cs="AdvCaeciliaRm"/>
          <w:color w:val="000000"/>
          <w:sz w:val="24"/>
          <w:szCs w:val="24"/>
          <w:highlight w:val="green"/>
        </w:rPr>
        <w:t>).</w:t>
      </w:r>
    </w:p>
    <w:p w:rsidR="004B6A04" w:rsidRPr="00482A0E" w:rsidRDefault="00555EB1" w:rsidP="00A86D84">
      <w:pPr>
        <w:rPr>
          <w:rFonts w:ascii="AdvP6EC0" w:hAnsi="AdvP6EC0" w:cs="AdvP6EC0"/>
          <w:color w:val="231F20"/>
          <w:sz w:val="24"/>
          <w:szCs w:val="24"/>
        </w:rPr>
      </w:pPr>
      <w:r w:rsidRPr="00482A0E">
        <w:rPr>
          <w:rFonts w:ascii="AdvCaeciliaRm" w:hAnsi="AdvCaeciliaRm" w:cs="AdvCaeciliaRm"/>
          <w:sz w:val="24"/>
          <w:szCs w:val="24"/>
        </w:rPr>
        <w:t>Meanwhile, some of the selective pressures tested in this</w:t>
      </w:r>
      <w:r w:rsidR="00D86CA0" w:rsidRPr="00482A0E">
        <w:rPr>
          <w:rFonts w:ascii="AdvCaeciliaRm" w:hAnsi="AdvCaeciliaRm" w:cs="AdvCaeciliaRm"/>
          <w:sz w:val="24"/>
          <w:szCs w:val="24"/>
        </w:rPr>
        <w:t xml:space="preserve"> </w:t>
      </w:r>
      <w:r w:rsidRPr="00482A0E">
        <w:rPr>
          <w:rFonts w:ascii="AdvCaeciliaRm" w:hAnsi="AdvCaeciliaRm" w:cs="AdvCaeciliaRm"/>
          <w:sz w:val="24"/>
          <w:szCs w:val="24"/>
        </w:rPr>
        <w:t xml:space="preserve">study induced phenotypic changes in </w:t>
      </w:r>
      <w:r w:rsidRPr="00482A0E">
        <w:rPr>
          <w:rFonts w:ascii="AdvCaeciliaIt" w:hAnsi="AdvCaeciliaIt" w:cs="AdvCaeciliaIt"/>
          <w:sz w:val="24"/>
          <w:szCs w:val="24"/>
        </w:rPr>
        <w:t xml:space="preserve">B. </w:t>
      </w:r>
      <w:proofErr w:type="spellStart"/>
      <w:r w:rsidRPr="00482A0E">
        <w:rPr>
          <w:rFonts w:ascii="AdvCaeciliaIt" w:hAnsi="AdvCaeciliaIt" w:cs="AdvCaeciliaIt"/>
          <w:sz w:val="24"/>
          <w:szCs w:val="24"/>
        </w:rPr>
        <w:t>cinerea</w:t>
      </w:r>
      <w:proofErr w:type="spellEnd"/>
      <w:r w:rsidRPr="00482A0E">
        <w:rPr>
          <w:rFonts w:ascii="AdvCaeciliaIt" w:hAnsi="AdvCaeciliaIt" w:cs="AdvCaeciliaIt"/>
          <w:sz w:val="24"/>
          <w:szCs w:val="24"/>
        </w:rPr>
        <w:t xml:space="preserve"> </w:t>
      </w:r>
      <w:r w:rsidRPr="00482A0E">
        <w:rPr>
          <w:rFonts w:ascii="AdvCaeciliaRm" w:hAnsi="AdvCaeciliaRm" w:cs="AdvCaeciliaRm"/>
          <w:sz w:val="24"/>
          <w:szCs w:val="24"/>
        </w:rPr>
        <w:t>isolates, such</w:t>
      </w:r>
      <w:r w:rsidR="00D86CA0" w:rsidRPr="00482A0E">
        <w:rPr>
          <w:rFonts w:ascii="AdvCaeciliaRm" w:hAnsi="AdvCaeciliaRm" w:cs="AdvCaeciliaRm"/>
          <w:sz w:val="24"/>
          <w:szCs w:val="24"/>
        </w:rPr>
        <w:t xml:space="preserve"> </w:t>
      </w:r>
      <w:r w:rsidRPr="00482A0E">
        <w:rPr>
          <w:rFonts w:ascii="AdvCaeciliaRm" w:hAnsi="AdvCaeciliaRm" w:cs="AdvCaeciliaRm"/>
          <w:sz w:val="24"/>
          <w:szCs w:val="24"/>
        </w:rPr>
        <w:t xml:space="preserve">as a resistance to </w:t>
      </w:r>
      <w:proofErr w:type="spellStart"/>
      <w:r w:rsidRPr="00482A0E">
        <w:rPr>
          <w:rFonts w:ascii="AdvCaeciliaRm" w:hAnsi="AdvCaeciliaRm" w:cs="AdvCaeciliaRm"/>
          <w:sz w:val="24"/>
          <w:szCs w:val="24"/>
        </w:rPr>
        <w:t>pyrrolnitrin</w:t>
      </w:r>
      <w:proofErr w:type="spellEnd"/>
      <w:r w:rsidRPr="00482A0E">
        <w:rPr>
          <w:rFonts w:ascii="AdvCaeciliaRm" w:hAnsi="AdvCaeciliaRm" w:cs="AdvCaeciliaRm"/>
          <w:sz w:val="24"/>
          <w:szCs w:val="24"/>
        </w:rPr>
        <w:t xml:space="preserve"> and to some fungicides, and a reduction</w:t>
      </w:r>
      <w:r w:rsidR="00D86CA0" w:rsidRPr="00482A0E">
        <w:rPr>
          <w:rFonts w:ascii="AdvCaeciliaRm" w:hAnsi="AdvCaeciliaRm" w:cs="AdvCaeciliaRm"/>
          <w:sz w:val="24"/>
          <w:szCs w:val="24"/>
        </w:rPr>
        <w:t xml:space="preserve"> </w:t>
      </w:r>
      <w:r w:rsidRPr="00482A0E">
        <w:rPr>
          <w:rFonts w:ascii="AdvCaeciliaRm" w:hAnsi="AdvCaeciliaRm" w:cs="AdvCaeciliaRm"/>
          <w:sz w:val="24"/>
          <w:szCs w:val="24"/>
        </w:rPr>
        <w:t>in aggressiveness to tomato plants and apple fruits</w:t>
      </w:r>
      <w:r w:rsidR="00D86CA0" w:rsidRPr="00482A0E">
        <w:rPr>
          <w:rFonts w:ascii="AdvCaeciliaRm" w:hAnsi="AdvCaeciliaRm" w:cs="AdvCaeciliaRm"/>
          <w:sz w:val="24"/>
          <w:szCs w:val="24"/>
        </w:rPr>
        <w:t xml:space="preserve"> </w:t>
      </w:r>
      <w:r w:rsidRPr="00482A0E">
        <w:rPr>
          <w:rFonts w:ascii="AdvCaeciliaRm" w:hAnsi="AdvCaeciliaRm" w:cs="AdvCaeciliaRm"/>
          <w:sz w:val="24"/>
          <w:szCs w:val="24"/>
        </w:rPr>
        <w:t>(G20P andG20I).</w:t>
      </w:r>
      <w:r w:rsidR="00F33634" w:rsidRPr="00482A0E">
        <w:rPr>
          <w:rFonts w:ascii="AdvCaeciliaRm" w:hAnsi="AdvCaeciliaRm" w:cs="AdvCaeciliaRm"/>
          <w:sz w:val="24"/>
          <w:szCs w:val="24"/>
        </w:rPr>
        <w:t xml:space="preserve"> The stability of the</w:t>
      </w:r>
      <w:r w:rsidR="00482A0E">
        <w:rPr>
          <w:rFonts w:ascii="AdvCaeciliaRm" w:hAnsi="AdvCaeciliaRm" w:cs="AdvCaeciliaRm"/>
          <w:sz w:val="24"/>
          <w:szCs w:val="24"/>
        </w:rPr>
        <w:t xml:space="preserve"> </w:t>
      </w:r>
      <w:r w:rsidR="00F33634" w:rsidRPr="00482A0E">
        <w:rPr>
          <w:rFonts w:ascii="AdvCaeciliaRm" w:hAnsi="AdvCaeciliaRm" w:cs="AdvCaeciliaRm"/>
          <w:sz w:val="24"/>
          <w:szCs w:val="24"/>
        </w:rPr>
        <w:t>microsatellite</w:t>
      </w:r>
      <w:r w:rsidR="00482A0E">
        <w:rPr>
          <w:rFonts w:ascii="AdvCaeciliaRm" w:hAnsi="AdvCaeciliaRm" w:cs="AdvCaeciliaRm"/>
          <w:sz w:val="24"/>
          <w:szCs w:val="24"/>
        </w:rPr>
        <w:t xml:space="preserve"> </w:t>
      </w:r>
      <w:r w:rsidR="00F33634" w:rsidRPr="00482A0E">
        <w:rPr>
          <w:rFonts w:ascii="AdvCaeciliaRm" w:hAnsi="AdvCaeciliaRm" w:cs="AdvCaeciliaRm"/>
          <w:sz w:val="24"/>
          <w:szCs w:val="24"/>
        </w:rPr>
        <w:t>markers combined</w:t>
      </w:r>
      <w:r w:rsidR="00482A0E">
        <w:rPr>
          <w:rFonts w:ascii="AdvCaeciliaRm" w:hAnsi="AdvCaeciliaRm" w:cs="AdvCaeciliaRm"/>
          <w:sz w:val="24"/>
          <w:szCs w:val="24"/>
        </w:rPr>
        <w:t xml:space="preserve"> </w:t>
      </w:r>
      <w:r w:rsidR="00F33634" w:rsidRPr="00482A0E">
        <w:rPr>
          <w:rFonts w:ascii="AdvCaeciliaRm" w:hAnsi="AdvCaeciliaRm" w:cs="AdvCaeciliaRm"/>
          <w:sz w:val="24"/>
          <w:szCs w:val="24"/>
        </w:rPr>
        <w:t>with</w:t>
      </w:r>
      <w:r w:rsidR="00D86CA0" w:rsidRPr="00482A0E">
        <w:rPr>
          <w:rFonts w:ascii="AdvCaeciliaRm" w:hAnsi="AdvCaeciliaRm" w:cs="AdvCaeciliaRm"/>
          <w:sz w:val="24"/>
          <w:szCs w:val="24"/>
        </w:rPr>
        <w:t xml:space="preserve"> </w:t>
      </w:r>
      <w:r w:rsidR="00F33634" w:rsidRPr="00482A0E">
        <w:rPr>
          <w:rFonts w:ascii="AdvCaeciliaRm" w:hAnsi="AdvCaeciliaRm" w:cs="AdvCaeciliaRm"/>
          <w:sz w:val="24"/>
          <w:szCs w:val="24"/>
        </w:rPr>
        <w:t>the phenotypic</w:t>
      </w:r>
      <w:r w:rsidR="00482A0E">
        <w:rPr>
          <w:rFonts w:ascii="AdvCaeciliaRm" w:hAnsi="AdvCaeciliaRm" w:cs="AdvCaeciliaRm"/>
          <w:sz w:val="24"/>
          <w:szCs w:val="24"/>
        </w:rPr>
        <w:t xml:space="preserve"> </w:t>
      </w:r>
      <w:r w:rsidR="00F33634" w:rsidRPr="00482A0E">
        <w:rPr>
          <w:rFonts w:ascii="AdvCaeciliaRm" w:hAnsi="AdvCaeciliaRm" w:cs="AdvCaeciliaRm"/>
          <w:sz w:val="24"/>
          <w:szCs w:val="24"/>
        </w:rPr>
        <w:t>modifications illustrates the fact that</w:t>
      </w:r>
      <w:r w:rsidR="00D86CA0" w:rsidRPr="00482A0E">
        <w:rPr>
          <w:rFonts w:ascii="AdvCaeciliaRm" w:hAnsi="AdvCaeciliaRm" w:cs="AdvCaeciliaRm"/>
          <w:sz w:val="24"/>
          <w:szCs w:val="24"/>
        </w:rPr>
        <w:t xml:space="preserve"> </w:t>
      </w:r>
      <w:r w:rsidR="00F33634" w:rsidRPr="00484DEF">
        <w:rPr>
          <w:rFonts w:ascii="AdvCaeciliaRm" w:hAnsi="AdvCaeciliaRm" w:cs="AdvCaeciliaRm"/>
          <w:sz w:val="24"/>
          <w:szCs w:val="24"/>
          <w:highlight w:val="green"/>
        </w:rPr>
        <w:t>different</w:t>
      </w:r>
      <w:r w:rsidR="00482A0E" w:rsidRPr="00484DEF">
        <w:rPr>
          <w:rFonts w:ascii="AdvCaeciliaRm" w:hAnsi="AdvCaeciliaRm" w:cs="AdvCaeciliaRm"/>
          <w:sz w:val="24"/>
          <w:szCs w:val="24"/>
          <w:highlight w:val="green"/>
        </w:rPr>
        <w:t xml:space="preserve"> </w:t>
      </w:r>
      <w:r w:rsidR="00F33634" w:rsidRPr="00484DEF">
        <w:rPr>
          <w:rFonts w:ascii="AdvCaeciliaRm" w:hAnsi="AdvCaeciliaRm" w:cs="AdvCaeciliaRm"/>
          <w:sz w:val="24"/>
          <w:szCs w:val="24"/>
          <w:highlight w:val="green"/>
        </w:rPr>
        <w:t>phenotypes could</w:t>
      </w:r>
      <w:r w:rsidR="00482A0E" w:rsidRPr="00484DEF">
        <w:rPr>
          <w:rFonts w:ascii="AdvCaeciliaRm" w:hAnsi="AdvCaeciliaRm" w:cs="AdvCaeciliaRm"/>
          <w:sz w:val="24"/>
          <w:szCs w:val="24"/>
          <w:highlight w:val="green"/>
        </w:rPr>
        <w:t xml:space="preserve"> </w:t>
      </w:r>
      <w:r w:rsidR="00F33634" w:rsidRPr="00484DEF">
        <w:rPr>
          <w:rFonts w:ascii="AdvCaeciliaRm" w:hAnsi="AdvCaeciliaRm" w:cs="AdvCaeciliaRm"/>
          <w:sz w:val="24"/>
          <w:szCs w:val="24"/>
          <w:highlight w:val="green"/>
        </w:rPr>
        <w:t>possess the same</w:t>
      </w:r>
      <w:r w:rsidR="00482A0E" w:rsidRPr="00484DEF">
        <w:rPr>
          <w:rFonts w:ascii="AdvCaeciliaRm" w:hAnsi="AdvCaeciliaRm" w:cs="AdvCaeciliaRm"/>
          <w:sz w:val="24"/>
          <w:szCs w:val="24"/>
          <w:highlight w:val="green"/>
        </w:rPr>
        <w:t xml:space="preserve"> </w:t>
      </w:r>
      <w:r w:rsidR="00F33634" w:rsidRPr="00484DEF">
        <w:rPr>
          <w:rFonts w:ascii="AdvCaeciliaRm" w:hAnsi="AdvCaeciliaRm" w:cs="AdvCaeciliaRm"/>
          <w:sz w:val="24"/>
          <w:szCs w:val="24"/>
          <w:highlight w:val="green"/>
        </w:rPr>
        <w:t>genotype based</w:t>
      </w:r>
      <w:r w:rsidR="00482A0E" w:rsidRPr="00484DEF">
        <w:rPr>
          <w:rFonts w:ascii="AdvCaeciliaRm" w:hAnsi="AdvCaeciliaRm" w:cs="AdvCaeciliaRm"/>
          <w:sz w:val="24"/>
          <w:szCs w:val="24"/>
          <w:highlight w:val="green"/>
        </w:rPr>
        <w:t xml:space="preserve"> </w:t>
      </w:r>
      <w:r w:rsidR="00F33634" w:rsidRPr="00484DEF">
        <w:rPr>
          <w:rFonts w:ascii="AdvCaeciliaRm" w:hAnsi="AdvCaeciliaRm" w:cs="AdvCaeciliaRm"/>
          <w:sz w:val="24"/>
          <w:szCs w:val="24"/>
          <w:highlight w:val="green"/>
        </w:rPr>
        <w:t>on</w:t>
      </w:r>
      <w:r w:rsidR="00D86CA0" w:rsidRPr="00484DEF">
        <w:rPr>
          <w:rFonts w:ascii="AdvCaeciliaRm" w:hAnsi="AdvCaeciliaRm" w:cs="AdvCaeciliaRm"/>
          <w:sz w:val="24"/>
          <w:szCs w:val="24"/>
          <w:highlight w:val="green"/>
        </w:rPr>
        <w:t xml:space="preserve"> </w:t>
      </w:r>
      <w:r w:rsidR="00F33634" w:rsidRPr="00484DEF">
        <w:rPr>
          <w:rFonts w:ascii="AdvCaeciliaRm" w:hAnsi="AdvCaeciliaRm" w:cs="AdvCaeciliaRm"/>
          <w:sz w:val="24"/>
          <w:szCs w:val="24"/>
          <w:highlight w:val="green"/>
        </w:rPr>
        <w:t>the use of these microsatellite</w:t>
      </w:r>
      <w:r w:rsidR="00F33634" w:rsidRPr="00482A0E">
        <w:rPr>
          <w:rFonts w:ascii="AdvCaeciliaRm" w:hAnsi="AdvCaeciliaRm" w:cs="AdvCaeciliaRm"/>
          <w:sz w:val="24"/>
          <w:szCs w:val="24"/>
        </w:rPr>
        <w:t xml:space="preserve"> markers. Moreover, the generations</w:t>
      </w:r>
      <w:r w:rsidR="00D86CA0" w:rsidRPr="00482A0E">
        <w:rPr>
          <w:rFonts w:ascii="AdvCaeciliaRm" w:hAnsi="AdvCaeciliaRm" w:cs="AdvCaeciliaRm"/>
          <w:sz w:val="24"/>
          <w:szCs w:val="24"/>
        </w:rPr>
        <w:t xml:space="preserve"> </w:t>
      </w:r>
      <w:r w:rsidR="00F33634" w:rsidRPr="00482A0E">
        <w:rPr>
          <w:rFonts w:ascii="AdvCaeciliaRm" w:hAnsi="AdvCaeciliaRm" w:cs="AdvCaeciliaRm"/>
          <w:sz w:val="24"/>
          <w:szCs w:val="24"/>
        </w:rPr>
        <w:t>produced on PDA medium show that periodical transfer</w:t>
      </w:r>
      <w:r w:rsidR="00D86CA0" w:rsidRPr="00482A0E">
        <w:rPr>
          <w:rFonts w:ascii="AdvCaeciliaRm" w:hAnsi="AdvCaeciliaRm" w:cs="AdvCaeciliaRm"/>
          <w:sz w:val="24"/>
          <w:szCs w:val="24"/>
        </w:rPr>
        <w:t xml:space="preserve"> </w:t>
      </w:r>
      <w:r w:rsidR="00F33634" w:rsidRPr="00482A0E">
        <w:rPr>
          <w:rFonts w:ascii="AdvCaeciliaRm" w:hAnsi="AdvCaeciliaRm" w:cs="AdvCaeciliaRm"/>
          <w:sz w:val="24"/>
          <w:szCs w:val="24"/>
        </w:rPr>
        <w:t xml:space="preserve">of isolates of </w:t>
      </w:r>
      <w:r w:rsidR="00F33634" w:rsidRPr="00482A0E">
        <w:rPr>
          <w:rFonts w:ascii="AdvCaeciliaIt" w:hAnsi="AdvCaeciliaIt" w:cs="AdvCaeciliaIt"/>
          <w:sz w:val="24"/>
          <w:szCs w:val="24"/>
        </w:rPr>
        <w:t xml:space="preserve">B. </w:t>
      </w:r>
      <w:proofErr w:type="spellStart"/>
      <w:r w:rsidR="00F33634" w:rsidRPr="00482A0E">
        <w:rPr>
          <w:rFonts w:ascii="AdvCaeciliaIt" w:hAnsi="AdvCaeciliaIt" w:cs="AdvCaeciliaIt"/>
          <w:sz w:val="24"/>
          <w:szCs w:val="24"/>
        </w:rPr>
        <w:t>cinerea</w:t>
      </w:r>
      <w:proofErr w:type="spellEnd"/>
      <w:r w:rsidR="00F33634" w:rsidRPr="00482A0E">
        <w:rPr>
          <w:rFonts w:ascii="AdvCaeciliaIt" w:hAnsi="AdvCaeciliaIt" w:cs="AdvCaeciliaIt"/>
          <w:sz w:val="24"/>
          <w:szCs w:val="24"/>
        </w:rPr>
        <w:t xml:space="preserve"> </w:t>
      </w:r>
      <w:r w:rsidR="00F33634" w:rsidRPr="00482A0E">
        <w:rPr>
          <w:rFonts w:ascii="AdvCaeciliaRm" w:hAnsi="AdvCaeciliaRm" w:cs="AdvCaeciliaRm"/>
          <w:sz w:val="24"/>
          <w:szCs w:val="24"/>
        </w:rPr>
        <w:t>to fresh medium, as commonly done in</w:t>
      </w:r>
      <w:r w:rsidR="00D86CA0" w:rsidRPr="00482A0E">
        <w:rPr>
          <w:rFonts w:ascii="AdvCaeciliaRm" w:hAnsi="AdvCaeciliaRm" w:cs="AdvCaeciliaRm"/>
          <w:sz w:val="24"/>
          <w:szCs w:val="24"/>
        </w:rPr>
        <w:t xml:space="preserve"> </w:t>
      </w:r>
      <w:r w:rsidR="00F33634" w:rsidRPr="00482A0E">
        <w:rPr>
          <w:rFonts w:ascii="AdvCaeciliaRm" w:hAnsi="AdvCaeciliaRm" w:cs="AdvCaeciliaRm"/>
          <w:sz w:val="24"/>
          <w:szCs w:val="24"/>
        </w:rPr>
        <w:t>many laboratories, does not</w:t>
      </w:r>
      <w:r w:rsidR="00484DEF">
        <w:rPr>
          <w:rFonts w:ascii="AdvCaeciliaRm" w:hAnsi="AdvCaeciliaRm" w:cs="AdvCaeciliaRm"/>
          <w:sz w:val="24"/>
          <w:szCs w:val="24"/>
        </w:rPr>
        <w:t xml:space="preserve"> </w:t>
      </w:r>
      <w:r w:rsidR="00F33634" w:rsidRPr="00482A0E">
        <w:rPr>
          <w:rFonts w:ascii="AdvCaeciliaRm" w:hAnsi="AdvCaeciliaRm" w:cs="AdvCaeciliaRm"/>
          <w:sz w:val="24"/>
          <w:szCs w:val="24"/>
        </w:rPr>
        <w:t>modify their microsatellite pattern. This stability is particularly important in population diversity</w:t>
      </w:r>
      <w:r w:rsidR="00D86CA0" w:rsidRPr="00482A0E">
        <w:rPr>
          <w:rFonts w:ascii="AdvCaeciliaRm" w:hAnsi="AdvCaeciliaRm" w:cs="AdvCaeciliaRm"/>
          <w:sz w:val="24"/>
          <w:szCs w:val="24"/>
        </w:rPr>
        <w:t xml:space="preserve"> </w:t>
      </w:r>
      <w:r w:rsidR="00F33634" w:rsidRPr="00482A0E">
        <w:rPr>
          <w:rFonts w:ascii="AdvCaeciliaRm" w:hAnsi="AdvCaeciliaRm" w:cs="AdvCaeciliaRm"/>
          <w:sz w:val="24"/>
          <w:szCs w:val="24"/>
        </w:rPr>
        <w:t>studies when researchers test strains from collections that</w:t>
      </w:r>
      <w:r w:rsidR="00D86CA0" w:rsidRPr="00482A0E">
        <w:rPr>
          <w:rFonts w:ascii="AdvCaeciliaRm" w:hAnsi="AdvCaeciliaRm" w:cs="AdvCaeciliaRm"/>
          <w:sz w:val="24"/>
          <w:szCs w:val="24"/>
        </w:rPr>
        <w:t xml:space="preserve"> </w:t>
      </w:r>
      <w:r w:rsidR="00F33634" w:rsidRPr="00482A0E">
        <w:rPr>
          <w:rFonts w:ascii="AdvCaeciliaRm" w:hAnsi="AdvCaeciliaRm" w:cs="AdvCaeciliaRm"/>
          <w:sz w:val="24"/>
          <w:szCs w:val="24"/>
        </w:rPr>
        <w:t>need to be regularly propagated on medium in the laboratory.</w:t>
      </w:r>
      <w:r w:rsidR="00D86CA0" w:rsidRPr="00482A0E">
        <w:rPr>
          <w:rFonts w:ascii="AdvCaeciliaRm" w:hAnsi="AdvCaeciliaRm" w:cs="AdvCaeciliaRm"/>
          <w:sz w:val="24"/>
          <w:szCs w:val="24"/>
        </w:rPr>
        <w:t xml:space="preserve"> </w:t>
      </w:r>
      <w:r w:rsidR="00F33634" w:rsidRPr="00482A0E">
        <w:rPr>
          <w:rFonts w:ascii="AdvCaeciliaRm" w:hAnsi="AdvCaeciliaRm" w:cs="AdvCaeciliaRm"/>
          <w:sz w:val="24"/>
          <w:szCs w:val="24"/>
        </w:rPr>
        <w:t>To complement this study, the stability of microsatellites after</w:t>
      </w:r>
      <w:r w:rsidR="00D86CA0" w:rsidRPr="00482A0E">
        <w:rPr>
          <w:rFonts w:ascii="AdvCaeciliaRm" w:hAnsi="AdvCaeciliaRm" w:cs="AdvCaeciliaRm"/>
          <w:sz w:val="24"/>
          <w:szCs w:val="24"/>
        </w:rPr>
        <w:t xml:space="preserve"> </w:t>
      </w:r>
      <w:r w:rsidR="00F33634" w:rsidRPr="00482A0E">
        <w:rPr>
          <w:rFonts w:ascii="AdvCaeciliaRm" w:hAnsi="AdvCaeciliaRm" w:cs="AdvCaeciliaRm"/>
          <w:sz w:val="24"/>
          <w:szCs w:val="24"/>
        </w:rPr>
        <w:t>successive cycles of sexual reproduction should be evaluated.</w:t>
      </w:r>
      <w:r w:rsidR="00D86CA0" w:rsidRPr="00482A0E">
        <w:rPr>
          <w:rFonts w:ascii="AdvCaeciliaRm" w:hAnsi="AdvCaeciliaRm" w:cs="AdvCaeciliaRm"/>
          <w:sz w:val="24"/>
          <w:szCs w:val="24"/>
        </w:rPr>
        <w:t xml:space="preserve"> </w:t>
      </w:r>
      <w:r w:rsidR="00F33634" w:rsidRPr="00482A0E">
        <w:rPr>
          <w:rFonts w:ascii="AdvCaeciliaRm" w:hAnsi="AdvCaeciliaRm" w:cs="AdvCaeciliaRm"/>
          <w:sz w:val="24"/>
          <w:szCs w:val="24"/>
        </w:rPr>
        <w:t xml:space="preserve">Moreover, </w:t>
      </w:r>
      <w:proofErr w:type="spellStart"/>
      <w:r w:rsidR="00F33634" w:rsidRPr="00482A0E">
        <w:rPr>
          <w:rFonts w:ascii="AdvCaeciliaRm" w:hAnsi="AdvCaeciliaRm" w:cs="AdvCaeciliaRm"/>
          <w:sz w:val="24"/>
          <w:szCs w:val="24"/>
        </w:rPr>
        <w:t>itwould</w:t>
      </w:r>
      <w:proofErr w:type="spellEnd"/>
      <w:r w:rsidR="00F33634" w:rsidRPr="00482A0E">
        <w:rPr>
          <w:rFonts w:ascii="AdvCaeciliaRm" w:hAnsi="AdvCaeciliaRm" w:cs="AdvCaeciliaRm"/>
          <w:sz w:val="24"/>
          <w:szCs w:val="24"/>
        </w:rPr>
        <w:t xml:space="preserve"> be interesting to understand better at the genome</w:t>
      </w:r>
      <w:r w:rsidR="00D86CA0" w:rsidRPr="00482A0E">
        <w:rPr>
          <w:rFonts w:ascii="AdvCaeciliaRm" w:hAnsi="AdvCaeciliaRm" w:cs="AdvCaeciliaRm"/>
          <w:sz w:val="24"/>
          <w:szCs w:val="24"/>
        </w:rPr>
        <w:t xml:space="preserve"> </w:t>
      </w:r>
      <w:r w:rsidR="00F33634" w:rsidRPr="00482A0E">
        <w:rPr>
          <w:rFonts w:ascii="AdvCaeciliaRm" w:hAnsi="AdvCaeciliaRm" w:cs="AdvCaeciliaRm"/>
          <w:sz w:val="24"/>
          <w:szCs w:val="24"/>
        </w:rPr>
        <w:t>level what is happening during this selection process.</w:t>
      </w:r>
      <w:r w:rsidR="00D86CA0" w:rsidRPr="00482A0E">
        <w:rPr>
          <w:rFonts w:ascii="AdvP6EC0" w:hAnsi="AdvP6EC0" w:cs="AdvP6EC0"/>
          <w:color w:val="231F20"/>
          <w:sz w:val="24"/>
          <w:szCs w:val="24"/>
        </w:rPr>
        <w:t xml:space="preserve"> </w:t>
      </w:r>
    </w:p>
    <w:p w:rsidR="004B6A04" w:rsidRDefault="004B6A04" w:rsidP="00A86D84">
      <w:pPr>
        <w:rPr>
          <w:rFonts w:ascii="AdvP6EC0" w:hAnsi="AdvP6EC0" w:cs="AdvP6EC0"/>
          <w:color w:val="231F20"/>
          <w:sz w:val="18"/>
          <w:szCs w:val="18"/>
        </w:rPr>
      </w:pPr>
    </w:p>
    <w:p w:rsidR="004B6A04" w:rsidRDefault="004B6A04" w:rsidP="00A86D84">
      <w:pPr>
        <w:rPr>
          <w:rFonts w:ascii="AdvP6EC0" w:hAnsi="AdvP6EC0" w:cs="AdvP6EC0"/>
          <w:color w:val="231F20"/>
          <w:sz w:val="18"/>
          <w:szCs w:val="18"/>
        </w:rPr>
      </w:pPr>
    </w:p>
    <w:p w:rsidR="008114A5" w:rsidRDefault="008114A5" w:rsidP="008114A5">
      <w:pPr>
        <w:rPr>
          <w:rFonts w:ascii="AdvP6EC0" w:hAnsi="AdvP6EC0" w:cs="AdvP6EC0"/>
          <w:color w:val="231F20"/>
          <w:sz w:val="18"/>
          <w:szCs w:val="18"/>
        </w:rPr>
      </w:pPr>
      <w:r w:rsidRPr="008114A5">
        <w:rPr>
          <w:rFonts w:ascii="AdvP6EC0" w:hAnsi="AdvP6EC0" w:cs="AdvP6EC0"/>
          <w:color w:val="231F20"/>
          <w:sz w:val="18"/>
          <w:szCs w:val="18"/>
          <w:highlight w:val="yellow"/>
        </w:rPr>
        <w:t xml:space="preserve">Mutation as a Stress Response and the Regulation of </w:t>
      </w:r>
      <w:proofErr w:type="spellStart"/>
      <w:r w:rsidRPr="008114A5">
        <w:rPr>
          <w:rFonts w:ascii="AdvP6EC0" w:hAnsi="AdvP6EC0" w:cs="AdvP6EC0"/>
          <w:color w:val="231F20"/>
          <w:sz w:val="18"/>
          <w:szCs w:val="18"/>
          <w:highlight w:val="yellow"/>
        </w:rPr>
        <w:t>Evolvability</w:t>
      </w:r>
      <w:proofErr w:type="spellEnd"/>
    </w:p>
    <w:p w:rsidR="008114A5" w:rsidRDefault="008114A5" w:rsidP="008114A5">
      <w:pPr>
        <w:rPr>
          <w:rFonts w:ascii="AdvP6EC0" w:hAnsi="AdvP6EC0" w:cs="AdvP6EC0"/>
          <w:color w:val="231F20"/>
          <w:sz w:val="18"/>
          <w:szCs w:val="18"/>
        </w:rPr>
      </w:pPr>
      <w:r w:rsidRPr="008114A5">
        <w:rPr>
          <w:rFonts w:ascii="AdvP6EC0" w:hAnsi="AdvP6EC0" w:cs="AdvP6EC0"/>
          <w:color w:val="231F20"/>
          <w:sz w:val="18"/>
          <w:szCs w:val="18"/>
        </w:rPr>
        <w:t xml:space="preserve">Rodrigo S. </w:t>
      </w:r>
      <w:proofErr w:type="spellStart"/>
      <w:r w:rsidRPr="008114A5">
        <w:rPr>
          <w:rFonts w:ascii="AdvP6EC0" w:hAnsi="AdvP6EC0" w:cs="AdvP6EC0"/>
          <w:color w:val="231F20"/>
          <w:sz w:val="18"/>
          <w:szCs w:val="18"/>
        </w:rPr>
        <w:t>Galhardo</w:t>
      </w:r>
      <w:proofErr w:type="spellEnd"/>
      <w:r w:rsidRPr="008114A5">
        <w:rPr>
          <w:rFonts w:ascii="AdvP6EC0" w:hAnsi="AdvP6EC0" w:cs="AdvP6EC0"/>
          <w:color w:val="231F20"/>
          <w:sz w:val="18"/>
          <w:szCs w:val="18"/>
        </w:rPr>
        <w:t>,</w:t>
      </w:r>
      <w:r>
        <w:rPr>
          <w:rFonts w:ascii="AdvP6EC0" w:hAnsi="AdvP6EC0" w:cs="AdvP6EC0"/>
          <w:color w:val="231F20"/>
          <w:sz w:val="18"/>
          <w:szCs w:val="18"/>
        </w:rPr>
        <w:t xml:space="preserve"> </w:t>
      </w:r>
      <w:r w:rsidRPr="008114A5">
        <w:rPr>
          <w:rFonts w:ascii="AdvP6EC0" w:hAnsi="AdvP6EC0" w:cs="AdvP6EC0"/>
          <w:color w:val="231F20"/>
          <w:sz w:val="18"/>
          <w:szCs w:val="18"/>
        </w:rPr>
        <w:t>P. J. Hastings,</w:t>
      </w:r>
      <w:r>
        <w:rPr>
          <w:rFonts w:ascii="AdvP6EC0" w:hAnsi="AdvP6EC0" w:cs="AdvP6EC0"/>
          <w:color w:val="231F20"/>
          <w:sz w:val="18"/>
          <w:szCs w:val="18"/>
        </w:rPr>
        <w:t xml:space="preserve"> </w:t>
      </w:r>
      <w:r w:rsidRPr="008114A5">
        <w:rPr>
          <w:rFonts w:ascii="AdvP6EC0" w:hAnsi="AdvP6EC0" w:cs="AdvP6EC0"/>
          <w:color w:val="231F20"/>
          <w:sz w:val="18"/>
          <w:szCs w:val="18"/>
        </w:rPr>
        <w:t>and Susan M. Rosenberg</w:t>
      </w:r>
    </w:p>
    <w:p w:rsidR="008114A5" w:rsidRDefault="008114A5" w:rsidP="008114A5">
      <w:pPr>
        <w:rPr>
          <w:rFonts w:ascii="AdvP6EC0" w:hAnsi="AdvP6EC0" w:cs="AdvP6EC0"/>
          <w:color w:val="231F20"/>
          <w:sz w:val="18"/>
          <w:szCs w:val="18"/>
        </w:rPr>
      </w:pPr>
    </w:p>
    <w:p w:rsidR="008114A5" w:rsidRDefault="008114A5" w:rsidP="008114A5">
      <w:pPr>
        <w:rPr>
          <w:rFonts w:ascii="AdvP6EC0" w:hAnsi="AdvP6EC0" w:cs="AdvP6EC0"/>
          <w:color w:val="231F20"/>
          <w:sz w:val="18"/>
          <w:szCs w:val="18"/>
        </w:rPr>
      </w:pPr>
      <w:r w:rsidRPr="008114A5">
        <w:rPr>
          <w:rFonts w:ascii="AdvP6EC0" w:hAnsi="AdvP6EC0" w:cs="AdvP6EC0"/>
          <w:color w:val="231F20"/>
          <w:sz w:val="18"/>
          <w:szCs w:val="18"/>
          <w:highlight w:val="yellow"/>
        </w:rPr>
        <w:t xml:space="preserve">Stimulatory Effects of </w:t>
      </w:r>
      <w:proofErr w:type="spellStart"/>
      <w:r w:rsidRPr="008114A5">
        <w:rPr>
          <w:rFonts w:ascii="AdvP6EC0" w:hAnsi="AdvP6EC0" w:cs="AdvP6EC0"/>
          <w:color w:val="231F20"/>
          <w:sz w:val="18"/>
          <w:szCs w:val="18"/>
          <w:highlight w:val="yellow"/>
        </w:rPr>
        <w:t>Sublethal</w:t>
      </w:r>
      <w:proofErr w:type="spellEnd"/>
      <w:r w:rsidRPr="008114A5">
        <w:rPr>
          <w:rFonts w:ascii="AdvP6EC0" w:hAnsi="AdvP6EC0" w:cs="AdvP6EC0"/>
          <w:color w:val="231F20"/>
          <w:sz w:val="18"/>
          <w:szCs w:val="18"/>
          <w:highlight w:val="yellow"/>
        </w:rPr>
        <w:t xml:space="preserve"> Doses of </w:t>
      </w:r>
      <w:proofErr w:type="spellStart"/>
      <w:r w:rsidRPr="008114A5">
        <w:rPr>
          <w:rFonts w:ascii="AdvP6EC0" w:hAnsi="AdvP6EC0" w:cs="AdvP6EC0"/>
          <w:color w:val="231F20"/>
          <w:sz w:val="18"/>
          <w:szCs w:val="18"/>
          <w:highlight w:val="yellow"/>
        </w:rPr>
        <w:t>Dimethachlon</w:t>
      </w:r>
      <w:proofErr w:type="spellEnd"/>
      <w:r w:rsidRPr="008114A5">
        <w:rPr>
          <w:rFonts w:ascii="AdvP6EC0" w:hAnsi="AdvP6EC0" w:cs="AdvP6EC0"/>
          <w:color w:val="231F20"/>
          <w:sz w:val="18"/>
          <w:szCs w:val="18"/>
          <w:highlight w:val="yellow"/>
        </w:rPr>
        <w:t xml:space="preserve"> on Sclerotinia sclerotiorum</w:t>
      </w:r>
    </w:p>
    <w:p w:rsidR="008114A5" w:rsidRDefault="008114A5" w:rsidP="008114A5">
      <w:pPr>
        <w:rPr>
          <w:rFonts w:ascii="AdvP6EC0" w:hAnsi="AdvP6EC0" w:cs="AdvP6EC0"/>
          <w:color w:val="231F20"/>
          <w:sz w:val="18"/>
          <w:szCs w:val="18"/>
        </w:rPr>
      </w:pPr>
      <w:r w:rsidRPr="008114A5">
        <w:rPr>
          <w:rFonts w:ascii="AdvP6EC0" w:hAnsi="AdvP6EC0" w:cs="AdvP6EC0"/>
          <w:color w:val="231F20"/>
          <w:sz w:val="18"/>
          <w:szCs w:val="18"/>
        </w:rPr>
        <w:t>Feng Zhou, Hong-</w:t>
      </w:r>
      <w:proofErr w:type="spellStart"/>
      <w:r w:rsidRPr="008114A5">
        <w:rPr>
          <w:rFonts w:ascii="AdvP6EC0" w:hAnsi="AdvP6EC0" w:cs="AdvP6EC0"/>
          <w:color w:val="231F20"/>
          <w:sz w:val="18"/>
          <w:szCs w:val="18"/>
        </w:rPr>
        <w:t>Jie</w:t>
      </w:r>
      <w:proofErr w:type="spellEnd"/>
      <w:r w:rsidRPr="008114A5">
        <w:rPr>
          <w:rFonts w:ascii="AdvP6EC0" w:hAnsi="AdvP6EC0" w:cs="AdvP6EC0"/>
          <w:color w:val="231F20"/>
          <w:sz w:val="18"/>
          <w:szCs w:val="18"/>
        </w:rPr>
        <w:t xml:space="preserve"> Liang, </w:t>
      </w:r>
      <w:proofErr w:type="spellStart"/>
      <w:r w:rsidRPr="008114A5">
        <w:rPr>
          <w:rFonts w:ascii="AdvP6EC0" w:hAnsi="AdvP6EC0" w:cs="AdvP6EC0"/>
          <w:color w:val="231F20"/>
          <w:sz w:val="18"/>
          <w:szCs w:val="18"/>
        </w:rPr>
        <w:t>Ya</w:t>
      </w:r>
      <w:proofErr w:type="spellEnd"/>
      <w:r w:rsidRPr="008114A5">
        <w:rPr>
          <w:rFonts w:ascii="AdvP6EC0" w:hAnsi="AdvP6EC0" w:cs="AdvP6EC0"/>
          <w:color w:val="231F20"/>
          <w:sz w:val="18"/>
          <w:szCs w:val="18"/>
        </w:rPr>
        <w:t>-Li Di, Hong You, and Fu-Xing Zhu,</w:t>
      </w:r>
    </w:p>
    <w:p w:rsidR="008114A5" w:rsidRPr="00D86CA0" w:rsidRDefault="008820BE" w:rsidP="005A646D">
      <w:pPr>
        <w:rPr>
          <w:rFonts w:cs="AdvP6EC0"/>
          <w:color w:val="231F20"/>
        </w:rPr>
      </w:pPr>
      <w:r w:rsidRPr="00D86CA0">
        <w:rPr>
          <w:rFonts w:cs="Times-Italic"/>
          <w:i/>
          <w:iCs/>
        </w:rPr>
        <w:t xml:space="preserve">Sclerotinia sclerotiorum </w:t>
      </w:r>
      <w:r w:rsidRPr="00D86CA0">
        <w:rPr>
          <w:rFonts w:cs="Times-Roman"/>
        </w:rPr>
        <w:t>is one of the most devastating and economically</w:t>
      </w:r>
      <w:r w:rsidR="00716548">
        <w:rPr>
          <w:rFonts w:cs="Times-Roman"/>
        </w:rPr>
        <w:t xml:space="preserve"> </w:t>
      </w:r>
      <w:r w:rsidRPr="00D86CA0">
        <w:rPr>
          <w:rFonts w:cs="Times-Roman"/>
        </w:rPr>
        <w:t xml:space="preserve">important necrotrophic fungal </w:t>
      </w:r>
      <w:proofErr w:type="spellStart"/>
      <w:r w:rsidRPr="00D86CA0">
        <w:rPr>
          <w:rFonts w:cs="Times-Roman"/>
        </w:rPr>
        <w:t>phytopathogens</w:t>
      </w:r>
      <w:proofErr w:type="spellEnd"/>
      <w:r w:rsidRPr="00D86CA0">
        <w:rPr>
          <w:rFonts w:cs="Times-Roman"/>
        </w:rPr>
        <w:t>, capable of</w:t>
      </w:r>
      <w:r w:rsidR="00716548">
        <w:rPr>
          <w:rFonts w:cs="Times-Roman"/>
        </w:rPr>
        <w:t xml:space="preserve"> </w:t>
      </w:r>
      <w:r w:rsidRPr="00D86CA0">
        <w:rPr>
          <w:rFonts w:cs="Times-Roman"/>
        </w:rPr>
        <w:t>infecting more than 400 species of plants worldwide.</w:t>
      </w:r>
      <w:r w:rsidR="005A646D" w:rsidRPr="00D86CA0">
        <w:rPr>
          <w:rFonts w:cs="Times-Roman"/>
        </w:rPr>
        <w:t xml:space="preserve"> Fungicides have been a major method for control of</w:t>
      </w:r>
      <w:r w:rsidR="00D86CA0" w:rsidRPr="00D86CA0">
        <w:rPr>
          <w:rFonts w:cs="Times-Roman"/>
        </w:rPr>
        <w:t xml:space="preserve"> </w:t>
      </w:r>
      <w:r w:rsidR="005A646D" w:rsidRPr="00D86CA0">
        <w:rPr>
          <w:rFonts w:cs="Times-Roman"/>
        </w:rPr>
        <w:t>Sclerotinia diseases due to the lack of adequate levels of host resistance</w:t>
      </w:r>
      <w:r w:rsidR="00D86CA0" w:rsidRPr="00D86CA0">
        <w:rPr>
          <w:rFonts w:cs="Times-Roman"/>
        </w:rPr>
        <w:t xml:space="preserve"> </w:t>
      </w:r>
      <w:r w:rsidR="005A646D" w:rsidRPr="00D86CA0">
        <w:rPr>
          <w:rFonts w:cs="Times-Roman"/>
        </w:rPr>
        <w:t>(4).</w:t>
      </w:r>
    </w:p>
    <w:p w:rsidR="008820BE" w:rsidRPr="00D86CA0" w:rsidRDefault="004F1C28" w:rsidP="004F1C28">
      <w:pPr>
        <w:rPr>
          <w:rFonts w:cs="Times-Roman"/>
        </w:rPr>
      </w:pPr>
      <w:r w:rsidRPr="00D86CA0">
        <w:rPr>
          <w:rFonts w:cs="Times-Roman"/>
        </w:rPr>
        <w:t>In order to study</w:t>
      </w:r>
      <w:r w:rsidR="00716548">
        <w:rPr>
          <w:rFonts w:cs="Times-Roman"/>
        </w:rPr>
        <w:t xml:space="preserve"> </w:t>
      </w:r>
      <w:r w:rsidRPr="00D86CA0">
        <w:rPr>
          <w:rFonts w:cs="Times-Roman"/>
        </w:rPr>
        <w:t xml:space="preserve">stimulatory effects of </w:t>
      </w:r>
      <w:proofErr w:type="spellStart"/>
      <w:r w:rsidRPr="00D86CA0">
        <w:rPr>
          <w:rFonts w:cs="Times-Roman"/>
        </w:rPr>
        <w:t>sublethal</w:t>
      </w:r>
      <w:proofErr w:type="spellEnd"/>
      <w:r w:rsidRPr="00D86CA0">
        <w:rPr>
          <w:rFonts w:cs="Times-Roman"/>
        </w:rPr>
        <w:t xml:space="preserve"> doses of fungicides on </w:t>
      </w:r>
      <w:r w:rsidRPr="00D86CA0">
        <w:rPr>
          <w:rFonts w:cs="Times-Italic"/>
          <w:i/>
          <w:iCs/>
        </w:rPr>
        <w:t>S. sclerotiorum</w:t>
      </w:r>
      <w:r w:rsidRPr="00D86CA0">
        <w:rPr>
          <w:rFonts w:cs="Times-Roman"/>
        </w:rPr>
        <w:t xml:space="preserve">,55 </w:t>
      </w:r>
      <w:proofErr w:type="spellStart"/>
      <w:r w:rsidRPr="00D86CA0">
        <w:rPr>
          <w:rFonts w:cs="Times-Roman"/>
        </w:rPr>
        <w:t>dimethachlon</w:t>
      </w:r>
      <w:proofErr w:type="spellEnd"/>
      <w:r w:rsidRPr="00D86CA0">
        <w:rPr>
          <w:rFonts w:cs="Times-Roman"/>
        </w:rPr>
        <w:t xml:space="preserve">-sensitive isolates and 3 </w:t>
      </w:r>
      <w:proofErr w:type="spellStart"/>
      <w:r w:rsidRPr="00D86CA0">
        <w:rPr>
          <w:rFonts w:cs="Times-Roman"/>
        </w:rPr>
        <w:t>dimethachlon</w:t>
      </w:r>
      <w:proofErr w:type="spellEnd"/>
      <w:r w:rsidRPr="00D86CA0">
        <w:rPr>
          <w:rFonts w:cs="Times-Roman"/>
        </w:rPr>
        <w:t>-resistant isolates</w:t>
      </w:r>
      <w:r w:rsidR="00716548">
        <w:rPr>
          <w:rFonts w:cs="Times-Roman"/>
        </w:rPr>
        <w:t xml:space="preserve"> </w:t>
      </w:r>
      <w:r w:rsidRPr="00D86CA0">
        <w:rPr>
          <w:rFonts w:cs="Times-Roman"/>
        </w:rPr>
        <w:t xml:space="preserve">of </w:t>
      </w:r>
      <w:r w:rsidRPr="00D86CA0">
        <w:rPr>
          <w:rFonts w:cs="Times-Italic"/>
          <w:i/>
          <w:iCs/>
        </w:rPr>
        <w:t xml:space="preserve">S. sclerotiorum </w:t>
      </w:r>
      <w:r w:rsidRPr="00D86CA0">
        <w:rPr>
          <w:rFonts w:cs="Times-Roman"/>
        </w:rPr>
        <w:t xml:space="preserve">were assayed to determine effects of </w:t>
      </w:r>
      <w:proofErr w:type="spellStart"/>
      <w:r w:rsidRPr="00D86CA0">
        <w:rPr>
          <w:rFonts w:cs="Times-Roman"/>
        </w:rPr>
        <w:t>sublethal</w:t>
      </w:r>
      <w:proofErr w:type="spellEnd"/>
      <w:r w:rsidR="00716548">
        <w:rPr>
          <w:rFonts w:cs="Times-Roman"/>
        </w:rPr>
        <w:t xml:space="preserve"> </w:t>
      </w:r>
      <w:r w:rsidRPr="00D86CA0">
        <w:rPr>
          <w:rFonts w:cs="Times-Roman"/>
        </w:rPr>
        <w:t xml:space="preserve">doses of </w:t>
      </w:r>
      <w:proofErr w:type="spellStart"/>
      <w:r w:rsidRPr="00D86CA0">
        <w:rPr>
          <w:rFonts w:cs="Times-Roman"/>
        </w:rPr>
        <w:t>dimethachlon</w:t>
      </w:r>
      <w:proofErr w:type="spellEnd"/>
      <w:r w:rsidRPr="00D86CA0">
        <w:rPr>
          <w:rFonts w:cs="Times-Roman"/>
        </w:rPr>
        <w:t xml:space="preserve"> on mycelial growth rate on potato dextrose agar(PDA) media and virulence on oilseed rape plants. Results showed that</w:t>
      </w:r>
      <w:r w:rsidR="00716548">
        <w:rPr>
          <w:rFonts w:cs="Times-Roman"/>
        </w:rPr>
        <w:t xml:space="preserve"> </w:t>
      </w:r>
      <w:r w:rsidRPr="00D86CA0">
        <w:rPr>
          <w:rFonts w:cs="Times-Roman"/>
        </w:rPr>
        <w:t xml:space="preserve">all 3 </w:t>
      </w:r>
      <w:proofErr w:type="spellStart"/>
      <w:r w:rsidRPr="00D86CA0">
        <w:rPr>
          <w:rFonts w:cs="Times-Roman"/>
        </w:rPr>
        <w:t>dimethachlon</w:t>
      </w:r>
      <w:proofErr w:type="spellEnd"/>
      <w:r w:rsidRPr="00D86CA0">
        <w:rPr>
          <w:rFonts w:cs="Times-Roman"/>
        </w:rPr>
        <w:t>-resistant isolates and 13 of the 55 sensitive isolates</w:t>
      </w:r>
      <w:r w:rsidR="00716548">
        <w:rPr>
          <w:rFonts w:cs="Times-Roman"/>
        </w:rPr>
        <w:t xml:space="preserve"> </w:t>
      </w:r>
      <w:r w:rsidRPr="00D86CA0">
        <w:rPr>
          <w:rFonts w:cs="Times-Roman"/>
        </w:rPr>
        <w:t xml:space="preserve">exhibited stimulatory responses to </w:t>
      </w:r>
      <w:proofErr w:type="spellStart"/>
      <w:r w:rsidRPr="00D86CA0">
        <w:rPr>
          <w:rFonts w:cs="Times-Roman"/>
        </w:rPr>
        <w:t>sublethal</w:t>
      </w:r>
      <w:proofErr w:type="spellEnd"/>
      <w:r w:rsidRPr="00D86CA0">
        <w:rPr>
          <w:rFonts w:cs="Times-Roman"/>
        </w:rPr>
        <w:t xml:space="preserve"> doses of </w:t>
      </w:r>
      <w:proofErr w:type="spellStart"/>
      <w:r w:rsidRPr="00D86CA0">
        <w:rPr>
          <w:rFonts w:cs="Times-Roman"/>
        </w:rPr>
        <w:t>dimethachlon</w:t>
      </w:r>
      <w:proofErr w:type="spellEnd"/>
      <w:r w:rsidRPr="00D86CA0">
        <w:rPr>
          <w:rFonts w:cs="Times-Roman"/>
        </w:rPr>
        <w:t>.</w:t>
      </w:r>
    </w:p>
    <w:p w:rsidR="004F1C28" w:rsidRPr="00D86CA0" w:rsidRDefault="004F1C28" w:rsidP="004F1C28">
      <w:pPr>
        <w:rPr>
          <w:rFonts w:cs="Times-Roman"/>
        </w:rPr>
      </w:pPr>
      <w:proofErr w:type="spellStart"/>
      <w:r w:rsidRPr="00D86CA0">
        <w:rPr>
          <w:rFonts w:cs="Times-Roman"/>
        </w:rPr>
        <w:t>Dimethachlon</w:t>
      </w:r>
      <w:proofErr w:type="spellEnd"/>
      <w:r w:rsidRPr="00D86CA0">
        <w:rPr>
          <w:rFonts w:cs="Times-Roman"/>
        </w:rPr>
        <w:t>-resistant isolates grew significantly (</w:t>
      </w:r>
      <w:r w:rsidRPr="00D86CA0">
        <w:rPr>
          <w:rFonts w:cs="Times-Italic"/>
          <w:i/>
          <w:iCs/>
        </w:rPr>
        <w:t xml:space="preserve">P </w:t>
      </w:r>
      <w:r w:rsidRPr="00D86CA0">
        <w:rPr>
          <w:rFonts w:cs="Times-Roman"/>
        </w:rPr>
        <w:t>&lt; 0.05) faster on</w:t>
      </w:r>
      <w:r w:rsidR="003F6B6E">
        <w:rPr>
          <w:rFonts w:cs="Times-Roman"/>
        </w:rPr>
        <w:t xml:space="preserve"> </w:t>
      </w:r>
      <w:r w:rsidRPr="00D86CA0">
        <w:rPr>
          <w:rFonts w:cs="Times-Roman"/>
        </w:rPr>
        <w:t xml:space="preserve">PDA media amended with </w:t>
      </w:r>
      <w:proofErr w:type="spellStart"/>
      <w:r w:rsidRPr="00D86CA0">
        <w:rPr>
          <w:rFonts w:cs="Times-Roman"/>
        </w:rPr>
        <w:t>dimethachlon</w:t>
      </w:r>
      <w:proofErr w:type="spellEnd"/>
      <w:r w:rsidRPr="00D86CA0">
        <w:rPr>
          <w:rFonts w:cs="Times-Roman"/>
        </w:rPr>
        <w:t xml:space="preserve"> at 0.5 to 4 </w:t>
      </w:r>
      <w:proofErr w:type="spellStart"/>
      <w:r w:rsidRPr="00D86CA0">
        <w:rPr>
          <w:rFonts w:cs="Times-Roman"/>
        </w:rPr>
        <w:t>μg</w:t>
      </w:r>
      <w:proofErr w:type="spellEnd"/>
      <w:r w:rsidRPr="00D86CA0">
        <w:rPr>
          <w:rFonts w:cs="Times-Roman"/>
        </w:rPr>
        <w:t>/ml than on</w:t>
      </w:r>
      <w:r w:rsidR="003F6B6E">
        <w:rPr>
          <w:rFonts w:cs="Times-Roman"/>
        </w:rPr>
        <w:t xml:space="preserve"> </w:t>
      </w:r>
      <w:r w:rsidRPr="00D86CA0">
        <w:rPr>
          <w:rFonts w:cs="Times-Roman"/>
        </w:rPr>
        <w:t>fungicide-free PDA media.</w:t>
      </w:r>
    </w:p>
    <w:p w:rsidR="004F1C28" w:rsidRPr="00D86CA0" w:rsidRDefault="004F1C28" w:rsidP="004F1C28">
      <w:pPr>
        <w:rPr>
          <w:rFonts w:cs="Times-Roman"/>
        </w:rPr>
      </w:pPr>
      <w:r w:rsidRPr="00D86CA0">
        <w:rPr>
          <w:rFonts w:cs="Times-Roman"/>
        </w:rPr>
        <w:t>There have been some reports of plant pathogen growth and</w:t>
      </w:r>
      <w:r w:rsidR="003F6B6E">
        <w:rPr>
          <w:rFonts w:cs="Times-Roman"/>
        </w:rPr>
        <w:t xml:space="preserve"> </w:t>
      </w:r>
      <w:r w:rsidRPr="00D86CA0">
        <w:rPr>
          <w:rFonts w:cs="Times-Roman"/>
        </w:rPr>
        <w:t xml:space="preserve">virulence stimulations by </w:t>
      </w:r>
      <w:proofErr w:type="spellStart"/>
      <w:r w:rsidRPr="00D86CA0">
        <w:rPr>
          <w:rFonts w:cs="Times-Roman"/>
        </w:rPr>
        <w:t>sublethal</w:t>
      </w:r>
      <w:proofErr w:type="spellEnd"/>
      <w:r w:rsidRPr="00D86CA0">
        <w:rPr>
          <w:rFonts w:cs="Times-Roman"/>
        </w:rPr>
        <w:t xml:space="preserve"> doses of fungicides or other</w:t>
      </w:r>
      <w:r w:rsidR="003F6B6E">
        <w:rPr>
          <w:rFonts w:cs="Times-Roman"/>
        </w:rPr>
        <w:t xml:space="preserve"> </w:t>
      </w:r>
      <w:r w:rsidRPr="00D86CA0">
        <w:rPr>
          <w:rFonts w:cs="Times-Roman"/>
        </w:rPr>
        <w:t>chemicals (e.g., stimulation of Pythium damping-off of geranium</w:t>
      </w:r>
      <w:r w:rsidR="003F6B6E">
        <w:rPr>
          <w:rFonts w:cs="Times-Roman"/>
        </w:rPr>
        <w:t xml:space="preserve"> </w:t>
      </w:r>
      <w:r w:rsidRPr="00D86CA0">
        <w:rPr>
          <w:rFonts w:cs="Times-Roman"/>
        </w:rPr>
        <w:t xml:space="preserve">by </w:t>
      </w:r>
      <w:proofErr w:type="spellStart"/>
      <w:r w:rsidRPr="00D86CA0">
        <w:rPr>
          <w:rFonts w:cs="Times-Roman"/>
        </w:rPr>
        <w:t>sublethal</w:t>
      </w:r>
      <w:proofErr w:type="spellEnd"/>
      <w:r w:rsidRPr="00D86CA0">
        <w:rPr>
          <w:rFonts w:cs="Times-Roman"/>
        </w:rPr>
        <w:t xml:space="preserve"> doses of </w:t>
      </w:r>
      <w:proofErr w:type="spellStart"/>
      <w:r w:rsidRPr="00D86CA0">
        <w:rPr>
          <w:rFonts w:cs="Times-Roman"/>
        </w:rPr>
        <w:t>mefenoxam</w:t>
      </w:r>
      <w:proofErr w:type="spellEnd"/>
      <w:r w:rsidRPr="00D86CA0">
        <w:rPr>
          <w:rFonts w:cs="Times-Roman"/>
        </w:rPr>
        <w:t>; 18</w:t>
      </w:r>
      <w:proofErr w:type="gramStart"/>
      <w:r w:rsidRPr="00D86CA0">
        <w:rPr>
          <w:rFonts w:cs="Times-Roman"/>
        </w:rPr>
        <w:t>,19</w:t>
      </w:r>
      <w:proofErr w:type="gramEnd"/>
      <w:r w:rsidRPr="00D86CA0">
        <w:rPr>
          <w:rFonts w:cs="Times-Roman"/>
        </w:rPr>
        <w:t>).</w:t>
      </w:r>
    </w:p>
    <w:p w:rsidR="004F1C28" w:rsidRPr="00D86CA0" w:rsidRDefault="005A646D" w:rsidP="005A646D">
      <w:pPr>
        <w:rPr>
          <w:rFonts w:cs="Times-Roman"/>
        </w:rPr>
      </w:pPr>
      <w:proofErr w:type="spellStart"/>
      <w:r w:rsidRPr="00D86CA0">
        <w:rPr>
          <w:rFonts w:cs="Times-Roman"/>
        </w:rPr>
        <w:t>Baraldi</w:t>
      </w:r>
      <w:proofErr w:type="spellEnd"/>
      <w:r w:rsidRPr="00D86CA0">
        <w:rPr>
          <w:rFonts w:cs="Times-Roman"/>
        </w:rPr>
        <w:t xml:space="preserve"> et al. (2) reported</w:t>
      </w:r>
      <w:r w:rsidR="003F6B6E">
        <w:rPr>
          <w:rFonts w:cs="Times-Roman"/>
        </w:rPr>
        <w:t xml:space="preserve"> </w:t>
      </w:r>
      <w:r w:rsidRPr="00D86CA0">
        <w:rPr>
          <w:rFonts w:cs="Times-Roman"/>
        </w:rPr>
        <w:t xml:space="preserve">that low concentrations of </w:t>
      </w:r>
      <w:proofErr w:type="spellStart"/>
      <w:r w:rsidRPr="00D86CA0">
        <w:rPr>
          <w:rFonts w:cs="Times-Roman"/>
        </w:rPr>
        <w:t>thiabendazole</w:t>
      </w:r>
      <w:proofErr w:type="spellEnd"/>
      <w:r w:rsidRPr="00D86CA0">
        <w:rPr>
          <w:rFonts w:cs="Times-Roman"/>
        </w:rPr>
        <w:t xml:space="preserve"> amended in media could</w:t>
      </w:r>
      <w:r w:rsidR="003F6B6E">
        <w:rPr>
          <w:rFonts w:cs="Times-Roman"/>
        </w:rPr>
        <w:t xml:space="preserve"> </w:t>
      </w:r>
      <w:r w:rsidRPr="00D86CA0">
        <w:rPr>
          <w:rFonts w:cs="Times-Roman"/>
        </w:rPr>
        <w:t>increase germination percentages of some but not all</w:t>
      </w:r>
      <w:r w:rsidR="003F6B6E">
        <w:rPr>
          <w:rFonts w:cs="Times-Roman"/>
        </w:rPr>
        <w:t xml:space="preserve"> </w:t>
      </w:r>
      <w:proofErr w:type="spellStart"/>
      <w:r w:rsidRPr="00D86CA0">
        <w:rPr>
          <w:rFonts w:cs="Times-Roman"/>
        </w:rPr>
        <w:t>thiabendazole</w:t>
      </w:r>
      <w:proofErr w:type="spellEnd"/>
      <w:r w:rsidRPr="00D86CA0">
        <w:rPr>
          <w:rFonts w:cs="Times-Roman"/>
        </w:rPr>
        <w:t xml:space="preserve">-resistant </w:t>
      </w:r>
      <w:proofErr w:type="spellStart"/>
      <w:r w:rsidRPr="00D86CA0">
        <w:rPr>
          <w:rFonts w:cs="Times-Italic"/>
          <w:i/>
          <w:iCs/>
        </w:rPr>
        <w:t>Penicillium</w:t>
      </w:r>
      <w:proofErr w:type="spellEnd"/>
      <w:r w:rsidRPr="00D86CA0">
        <w:rPr>
          <w:rFonts w:cs="Times-Italic"/>
          <w:i/>
          <w:iCs/>
        </w:rPr>
        <w:t xml:space="preserve"> </w:t>
      </w:r>
      <w:proofErr w:type="spellStart"/>
      <w:r w:rsidRPr="00D86CA0">
        <w:rPr>
          <w:rFonts w:cs="Times-Italic"/>
          <w:i/>
          <w:iCs/>
        </w:rPr>
        <w:t>expansum</w:t>
      </w:r>
      <w:proofErr w:type="spellEnd"/>
      <w:r w:rsidRPr="00D86CA0">
        <w:rPr>
          <w:rFonts w:cs="Times-Italic"/>
          <w:i/>
          <w:iCs/>
        </w:rPr>
        <w:t xml:space="preserve"> </w:t>
      </w:r>
      <w:r w:rsidRPr="00D86CA0">
        <w:rPr>
          <w:rFonts w:cs="Times-Roman"/>
        </w:rPr>
        <w:t>isolates. Landry et</w:t>
      </w:r>
      <w:r w:rsidR="007E72CB" w:rsidRPr="00D86CA0">
        <w:rPr>
          <w:rFonts w:cs="Times-Roman"/>
        </w:rPr>
        <w:t xml:space="preserve"> </w:t>
      </w:r>
      <w:r w:rsidRPr="00D86CA0">
        <w:rPr>
          <w:rFonts w:cs="Times-Roman"/>
        </w:rPr>
        <w:t>al. (23) observed significantly increased radial growth of</w:t>
      </w:r>
      <w:r w:rsidR="007E72CB" w:rsidRPr="00D86CA0">
        <w:rPr>
          <w:rFonts w:cs="Times-Roman"/>
        </w:rPr>
        <w:t xml:space="preserve"> </w:t>
      </w:r>
      <w:proofErr w:type="spellStart"/>
      <w:r w:rsidRPr="00D86CA0">
        <w:rPr>
          <w:rFonts w:cs="Times-Italic"/>
          <w:i/>
          <w:iCs/>
        </w:rPr>
        <w:t>Lyophyllum</w:t>
      </w:r>
      <w:proofErr w:type="spellEnd"/>
      <w:r w:rsidRPr="00D86CA0">
        <w:rPr>
          <w:rFonts w:cs="Times-Italic"/>
          <w:i/>
          <w:iCs/>
        </w:rPr>
        <w:t xml:space="preserve"> </w:t>
      </w:r>
      <w:proofErr w:type="spellStart"/>
      <w:r w:rsidRPr="00D86CA0">
        <w:rPr>
          <w:rFonts w:cs="Times-Italic"/>
          <w:i/>
          <w:iCs/>
        </w:rPr>
        <w:t>palustre</w:t>
      </w:r>
      <w:proofErr w:type="spellEnd"/>
      <w:r w:rsidRPr="00D86CA0">
        <w:rPr>
          <w:rFonts w:cs="Times-Italic"/>
          <w:i/>
          <w:iCs/>
        </w:rPr>
        <w:t xml:space="preserve"> </w:t>
      </w:r>
      <w:r w:rsidRPr="00D86CA0">
        <w:rPr>
          <w:rFonts w:cs="Times-Roman"/>
        </w:rPr>
        <w:t>(Peck) Singer on media amended with low</w:t>
      </w:r>
      <w:r w:rsidR="007E72CB" w:rsidRPr="00D86CA0">
        <w:rPr>
          <w:rFonts w:cs="Times-Roman"/>
        </w:rPr>
        <w:t xml:space="preserve"> </w:t>
      </w:r>
      <w:r w:rsidRPr="00D86CA0">
        <w:rPr>
          <w:rFonts w:cs="Times-Roman"/>
        </w:rPr>
        <w:t xml:space="preserve">concentrations of </w:t>
      </w:r>
      <w:proofErr w:type="spellStart"/>
      <w:r w:rsidRPr="00D86CA0">
        <w:rPr>
          <w:rFonts w:cs="Times-Roman"/>
        </w:rPr>
        <w:t>propamocarb</w:t>
      </w:r>
      <w:proofErr w:type="spellEnd"/>
      <w:r w:rsidRPr="00D86CA0">
        <w:rPr>
          <w:rFonts w:cs="Times-Roman"/>
        </w:rPr>
        <w:t xml:space="preserve"> compared with the fungicide-free</w:t>
      </w:r>
      <w:r w:rsidR="007E72CB" w:rsidRPr="00D86CA0">
        <w:rPr>
          <w:rFonts w:cs="Times-Roman"/>
        </w:rPr>
        <w:t xml:space="preserve"> </w:t>
      </w:r>
      <w:r w:rsidRPr="00D86CA0">
        <w:rPr>
          <w:rFonts w:cs="Times-Roman"/>
        </w:rPr>
        <w:t>control.</w:t>
      </w:r>
    </w:p>
    <w:p w:rsidR="005A646D" w:rsidRPr="00D86CA0" w:rsidRDefault="005A646D" w:rsidP="005A646D">
      <w:pPr>
        <w:rPr>
          <w:rFonts w:cs="Times-Roman"/>
        </w:rPr>
      </w:pPr>
      <w:r w:rsidRPr="00D86CA0">
        <w:rPr>
          <w:rFonts w:cs="Times-Roman"/>
        </w:rPr>
        <w:t>There is a possibility that</w:t>
      </w:r>
      <w:r w:rsidR="007E72CB" w:rsidRPr="00D86CA0">
        <w:rPr>
          <w:rFonts w:cs="Times-Roman"/>
        </w:rPr>
        <w:t xml:space="preserve"> </w:t>
      </w:r>
      <w:r w:rsidRPr="00D86CA0">
        <w:rPr>
          <w:rFonts w:cs="Times-Roman"/>
        </w:rPr>
        <w:t>virulence stimulations maybe relate to endogenous hydrogen</w:t>
      </w:r>
      <w:r w:rsidR="007E72CB" w:rsidRPr="00D86CA0">
        <w:rPr>
          <w:rFonts w:cs="Times-Roman"/>
        </w:rPr>
        <w:t xml:space="preserve"> </w:t>
      </w:r>
      <w:r w:rsidRPr="00D86CA0">
        <w:rPr>
          <w:rFonts w:cs="Times-Roman"/>
        </w:rPr>
        <w:t>peroxide (H2O2) or oxalic acid in plant pathogens because these</w:t>
      </w:r>
      <w:r w:rsidR="007E72CB" w:rsidRPr="00D86CA0">
        <w:rPr>
          <w:rFonts w:cs="Times-Roman"/>
        </w:rPr>
        <w:t xml:space="preserve"> </w:t>
      </w:r>
      <w:r w:rsidRPr="00D86CA0">
        <w:rPr>
          <w:rFonts w:cs="Times-Roman"/>
        </w:rPr>
        <w:t>two compounds play a crucial role in fungal pathogenesis on host</w:t>
      </w:r>
      <w:r w:rsidR="007E72CB" w:rsidRPr="00D86CA0">
        <w:rPr>
          <w:rFonts w:cs="Times-Roman"/>
        </w:rPr>
        <w:t xml:space="preserve"> </w:t>
      </w:r>
      <w:r w:rsidRPr="00D86CA0">
        <w:rPr>
          <w:rFonts w:cs="Times-Roman"/>
        </w:rPr>
        <w:t>plants (1,4,12,15,35).</w:t>
      </w:r>
    </w:p>
    <w:p w:rsidR="005A646D" w:rsidRPr="00D86CA0" w:rsidRDefault="00AC3CE9" w:rsidP="00AC3CE9">
      <w:pPr>
        <w:rPr>
          <w:rFonts w:cs="Times-Roman"/>
        </w:rPr>
      </w:pPr>
      <w:r w:rsidRPr="00D86CA0">
        <w:rPr>
          <w:rFonts w:cs="Times-Roman"/>
        </w:rPr>
        <w:t>Recently, Calabrese (7) gave a comprehensive review on the</w:t>
      </w:r>
      <w:r w:rsidR="007E72CB" w:rsidRPr="00D86CA0">
        <w:rPr>
          <w:rFonts w:cs="Times-Roman"/>
        </w:rPr>
        <w:t xml:space="preserve"> </w:t>
      </w:r>
      <w:r w:rsidRPr="00D86CA0">
        <w:rPr>
          <w:rFonts w:cs="Times-Roman"/>
        </w:rPr>
        <w:t xml:space="preserve">mechanisms of </w:t>
      </w:r>
      <w:proofErr w:type="spellStart"/>
      <w:r w:rsidRPr="00D86CA0">
        <w:rPr>
          <w:rFonts w:cs="Times-Roman"/>
        </w:rPr>
        <w:t>hormesis</w:t>
      </w:r>
      <w:proofErr w:type="spellEnd"/>
      <w:r w:rsidRPr="00D86CA0">
        <w:rPr>
          <w:rFonts w:cs="Times-Roman"/>
        </w:rPr>
        <w:t>, particularly for those mediated via receptor</w:t>
      </w:r>
      <w:r w:rsidR="007E72CB" w:rsidRPr="00D86CA0">
        <w:rPr>
          <w:rFonts w:cs="Times-Roman"/>
        </w:rPr>
        <w:t xml:space="preserve"> </w:t>
      </w:r>
      <w:r w:rsidRPr="00D86CA0">
        <w:rPr>
          <w:rFonts w:cs="Times-Roman"/>
        </w:rPr>
        <w:t>or cell signaling pathways. Protecting the organism from injury</w:t>
      </w:r>
      <w:r w:rsidR="007E72CB" w:rsidRPr="00D86CA0">
        <w:rPr>
          <w:rFonts w:cs="Times-Roman"/>
        </w:rPr>
        <w:t xml:space="preserve"> </w:t>
      </w:r>
      <w:r w:rsidRPr="00D86CA0">
        <w:rPr>
          <w:rFonts w:cs="Times-Roman"/>
        </w:rPr>
        <w:t>via adaptive and preconditioning stress responses or overcompensation</w:t>
      </w:r>
      <w:r w:rsidR="007E72CB" w:rsidRPr="00D86CA0">
        <w:rPr>
          <w:rFonts w:cs="Times-Roman"/>
        </w:rPr>
        <w:t xml:space="preserve"> </w:t>
      </w:r>
      <w:r w:rsidRPr="00D86CA0">
        <w:rPr>
          <w:rFonts w:cs="Times-Roman"/>
        </w:rPr>
        <w:t>for a disruption of homeostasis has been claimed to be</w:t>
      </w:r>
      <w:r w:rsidR="007E72CB" w:rsidRPr="00D86CA0">
        <w:rPr>
          <w:rFonts w:cs="Times-Roman"/>
        </w:rPr>
        <w:t xml:space="preserve"> </w:t>
      </w:r>
      <w:r w:rsidRPr="00D86CA0">
        <w:rPr>
          <w:rFonts w:cs="Times-Roman"/>
        </w:rPr>
        <w:t xml:space="preserve">the mechanistic basis for chemical </w:t>
      </w:r>
      <w:proofErr w:type="spellStart"/>
      <w:r w:rsidRPr="00D86CA0">
        <w:rPr>
          <w:rFonts w:cs="Times-Roman"/>
        </w:rPr>
        <w:t>hormesis</w:t>
      </w:r>
      <w:proofErr w:type="spellEnd"/>
      <w:r w:rsidRPr="00D86CA0">
        <w:rPr>
          <w:rFonts w:cs="Times-Roman"/>
        </w:rPr>
        <w:t xml:space="preserve"> (8). These experimental</w:t>
      </w:r>
      <w:r w:rsidR="007E72CB" w:rsidRPr="00D86CA0">
        <w:rPr>
          <w:rFonts w:cs="Times-Roman"/>
        </w:rPr>
        <w:t xml:space="preserve"> </w:t>
      </w:r>
      <w:r w:rsidRPr="00D86CA0">
        <w:rPr>
          <w:rFonts w:cs="Times-Roman"/>
        </w:rPr>
        <w:t xml:space="preserve">results suggested that the </w:t>
      </w:r>
      <w:proofErr w:type="spellStart"/>
      <w:r w:rsidRPr="00D86CA0">
        <w:rPr>
          <w:rFonts w:cs="Times-Roman"/>
        </w:rPr>
        <w:t>hormetic</w:t>
      </w:r>
      <w:proofErr w:type="spellEnd"/>
      <w:r w:rsidRPr="00D86CA0">
        <w:rPr>
          <w:rFonts w:cs="Times-Roman"/>
        </w:rPr>
        <w:t xml:space="preserve"> responses were differential for</w:t>
      </w:r>
      <w:r w:rsidR="007E72CB" w:rsidRPr="00D86CA0">
        <w:rPr>
          <w:rFonts w:cs="Times-Roman"/>
        </w:rPr>
        <w:t xml:space="preserve"> </w:t>
      </w:r>
      <w:r w:rsidRPr="00D86CA0">
        <w:rPr>
          <w:rFonts w:cs="Times-Roman"/>
        </w:rPr>
        <w:t>different isolates of even the same species of plant pathogen. The</w:t>
      </w:r>
      <w:r w:rsidR="007E72CB" w:rsidRPr="00D86CA0">
        <w:rPr>
          <w:rFonts w:cs="Times-Roman"/>
        </w:rPr>
        <w:t xml:space="preserve"> </w:t>
      </w:r>
      <w:r w:rsidRPr="00D86CA0">
        <w:rPr>
          <w:rFonts w:cs="Times-Roman"/>
        </w:rPr>
        <w:t xml:space="preserve">underlying mechanisms for </w:t>
      </w:r>
      <w:proofErr w:type="spellStart"/>
      <w:r w:rsidRPr="00D86CA0">
        <w:rPr>
          <w:rFonts w:cs="Times-Roman"/>
        </w:rPr>
        <w:t>hormetic</w:t>
      </w:r>
      <w:proofErr w:type="spellEnd"/>
      <w:r w:rsidRPr="00D86CA0">
        <w:rPr>
          <w:rFonts w:cs="Times-Roman"/>
        </w:rPr>
        <w:t xml:space="preserve"> responses are complex and</w:t>
      </w:r>
      <w:r w:rsidR="007E72CB" w:rsidRPr="00D86CA0">
        <w:rPr>
          <w:rFonts w:cs="Times-Roman"/>
        </w:rPr>
        <w:t xml:space="preserve"> </w:t>
      </w:r>
      <w:r w:rsidRPr="00D86CA0">
        <w:rPr>
          <w:rFonts w:cs="Times-Roman"/>
        </w:rPr>
        <w:t>remain to be elucidated in the future.</w:t>
      </w:r>
    </w:p>
    <w:p w:rsidR="00AC3CE9" w:rsidRPr="00D86CA0" w:rsidRDefault="00AC3CE9" w:rsidP="00AC077D">
      <w:pPr>
        <w:rPr>
          <w:rFonts w:cs="Times-Roman"/>
        </w:rPr>
      </w:pPr>
      <w:r w:rsidRPr="00D86CA0">
        <w:rPr>
          <w:rFonts w:cs="Times-Roman"/>
        </w:rPr>
        <w:t xml:space="preserve">The reduced sensitivity of </w:t>
      </w:r>
      <w:r w:rsidRPr="00D86CA0">
        <w:rPr>
          <w:rFonts w:cs="Times-Italic"/>
          <w:i/>
          <w:iCs/>
        </w:rPr>
        <w:t>S. sclerotiorum</w:t>
      </w:r>
      <w:r w:rsidR="007E72CB" w:rsidRPr="00D86CA0">
        <w:rPr>
          <w:rFonts w:cs="Times-Italic"/>
          <w:i/>
          <w:iCs/>
        </w:rPr>
        <w:t xml:space="preserve"> </w:t>
      </w:r>
      <w:r w:rsidRPr="00D86CA0">
        <w:rPr>
          <w:rFonts w:cs="Times-Roman"/>
        </w:rPr>
        <w:t>to H2O2, at least in theory, could increase its virulence to host</w:t>
      </w:r>
      <w:r w:rsidR="007E72CB" w:rsidRPr="00D86CA0">
        <w:rPr>
          <w:rFonts w:cs="Times-Roman"/>
        </w:rPr>
        <w:t xml:space="preserve"> </w:t>
      </w:r>
      <w:r w:rsidRPr="00D86CA0">
        <w:rPr>
          <w:rFonts w:cs="Times-Roman"/>
        </w:rPr>
        <w:t>plants. Oxalic acid production has been associated with virulence</w:t>
      </w:r>
      <w:r w:rsidR="007E72CB" w:rsidRPr="00D86CA0">
        <w:rPr>
          <w:rFonts w:cs="Times-Roman"/>
        </w:rPr>
        <w:t xml:space="preserve"> </w:t>
      </w:r>
      <w:r w:rsidRPr="00D86CA0">
        <w:rPr>
          <w:rFonts w:cs="Times-Roman"/>
        </w:rPr>
        <w:t xml:space="preserve">of some </w:t>
      </w:r>
      <w:r w:rsidRPr="00D86CA0">
        <w:rPr>
          <w:rFonts w:cs="Times-Italic"/>
          <w:i/>
          <w:iCs/>
        </w:rPr>
        <w:t xml:space="preserve">Sclerotinia </w:t>
      </w:r>
      <w:r w:rsidRPr="00D86CA0">
        <w:rPr>
          <w:rFonts w:cs="Times-Roman"/>
        </w:rPr>
        <w:t>spp. (15</w:t>
      </w:r>
      <w:proofErr w:type="gramStart"/>
      <w:r w:rsidRPr="00D86CA0">
        <w:rPr>
          <w:rFonts w:cs="Times-Roman"/>
        </w:rPr>
        <w:t>,29</w:t>
      </w:r>
      <w:proofErr w:type="gramEnd"/>
      <w:r w:rsidRPr="00D86CA0">
        <w:rPr>
          <w:rFonts w:cs="Times-Roman"/>
        </w:rPr>
        <w:t>). Oxalic acid could suppress the</w:t>
      </w:r>
      <w:r w:rsidR="007E72CB" w:rsidRPr="00D86CA0">
        <w:rPr>
          <w:rFonts w:cs="Times-Roman"/>
        </w:rPr>
        <w:t xml:space="preserve"> </w:t>
      </w:r>
      <w:r w:rsidRPr="00D86CA0">
        <w:rPr>
          <w:rFonts w:cs="Times-Roman"/>
        </w:rPr>
        <w:t>oxidative burst of the host plant (12), enhance activities of cell</w:t>
      </w:r>
      <w:r w:rsidR="00AC077D">
        <w:rPr>
          <w:rFonts w:cs="Times-Roman"/>
        </w:rPr>
        <w:t xml:space="preserve"> </w:t>
      </w:r>
      <w:r w:rsidRPr="00D86CA0">
        <w:rPr>
          <w:rFonts w:cs="Times-Roman"/>
        </w:rPr>
        <w:t>wall-degrading enzymes by reducing extracellular pH, and had</w:t>
      </w:r>
      <w:r w:rsidR="007E72CB" w:rsidRPr="00D86CA0">
        <w:rPr>
          <w:rFonts w:cs="Times-Roman"/>
        </w:rPr>
        <w:t xml:space="preserve"> </w:t>
      </w:r>
      <w:r w:rsidRPr="00D86CA0">
        <w:rPr>
          <w:rFonts w:cs="Times-Roman"/>
        </w:rPr>
        <w:t xml:space="preserve">other functions conducive to virulence (4). </w:t>
      </w:r>
    </w:p>
    <w:p w:rsidR="005A646D" w:rsidRDefault="005A646D" w:rsidP="005A646D">
      <w:pPr>
        <w:rPr>
          <w:rFonts w:ascii="AdvP6EC0" w:hAnsi="AdvP6EC0" w:cs="AdvP6EC0"/>
          <w:color w:val="231F20"/>
          <w:sz w:val="18"/>
          <w:szCs w:val="18"/>
        </w:rPr>
      </w:pPr>
    </w:p>
    <w:p w:rsidR="004F1C28" w:rsidRDefault="004F1C28" w:rsidP="008114A5">
      <w:pPr>
        <w:rPr>
          <w:rFonts w:ascii="AdvP6EC0" w:hAnsi="AdvP6EC0" w:cs="AdvP6EC0"/>
          <w:color w:val="231F20"/>
          <w:sz w:val="18"/>
          <w:szCs w:val="18"/>
        </w:rPr>
      </w:pPr>
    </w:p>
    <w:p w:rsidR="008114A5" w:rsidRPr="008114A5" w:rsidRDefault="008114A5" w:rsidP="008114A5">
      <w:pPr>
        <w:rPr>
          <w:rFonts w:ascii="AdvP6EC0" w:hAnsi="AdvP6EC0" w:cs="AdvP6EC0"/>
          <w:color w:val="231F20"/>
          <w:sz w:val="18"/>
          <w:szCs w:val="18"/>
        </w:rPr>
      </w:pPr>
      <w:r w:rsidRPr="008114A5">
        <w:rPr>
          <w:rFonts w:ascii="AdvP6EC0" w:hAnsi="AdvP6EC0" w:cs="AdvP6EC0"/>
          <w:color w:val="231F20"/>
          <w:sz w:val="18"/>
          <w:szCs w:val="18"/>
          <w:highlight w:val="yellow"/>
        </w:rPr>
        <w:lastRenderedPageBreak/>
        <w:t>Fungicide-Induced Mutagenesis in a Plant Pathogenic Fungus</w:t>
      </w:r>
    </w:p>
    <w:p w:rsidR="008114A5" w:rsidRDefault="008114A5" w:rsidP="008114A5">
      <w:pPr>
        <w:rPr>
          <w:rFonts w:ascii="AdvP6EC0" w:hAnsi="AdvP6EC0" w:cs="AdvP6EC0"/>
          <w:color w:val="231F20"/>
          <w:sz w:val="18"/>
          <w:szCs w:val="18"/>
        </w:rPr>
      </w:pPr>
      <w:proofErr w:type="spellStart"/>
      <w:r w:rsidRPr="008114A5">
        <w:rPr>
          <w:rFonts w:ascii="AdvP6EC0" w:hAnsi="AdvP6EC0" w:cs="AdvP6EC0"/>
          <w:color w:val="231F20"/>
          <w:sz w:val="18"/>
          <w:szCs w:val="18"/>
        </w:rPr>
        <w:t>Fengping</w:t>
      </w:r>
      <w:proofErr w:type="spellEnd"/>
      <w:r w:rsidRPr="008114A5">
        <w:rPr>
          <w:rFonts w:ascii="AdvP6EC0" w:hAnsi="AdvP6EC0" w:cs="AdvP6EC0"/>
          <w:color w:val="231F20"/>
          <w:sz w:val="18"/>
          <w:szCs w:val="18"/>
        </w:rPr>
        <w:t xml:space="preserve"> Chena, Sydney E. </w:t>
      </w:r>
      <w:proofErr w:type="spellStart"/>
      <w:r w:rsidRPr="008114A5">
        <w:rPr>
          <w:rFonts w:ascii="AdvP6EC0" w:hAnsi="AdvP6EC0" w:cs="AdvP6EC0"/>
          <w:color w:val="231F20"/>
          <w:sz w:val="18"/>
          <w:szCs w:val="18"/>
        </w:rPr>
        <w:t>Everhartb</w:t>
      </w:r>
      <w:proofErr w:type="spellEnd"/>
      <w:r w:rsidRPr="008114A5">
        <w:rPr>
          <w:rFonts w:ascii="AdvP6EC0" w:hAnsi="AdvP6EC0" w:cs="AdvP6EC0"/>
          <w:color w:val="231F20"/>
          <w:sz w:val="18"/>
          <w:szCs w:val="18"/>
        </w:rPr>
        <w:t xml:space="preserve">, William C. </w:t>
      </w:r>
      <w:proofErr w:type="spellStart"/>
      <w:r w:rsidRPr="008114A5">
        <w:rPr>
          <w:rFonts w:ascii="AdvP6EC0" w:hAnsi="AdvP6EC0" w:cs="AdvP6EC0"/>
          <w:color w:val="231F20"/>
          <w:sz w:val="18"/>
          <w:szCs w:val="18"/>
        </w:rPr>
        <w:t>Bridgesc</w:t>
      </w:r>
      <w:proofErr w:type="spellEnd"/>
      <w:r w:rsidRPr="008114A5">
        <w:rPr>
          <w:rFonts w:ascii="AdvP6EC0" w:hAnsi="AdvP6EC0" w:cs="AdvP6EC0"/>
          <w:color w:val="231F20"/>
          <w:sz w:val="18"/>
          <w:szCs w:val="18"/>
        </w:rPr>
        <w:t xml:space="preserve">, Chao-Xi </w:t>
      </w:r>
      <w:proofErr w:type="spellStart"/>
      <w:r w:rsidRPr="008114A5">
        <w:rPr>
          <w:rFonts w:ascii="AdvP6EC0" w:hAnsi="AdvP6EC0" w:cs="AdvP6EC0"/>
          <w:color w:val="231F20"/>
          <w:sz w:val="18"/>
          <w:szCs w:val="18"/>
        </w:rPr>
        <w:t>Luod</w:t>
      </w:r>
      <w:proofErr w:type="spellEnd"/>
      <w:r w:rsidRPr="008114A5">
        <w:rPr>
          <w:rFonts w:ascii="AdvP6EC0" w:hAnsi="AdvP6EC0" w:cs="AdvP6EC0"/>
          <w:color w:val="231F20"/>
          <w:sz w:val="18"/>
          <w:szCs w:val="18"/>
        </w:rPr>
        <w:t xml:space="preserve">, </w:t>
      </w:r>
      <w:proofErr w:type="spellStart"/>
      <w:r w:rsidRPr="008114A5">
        <w:rPr>
          <w:rFonts w:ascii="AdvP6EC0" w:hAnsi="AdvP6EC0" w:cs="AdvP6EC0"/>
          <w:color w:val="231F20"/>
          <w:sz w:val="18"/>
          <w:szCs w:val="18"/>
        </w:rPr>
        <w:t>Xili</w:t>
      </w:r>
      <w:proofErr w:type="spellEnd"/>
      <w:r w:rsidRPr="008114A5">
        <w:rPr>
          <w:rFonts w:ascii="AdvP6EC0" w:hAnsi="AdvP6EC0" w:cs="AdvP6EC0"/>
          <w:color w:val="231F20"/>
          <w:sz w:val="18"/>
          <w:szCs w:val="18"/>
        </w:rPr>
        <w:t xml:space="preserve"> </w:t>
      </w:r>
      <w:proofErr w:type="spellStart"/>
      <w:r w:rsidRPr="008114A5">
        <w:rPr>
          <w:rFonts w:ascii="AdvP6EC0" w:hAnsi="AdvP6EC0" w:cs="AdvP6EC0"/>
          <w:color w:val="231F20"/>
          <w:sz w:val="18"/>
          <w:szCs w:val="18"/>
        </w:rPr>
        <w:t>Liua</w:t>
      </w:r>
      <w:proofErr w:type="spellEnd"/>
      <w:r w:rsidRPr="008114A5">
        <w:rPr>
          <w:rFonts w:ascii="AdvP6EC0" w:hAnsi="AdvP6EC0" w:cs="AdvP6EC0"/>
          <w:color w:val="231F20"/>
          <w:sz w:val="18"/>
          <w:szCs w:val="18"/>
        </w:rPr>
        <w:t xml:space="preserve"> and</w:t>
      </w:r>
      <w:r>
        <w:rPr>
          <w:rFonts w:ascii="AdvP6EC0" w:hAnsi="AdvP6EC0" w:cs="AdvP6EC0"/>
          <w:color w:val="231F20"/>
          <w:sz w:val="18"/>
          <w:szCs w:val="18"/>
        </w:rPr>
        <w:t xml:space="preserve"> </w:t>
      </w:r>
      <w:r w:rsidRPr="008114A5">
        <w:rPr>
          <w:rFonts w:ascii="AdvP6EC0" w:hAnsi="AdvP6EC0" w:cs="AdvP6EC0"/>
          <w:color w:val="231F20"/>
          <w:sz w:val="18"/>
          <w:szCs w:val="18"/>
        </w:rPr>
        <w:t xml:space="preserve">Guido </w:t>
      </w:r>
      <w:proofErr w:type="spellStart"/>
      <w:r w:rsidRPr="008114A5">
        <w:rPr>
          <w:rFonts w:ascii="AdvP6EC0" w:hAnsi="AdvP6EC0" w:cs="AdvP6EC0"/>
          <w:color w:val="231F20"/>
          <w:sz w:val="18"/>
          <w:szCs w:val="18"/>
        </w:rPr>
        <w:t>Schnabele</w:t>
      </w:r>
      <w:proofErr w:type="spellEnd"/>
    </w:p>
    <w:p w:rsidR="008114A5" w:rsidRDefault="008114A5" w:rsidP="008114A5">
      <w:pPr>
        <w:rPr>
          <w:rFonts w:ascii="AdvP6EC0" w:hAnsi="AdvP6EC0" w:cs="AdvP6EC0"/>
          <w:color w:val="231F20"/>
          <w:sz w:val="18"/>
          <w:szCs w:val="18"/>
        </w:rPr>
      </w:pPr>
    </w:p>
    <w:p w:rsidR="008114A5" w:rsidRDefault="008114A5" w:rsidP="008114A5">
      <w:pPr>
        <w:rPr>
          <w:rFonts w:ascii="AdvP6EC0" w:hAnsi="AdvP6EC0" w:cs="AdvP6EC0"/>
          <w:color w:val="231F20"/>
          <w:sz w:val="18"/>
          <w:szCs w:val="18"/>
        </w:rPr>
      </w:pPr>
      <w:r w:rsidRPr="008114A5">
        <w:rPr>
          <w:rFonts w:ascii="AdvP6EC0" w:hAnsi="AdvP6EC0" w:cs="AdvP6EC0"/>
          <w:color w:val="231F20"/>
          <w:sz w:val="18"/>
          <w:szCs w:val="18"/>
          <w:highlight w:val="yellow"/>
        </w:rPr>
        <w:t>Stress-Induced Mutagenesis in Bacteria</w:t>
      </w:r>
    </w:p>
    <w:p w:rsidR="008114A5" w:rsidRDefault="008114A5" w:rsidP="008114A5">
      <w:pPr>
        <w:rPr>
          <w:rFonts w:ascii="Bliss-Heavy" w:hAnsi="Bliss-Heavy" w:cs="Bliss-Heavy"/>
          <w:sz w:val="20"/>
          <w:szCs w:val="20"/>
        </w:rPr>
      </w:pPr>
      <w:r>
        <w:rPr>
          <w:rFonts w:ascii="Bliss-Heavy" w:hAnsi="Bliss-Heavy" w:cs="Bliss-Heavy"/>
          <w:sz w:val="20"/>
          <w:szCs w:val="20"/>
        </w:rPr>
        <w:t>Ivana Bjedov</w:t>
      </w:r>
      <w:proofErr w:type="gramStart"/>
      <w:r>
        <w:rPr>
          <w:rFonts w:ascii="Bliss-Heavy" w:hAnsi="Bliss-Heavy" w:cs="Bliss-Heavy"/>
          <w:sz w:val="20"/>
          <w:szCs w:val="20"/>
        </w:rPr>
        <w:t>,</w:t>
      </w:r>
      <w:r>
        <w:rPr>
          <w:rFonts w:ascii="Bliss-Heavy" w:hAnsi="Bliss-Heavy" w:cs="Bliss-Heavy"/>
          <w:sz w:val="13"/>
          <w:szCs w:val="13"/>
        </w:rPr>
        <w:t>1</w:t>
      </w:r>
      <w:proofErr w:type="gramEnd"/>
      <w:r>
        <w:rPr>
          <w:rFonts w:ascii="Bliss-Heavy" w:hAnsi="Bliss-Heavy" w:cs="Bliss-Heavy"/>
          <w:sz w:val="20"/>
          <w:szCs w:val="20"/>
        </w:rPr>
        <w:t>* Olivier Tenaillon,</w:t>
      </w:r>
      <w:r>
        <w:rPr>
          <w:rFonts w:ascii="Bliss-Heavy" w:hAnsi="Bliss-Heavy" w:cs="Bliss-Heavy"/>
          <w:sz w:val="13"/>
          <w:szCs w:val="13"/>
        </w:rPr>
        <w:t>2</w:t>
      </w:r>
      <w:r>
        <w:rPr>
          <w:rFonts w:ascii="Bliss-Heavy" w:hAnsi="Bliss-Heavy" w:cs="Bliss-Heavy"/>
          <w:sz w:val="20"/>
          <w:szCs w:val="20"/>
        </w:rPr>
        <w:t xml:space="preserve">* </w:t>
      </w:r>
      <w:proofErr w:type="spellStart"/>
      <w:r>
        <w:rPr>
          <w:rFonts w:ascii="Bliss-Heavy" w:hAnsi="Bliss-Heavy" w:cs="Bliss-Heavy"/>
          <w:sz w:val="20"/>
          <w:szCs w:val="20"/>
        </w:rPr>
        <w:t>Be´ne´dicte</w:t>
      </w:r>
      <w:proofErr w:type="spellEnd"/>
      <w:r>
        <w:rPr>
          <w:rFonts w:ascii="Bliss-Heavy" w:hAnsi="Bliss-Heavy" w:cs="Bliss-Heavy"/>
          <w:sz w:val="20"/>
          <w:szCs w:val="20"/>
        </w:rPr>
        <w:t xml:space="preserve"> Ge´rard,</w:t>
      </w:r>
      <w:r>
        <w:rPr>
          <w:rFonts w:ascii="Bliss-Heavy" w:hAnsi="Bliss-Heavy" w:cs="Bliss-Heavy"/>
          <w:sz w:val="13"/>
          <w:szCs w:val="13"/>
        </w:rPr>
        <w:t>2</w:t>
      </w:r>
      <w:r>
        <w:rPr>
          <w:rFonts w:ascii="Bliss-Heavy" w:hAnsi="Bliss-Heavy" w:cs="Bliss-Heavy"/>
          <w:sz w:val="20"/>
          <w:szCs w:val="20"/>
        </w:rPr>
        <w:t>*</w:t>
      </w:r>
    </w:p>
    <w:p w:rsidR="005B10AD" w:rsidRDefault="005B10AD" w:rsidP="008114A5">
      <w:pPr>
        <w:rPr>
          <w:rFonts w:ascii="Bliss-Heavy" w:hAnsi="Bliss-Heavy" w:cs="Bliss-Heavy"/>
          <w:sz w:val="20"/>
          <w:szCs w:val="20"/>
        </w:rPr>
      </w:pPr>
    </w:p>
    <w:p w:rsidR="005B10AD" w:rsidRDefault="005B10AD" w:rsidP="005B10AD">
      <w:pPr>
        <w:rPr>
          <w:rFonts w:ascii="AdvP6EC0" w:hAnsi="AdvP6EC0" w:cs="AdvP6EC0"/>
          <w:color w:val="231F20"/>
          <w:sz w:val="18"/>
          <w:szCs w:val="18"/>
        </w:rPr>
      </w:pPr>
      <w:r w:rsidRPr="005B10AD">
        <w:rPr>
          <w:rFonts w:ascii="AdvP6EC0" w:hAnsi="AdvP6EC0" w:cs="AdvP6EC0"/>
          <w:color w:val="231F20"/>
          <w:sz w:val="18"/>
          <w:szCs w:val="18"/>
          <w:highlight w:val="yellow"/>
        </w:rPr>
        <w:t>Generation of reactive oxygen species by fungal NADPH oxidases is required for rice blast disease</w:t>
      </w:r>
    </w:p>
    <w:p w:rsidR="005B10AD" w:rsidRDefault="005B10AD" w:rsidP="005B10AD">
      <w:pPr>
        <w:rPr>
          <w:rFonts w:ascii="AdvP6EC0" w:hAnsi="AdvP6EC0" w:cs="AdvP6EC0"/>
          <w:color w:val="231F20"/>
          <w:sz w:val="18"/>
          <w:szCs w:val="18"/>
        </w:rPr>
      </w:pPr>
      <w:r w:rsidRPr="005B10AD">
        <w:rPr>
          <w:rFonts w:ascii="AdvP6EC0" w:hAnsi="AdvP6EC0" w:cs="AdvP6EC0"/>
          <w:color w:val="231F20"/>
          <w:sz w:val="18"/>
          <w:szCs w:val="18"/>
        </w:rPr>
        <w:t>Martin J. Egan, Zheng-Yi Wang, Mark A. Jones, Nicholas Smirnoff, and Nicholas J. Talbot*</w:t>
      </w:r>
    </w:p>
    <w:p w:rsidR="005B10AD" w:rsidRDefault="005B10AD" w:rsidP="005B10AD">
      <w:pPr>
        <w:rPr>
          <w:rFonts w:ascii="AdvP6EC0" w:hAnsi="AdvP6EC0" w:cs="AdvP6EC0"/>
          <w:color w:val="231F20"/>
          <w:sz w:val="18"/>
          <w:szCs w:val="18"/>
        </w:rPr>
      </w:pPr>
    </w:p>
    <w:p w:rsidR="00464A47" w:rsidRDefault="00464A47" w:rsidP="005B10AD">
      <w:pPr>
        <w:rPr>
          <w:rFonts w:ascii="AdvP6EC0" w:hAnsi="AdvP6EC0" w:cs="AdvP6EC0"/>
          <w:color w:val="231F20"/>
          <w:sz w:val="18"/>
          <w:szCs w:val="18"/>
        </w:rPr>
      </w:pPr>
    </w:p>
    <w:p w:rsidR="00464A47" w:rsidRPr="00464A47" w:rsidRDefault="00464A47" w:rsidP="00464A47">
      <w:pPr>
        <w:autoSpaceDE w:val="0"/>
        <w:autoSpaceDN w:val="0"/>
        <w:adjustRightInd w:val="0"/>
        <w:spacing w:after="0" w:line="240" w:lineRule="auto"/>
        <w:rPr>
          <w:rFonts w:ascii="TimesNewRomanPS-BoldMT" w:hAnsi="TimesNewRomanPS-BoldMT" w:cs="TimesNewRomanPS-BoldMT"/>
          <w:b/>
          <w:bCs/>
          <w:sz w:val="20"/>
          <w:szCs w:val="20"/>
          <w:highlight w:val="yellow"/>
        </w:rPr>
      </w:pPr>
      <w:r w:rsidRPr="00464A47">
        <w:rPr>
          <w:rFonts w:ascii="TimesNewRomanPS-BoldMT" w:hAnsi="TimesNewRomanPS-BoldMT" w:cs="TimesNewRomanPS-BoldMT"/>
          <w:b/>
          <w:bCs/>
          <w:sz w:val="20"/>
          <w:szCs w:val="20"/>
          <w:highlight w:val="yellow"/>
        </w:rPr>
        <w:t>Fungicide-Induced Mutagenesis in a Plant Pathogenic Fungus</w:t>
      </w:r>
    </w:p>
    <w:p w:rsidR="00464A47" w:rsidRPr="00464A47" w:rsidRDefault="00464A47" w:rsidP="00464A47">
      <w:pPr>
        <w:autoSpaceDE w:val="0"/>
        <w:autoSpaceDN w:val="0"/>
        <w:adjustRightInd w:val="0"/>
        <w:spacing w:after="0" w:line="240" w:lineRule="auto"/>
        <w:rPr>
          <w:rFonts w:ascii="Calibri" w:hAnsi="Calibri" w:cs="Calibri"/>
          <w:sz w:val="20"/>
          <w:szCs w:val="20"/>
          <w:highlight w:val="yellow"/>
        </w:rPr>
      </w:pPr>
    </w:p>
    <w:p w:rsidR="00464A47" w:rsidRPr="00464A47" w:rsidRDefault="00464A47" w:rsidP="00464A47">
      <w:pPr>
        <w:autoSpaceDE w:val="0"/>
        <w:autoSpaceDN w:val="0"/>
        <w:adjustRightInd w:val="0"/>
        <w:spacing w:after="0" w:line="240" w:lineRule="auto"/>
        <w:rPr>
          <w:rFonts w:ascii="TimesNewRomanPSMT" w:hAnsi="TimesNewRomanPSMT" w:cs="TimesNewRomanPSMT"/>
          <w:sz w:val="20"/>
          <w:szCs w:val="20"/>
          <w:highlight w:val="yellow"/>
        </w:rPr>
      </w:pPr>
      <w:proofErr w:type="spellStart"/>
      <w:r w:rsidRPr="00464A47">
        <w:rPr>
          <w:rFonts w:ascii="TimesNewRomanPSMT" w:hAnsi="TimesNewRomanPSMT" w:cs="TimesNewRomanPSMT"/>
          <w:sz w:val="20"/>
          <w:szCs w:val="20"/>
          <w:highlight w:val="yellow"/>
        </w:rPr>
        <w:t>Fengping</w:t>
      </w:r>
      <w:proofErr w:type="spellEnd"/>
      <w:r w:rsidRPr="00464A47">
        <w:rPr>
          <w:rFonts w:ascii="TimesNewRomanPSMT" w:hAnsi="TimesNewRomanPSMT" w:cs="TimesNewRomanPSMT"/>
          <w:sz w:val="20"/>
          <w:szCs w:val="20"/>
          <w:highlight w:val="yellow"/>
        </w:rPr>
        <w:t xml:space="preserve"> Chen, Sydney </w:t>
      </w:r>
      <w:r w:rsidRPr="00D86CA0">
        <w:rPr>
          <w:rFonts w:ascii="TimesNewRomanPSMT" w:hAnsi="TimesNewRomanPSMT" w:cs="TimesNewRomanPSMT"/>
          <w:sz w:val="20"/>
          <w:szCs w:val="20"/>
          <w:highlight w:val="cyan"/>
        </w:rPr>
        <w:t>E. Everhart</w:t>
      </w:r>
      <w:r w:rsidRPr="00464A47">
        <w:rPr>
          <w:rFonts w:ascii="TimesNewRomanPSMT" w:hAnsi="TimesNewRomanPSMT" w:cs="TimesNewRomanPSMT"/>
          <w:sz w:val="20"/>
          <w:szCs w:val="20"/>
          <w:highlight w:val="yellow"/>
        </w:rPr>
        <w:t xml:space="preserve">, William C. Bridges, Chao-Xi Luo, </w:t>
      </w:r>
      <w:proofErr w:type="spellStart"/>
      <w:r w:rsidRPr="00464A47">
        <w:rPr>
          <w:rFonts w:ascii="TimesNewRomanPSMT" w:hAnsi="TimesNewRomanPSMT" w:cs="TimesNewRomanPSMT"/>
          <w:sz w:val="20"/>
          <w:szCs w:val="20"/>
          <w:highlight w:val="yellow"/>
        </w:rPr>
        <w:t>Xili</w:t>
      </w:r>
      <w:proofErr w:type="spellEnd"/>
      <w:r w:rsidRPr="00464A47">
        <w:rPr>
          <w:rFonts w:ascii="TimesNewRomanPSMT" w:hAnsi="TimesNewRomanPSMT" w:cs="TimesNewRomanPSMT"/>
          <w:sz w:val="20"/>
          <w:szCs w:val="20"/>
          <w:highlight w:val="yellow"/>
        </w:rPr>
        <w:t xml:space="preserve"> Liu and</w:t>
      </w:r>
    </w:p>
    <w:p w:rsidR="00464A47" w:rsidRPr="00464A47" w:rsidRDefault="00464A47" w:rsidP="00464A47">
      <w:pPr>
        <w:rPr>
          <w:rFonts w:ascii="TimesNewRomanPSMT" w:hAnsi="TimesNewRomanPSMT" w:cs="TimesNewRomanPSMT"/>
          <w:sz w:val="20"/>
          <w:szCs w:val="20"/>
        </w:rPr>
      </w:pPr>
      <w:r w:rsidRPr="00464A47">
        <w:rPr>
          <w:rFonts w:ascii="TimesNewRomanPSMT" w:hAnsi="TimesNewRomanPSMT" w:cs="TimesNewRomanPSMT"/>
          <w:sz w:val="20"/>
          <w:szCs w:val="20"/>
          <w:highlight w:val="yellow"/>
        </w:rPr>
        <w:t>Guido Schnabel</w:t>
      </w:r>
    </w:p>
    <w:p w:rsidR="00464A47" w:rsidRDefault="00464A47" w:rsidP="00464A47">
      <w:pPr>
        <w:rPr>
          <w:rFonts w:ascii="AdvP6EC0" w:hAnsi="AdvP6EC0" w:cs="AdvP6EC0"/>
          <w:color w:val="231F20"/>
          <w:sz w:val="18"/>
          <w:szCs w:val="18"/>
        </w:rPr>
      </w:pPr>
      <w:r w:rsidRPr="00464A47">
        <w:rPr>
          <w:rFonts w:ascii="AdvP6EC0" w:hAnsi="AdvP6EC0" w:cs="AdvP6EC0"/>
          <w:color w:val="231F20"/>
          <w:sz w:val="18"/>
          <w:szCs w:val="18"/>
        </w:rPr>
        <w:t>This is the first report of fungicide-induced, accelerated</w:t>
      </w:r>
      <w:r w:rsidR="00D86CA0">
        <w:rPr>
          <w:rFonts w:ascii="AdvP6EC0" w:hAnsi="AdvP6EC0" w:cs="AdvP6EC0"/>
          <w:color w:val="231F20"/>
          <w:sz w:val="18"/>
          <w:szCs w:val="18"/>
        </w:rPr>
        <w:t xml:space="preserve"> </w:t>
      </w:r>
      <w:r w:rsidRPr="00464A47">
        <w:rPr>
          <w:rFonts w:ascii="AdvP6EC0" w:hAnsi="AdvP6EC0" w:cs="AdvP6EC0"/>
          <w:color w:val="231F20"/>
          <w:sz w:val="18"/>
          <w:szCs w:val="18"/>
        </w:rPr>
        <w:t>mutagenesis in a plant pathogen and suggests that prolonged exposure of field</w:t>
      </w:r>
      <w:r w:rsidR="00D86CA0">
        <w:rPr>
          <w:rFonts w:ascii="AdvP6EC0" w:hAnsi="AdvP6EC0" w:cs="AdvP6EC0"/>
          <w:color w:val="231F20"/>
          <w:sz w:val="18"/>
          <w:szCs w:val="18"/>
        </w:rPr>
        <w:t xml:space="preserve"> </w:t>
      </w:r>
      <w:r w:rsidRPr="00464A47">
        <w:rPr>
          <w:rFonts w:ascii="AdvP6EC0" w:hAnsi="AdvP6EC0" w:cs="AdvP6EC0"/>
          <w:color w:val="231F20"/>
          <w:sz w:val="18"/>
          <w:szCs w:val="18"/>
        </w:rPr>
        <w:t xml:space="preserve">populations to azoxystrobin and maybe other </w:t>
      </w:r>
      <w:proofErr w:type="spellStart"/>
      <w:r w:rsidRPr="00464A47">
        <w:rPr>
          <w:rFonts w:ascii="AdvP6EC0" w:hAnsi="AdvP6EC0" w:cs="AdvP6EC0"/>
          <w:color w:val="231F20"/>
          <w:sz w:val="18"/>
          <w:szCs w:val="18"/>
        </w:rPr>
        <w:t>QoI</w:t>
      </w:r>
      <w:proofErr w:type="spellEnd"/>
      <w:r w:rsidRPr="00464A47">
        <w:rPr>
          <w:rFonts w:ascii="AdvP6EC0" w:hAnsi="AdvP6EC0" w:cs="AdvP6EC0"/>
          <w:color w:val="231F20"/>
          <w:sz w:val="18"/>
          <w:szCs w:val="18"/>
        </w:rPr>
        <w:t xml:space="preserve"> fungicides at </w:t>
      </w:r>
      <w:proofErr w:type="spellStart"/>
      <w:r w:rsidRPr="00464A47">
        <w:rPr>
          <w:rFonts w:ascii="AdvP6EC0" w:hAnsi="AdvP6EC0" w:cs="AdvP6EC0"/>
          <w:color w:val="231F20"/>
          <w:sz w:val="18"/>
          <w:szCs w:val="18"/>
        </w:rPr>
        <w:t>sublethal</w:t>
      </w:r>
      <w:proofErr w:type="spellEnd"/>
      <w:r w:rsidRPr="00464A47">
        <w:rPr>
          <w:rFonts w:ascii="AdvP6EC0" w:hAnsi="AdvP6EC0" w:cs="AdvP6EC0"/>
          <w:color w:val="231F20"/>
          <w:sz w:val="18"/>
          <w:szCs w:val="18"/>
        </w:rPr>
        <w:t xml:space="preserve"> doses could</w:t>
      </w:r>
      <w:r w:rsidR="00D86CA0">
        <w:rPr>
          <w:rFonts w:ascii="AdvP6EC0" w:hAnsi="AdvP6EC0" w:cs="AdvP6EC0"/>
          <w:color w:val="231F20"/>
          <w:sz w:val="18"/>
          <w:szCs w:val="18"/>
        </w:rPr>
        <w:t xml:space="preserve"> </w:t>
      </w:r>
      <w:r w:rsidRPr="00464A47">
        <w:rPr>
          <w:rFonts w:ascii="AdvP6EC0" w:hAnsi="AdvP6EC0" w:cs="AdvP6EC0"/>
          <w:color w:val="231F20"/>
          <w:sz w:val="18"/>
          <w:szCs w:val="18"/>
        </w:rPr>
        <w:t>allow for quicker emergence of spontaneous mutations, which has important implications</w:t>
      </w:r>
      <w:r w:rsidR="00D86CA0">
        <w:rPr>
          <w:rFonts w:ascii="AdvP6EC0" w:hAnsi="AdvP6EC0" w:cs="AdvP6EC0"/>
          <w:color w:val="231F20"/>
          <w:sz w:val="18"/>
          <w:szCs w:val="18"/>
        </w:rPr>
        <w:t xml:space="preserve"> </w:t>
      </w:r>
      <w:r w:rsidRPr="00464A47">
        <w:rPr>
          <w:rFonts w:ascii="AdvP6EC0" w:hAnsi="AdvP6EC0" w:cs="AdvP6EC0"/>
          <w:color w:val="231F20"/>
          <w:sz w:val="18"/>
          <w:szCs w:val="18"/>
        </w:rPr>
        <w:t>for fungicide resistance management.</w:t>
      </w:r>
    </w:p>
    <w:p w:rsidR="00E43719" w:rsidRDefault="00E43719" w:rsidP="00464A47">
      <w:pPr>
        <w:rPr>
          <w:rFonts w:ascii="AdvP6EC0" w:hAnsi="AdvP6EC0" w:cs="AdvP6EC0"/>
          <w:color w:val="231F20"/>
          <w:sz w:val="18"/>
          <w:szCs w:val="18"/>
        </w:rPr>
      </w:pPr>
    </w:p>
    <w:p w:rsidR="00E43719" w:rsidRDefault="00E43719" w:rsidP="00E43719">
      <w:pPr>
        <w:rPr>
          <w:rFonts w:ascii="AdvP6EC0" w:hAnsi="AdvP6EC0" w:cs="AdvP6EC0"/>
          <w:color w:val="231F20"/>
          <w:sz w:val="18"/>
          <w:szCs w:val="18"/>
        </w:rPr>
      </w:pPr>
      <w:r w:rsidRPr="00E43719">
        <w:rPr>
          <w:rFonts w:ascii="AdvP6EC0" w:hAnsi="AdvP6EC0" w:cs="AdvP6EC0"/>
          <w:color w:val="231F20"/>
          <w:sz w:val="18"/>
          <w:szCs w:val="18"/>
        </w:rPr>
        <w:t>An investigation into the nature of adaptation to SYP-Z048 and azoxystrobin</w:t>
      </w:r>
      <w:r w:rsidR="00D86CA0">
        <w:rPr>
          <w:rFonts w:ascii="AdvP6EC0" w:hAnsi="AdvP6EC0" w:cs="AdvP6EC0"/>
          <w:color w:val="231F20"/>
          <w:sz w:val="18"/>
          <w:szCs w:val="18"/>
        </w:rPr>
        <w:t xml:space="preserve"> </w:t>
      </w:r>
      <w:r w:rsidRPr="00E43719">
        <w:rPr>
          <w:rFonts w:ascii="AdvP6EC0" w:hAnsi="AdvP6EC0" w:cs="AdvP6EC0"/>
          <w:color w:val="231F20"/>
          <w:sz w:val="18"/>
          <w:szCs w:val="18"/>
        </w:rPr>
        <w:t>revealed no evidence of resistance stability. Progeny from conidia of all mutants were as</w:t>
      </w:r>
      <w:r w:rsidR="00D86CA0">
        <w:rPr>
          <w:rFonts w:ascii="AdvP6EC0" w:hAnsi="AdvP6EC0" w:cs="AdvP6EC0"/>
          <w:color w:val="231F20"/>
          <w:sz w:val="18"/>
          <w:szCs w:val="18"/>
        </w:rPr>
        <w:t xml:space="preserve"> </w:t>
      </w:r>
      <w:r w:rsidRPr="00E43719">
        <w:rPr>
          <w:rFonts w:ascii="AdvP6EC0" w:hAnsi="AdvP6EC0" w:cs="AdvP6EC0"/>
          <w:color w:val="231F20"/>
          <w:sz w:val="18"/>
          <w:szCs w:val="18"/>
        </w:rPr>
        <w:t>sensitive to SYP-Z048 and azoxystrobin as the parental strains indicating that the</w:t>
      </w:r>
      <w:r w:rsidR="00D86CA0">
        <w:rPr>
          <w:rFonts w:ascii="AdvP6EC0" w:hAnsi="AdvP6EC0" w:cs="AdvP6EC0"/>
          <w:color w:val="231F20"/>
          <w:sz w:val="18"/>
          <w:szCs w:val="18"/>
        </w:rPr>
        <w:t xml:space="preserve"> </w:t>
      </w:r>
      <w:r w:rsidRPr="00E43719">
        <w:rPr>
          <w:rFonts w:ascii="AdvP6EC0" w:hAnsi="AdvP6EC0" w:cs="AdvP6EC0"/>
          <w:color w:val="231F20"/>
          <w:sz w:val="18"/>
          <w:szCs w:val="18"/>
        </w:rPr>
        <w:t>increased resistance was not a heritable trait and thus the adaptation may have been either</w:t>
      </w:r>
      <w:r w:rsidR="00D86CA0">
        <w:rPr>
          <w:rFonts w:ascii="AdvP6EC0" w:hAnsi="AdvP6EC0" w:cs="AdvP6EC0"/>
          <w:color w:val="231F20"/>
          <w:sz w:val="18"/>
          <w:szCs w:val="18"/>
        </w:rPr>
        <w:t xml:space="preserve"> </w:t>
      </w:r>
      <w:r w:rsidRPr="00E43719">
        <w:rPr>
          <w:rFonts w:ascii="AdvP6EC0" w:hAnsi="AdvP6EC0" w:cs="AdvP6EC0"/>
          <w:color w:val="231F20"/>
          <w:sz w:val="18"/>
          <w:szCs w:val="18"/>
        </w:rPr>
        <w:t>of physiological or epigenetic nature (data not shown).</w:t>
      </w:r>
    </w:p>
    <w:p w:rsidR="00E43719" w:rsidRPr="00F474B2" w:rsidRDefault="00F474B2" w:rsidP="00F474B2">
      <w:pPr>
        <w:pStyle w:val="NoSpacing"/>
      </w:pPr>
      <w:r w:rsidRPr="00F474B2">
        <w:t>Overall, mutations in microsatellite loci</w:t>
      </w:r>
      <w:r>
        <w:t xml:space="preserve"> </w:t>
      </w:r>
      <w:r w:rsidRPr="00F474B2">
        <w:t>appear to be common following exposure to sub-lethal levels of azoxystrobin. No</w:t>
      </w:r>
      <w:r>
        <w:t xml:space="preserve"> </w:t>
      </w:r>
      <w:r w:rsidRPr="00F474B2">
        <w:t>indications of nucleotide changes were detected in the control or the DMI treatments.</w:t>
      </w:r>
    </w:p>
    <w:p w:rsidR="00F474B2" w:rsidRDefault="00F474B2" w:rsidP="00F474B2">
      <w:pPr>
        <w:pStyle w:val="NoSpacing"/>
      </w:pPr>
    </w:p>
    <w:p w:rsidR="00F474B2" w:rsidRDefault="00F474B2" w:rsidP="00F474B2">
      <w:pPr>
        <w:pStyle w:val="NoSpacing"/>
        <w:rPr>
          <w:b/>
          <w:bCs/>
          <w:highlight w:val="green"/>
        </w:rPr>
      </w:pPr>
      <w:r w:rsidRPr="00F474B2">
        <w:t>We did not investigate the mode of action by which azoxystrobin induces</w:t>
      </w:r>
      <w:r w:rsidR="00D86CA0">
        <w:t xml:space="preserve"> </w:t>
      </w:r>
      <w:r w:rsidRPr="00F474B2">
        <w:t>mutagenesis in transposon movement or at microsatellite loci, but inhibitors of</w:t>
      </w:r>
      <w:r w:rsidR="00D86CA0">
        <w:t xml:space="preserve"> </w:t>
      </w:r>
      <w:r w:rsidRPr="00F474B2">
        <w:t>mitochondrial respiration, are known to accelerate the generation of reactive oxygen</w:t>
      </w:r>
      <w:r w:rsidR="00D86CA0">
        <w:t xml:space="preserve"> </w:t>
      </w:r>
      <w:r w:rsidRPr="00F474B2">
        <w:t>species (ROS) (25). This is supported by a recent study showing that ROS generation was</w:t>
      </w:r>
      <w:r w:rsidR="00D86CA0">
        <w:t xml:space="preserve"> </w:t>
      </w:r>
      <w:r w:rsidRPr="00F474B2">
        <w:t xml:space="preserve">enhanced in F. </w:t>
      </w:r>
      <w:proofErr w:type="spellStart"/>
      <w:r w:rsidRPr="00F474B2">
        <w:t>graminearum</w:t>
      </w:r>
      <w:proofErr w:type="spellEnd"/>
      <w:r w:rsidRPr="00F474B2">
        <w:t xml:space="preserve"> mycelium exposed to azoxystrobin and SHAM, compared</w:t>
      </w:r>
      <w:r w:rsidR="00D86CA0">
        <w:t xml:space="preserve"> </w:t>
      </w:r>
      <w:r w:rsidRPr="00F474B2">
        <w:t>to the azoxystrobin without SHAM treatment (7).</w:t>
      </w:r>
    </w:p>
    <w:p w:rsidR="00E16789" w:rsidRDefault="00E16789" w:rsidP="00E16789"/>
    <w:p w:rsidR="00F474B2" w:rsidRDefault="00E16789" w:rsidP="00E16789">
      <w:pPr>
        <w:pStyle w:val="NoSpacing"/>
        <w:rPr>
          <w:highlight w:val="green"/>
        </w:rPr>
      </w:pPr>
      <w:r>
        <w:t>Transposon movement is an important mechanism in natural populations of fungi</w:t>
      </w:r>
      <w:r w:rsidR="00D86CA0">
        <w:t xml:space="preserve"> </w:t>
      </w:r>
      <w:r>
        <w:t>to adapt to stressful environments and is possibly more important for populations lacking</w:t>
      </w:r>
      <w:r w:rsidR="00D86CA0">
        <w:t xml:space="preserve"> </w:t>
      </w:r>
      <w:r>
        <w:t xml:space="preserve">sexual </w:t>
      </w:r>
      <w:proofErr w:type="spellStart"/>
      <w:r>
        <w:t>recombinations</w:t>
      </w:r>
      <w:proofErr w:type="spellEnd"/>
      <w:r>
        <w:t xml:space="preserve"> as a source of variation (32).</w:t>
      </w:r>
    </w:p>
    <w:p w:rsidR="00F474B2" w:rsidRDefault="00E16789" w:rsidP="00F474B2">
      <w:pPr>
        <w:rPr>
          <w:rFonts w:ascii="TimesNewRomanPSMT" w:hAnsi="TimesNewRomanPSMT" w:cs="TimesNewRomanPSMT"/>
          <w:sz w:val="24"/>
          <w:szCs w:val="24"/>
        </w:rPr>
      </w:pPr>
      <w:r>
        <w:rPr>
          <w:rFonts w:ascii="TimesNewRomanPSMT" w:hAnsi="TimesNewRomanPSMT" w:cs="TimesNewRomanPSMT"/>
          <w:sz w:val="24"/>
          <w:szCs w:val="24"/>
        </w:rPr>
        <w:t>Negative effect on fitness on average</w:t>
      </w:r>
    </w:p>
    <w:p w:rsidR="00E16789" w:rsidRDefault="00E16789" w:rsidP="00E16789">
      <w:pPr>
        <w:pStyle w:val="NoSpacing"/>
        <w:rPr>
          <w:highlight w:val="green"/>
        </w:rPr>
      </w:pPr>
      <w:r>
        <w:t>Transposable elements have been directly associated with the development of fungicide</w:t>
      </w:r>
      <w:r w:rsidR="00D86CA0">
        <w:t xml:space="preserve"> </w:t>
      </w:r>
      <w:r>
        <w:t>resistance in ascomycetes. For example, DMI resistance due to overexpression of the</w:t>
      </w:r>
      <w:r w:rsidR="00D86CA0">
        <w:t xml:space="preserve"> </w:t>
      </w:r>
      <w:r>
        <w:t>target site gene cyp51 was associated with a long interspersed nuclear element (LINE)-</w:t>
      </w:r>
      <w:r w:rsidR="00D86CA0">
        <w:t xml:space="preserve"> </w:t>
      </w:r>
      <w:r>
        <w:t xml:space="preserve">like retrotransposon in </w:t>
      </w:r>
      <w:proofErr w:type="spellStart"/>
      <w:r>
        <w:t>Blumeriella</w:t>
      </w:r>
      <w:proofErr w:type="spellEnd"/>
      <w:r>
        <w:t xml:space="preserve"> </w:t>
      </w:r>
      <w:proofErr w:type="spellStart"/>
      <w:r>
        <w:t>jaapii</w:t>
      </w:r>
      <w:proofErr w:type="spellEnd"/>
      <w:r>
        <w:t xml:space="preserve"> and an uncharacterized transposon of 553 </w:t>
      </w:r>
      <w:proofErr w:type="spellStart"/>
      <w:r>
        <w:t>bp</w:t>
      </w:r>
      <w:proofErr w:type="spellEnd"/>
      <w:r>
        <w:t xml:space="preserve"> in</w:t>
      </w:r>
      <w:r w:rsidR="00D86CA0">
        <w:t xml:space="preserve"> </w:t>
      </w:r>
      <w:r>
        <w:t>length in V. inaequalis (12, 36)</w:t>
      </w:r>
    </w:p>
    <w:p w:rsidR="00E16789" w:rsidRDefault="00E16789" w:rsidP="00F474B2">
      <w:pPr>
        <w:rPr>
          <w:highlight w:val="green"/>
        </w:rPr>
      </w:pPr>
    </w:p>
    <w:p w:rsidR="00E16789" w:rsidRDefault="00E16789" w:rsidP="00E16789">
      <w:r w:rsidRPr="00E16789">
        <w:lastRenderedPageBreak/>
        <w:t>While</w:t>
      </w:r>
      <w:r w:rsidR="00D86CA0">
        <w:t xml:space="preserve"> </w:t>
      </w:r>
      <w:r w:rsidRPr="00E16789">
        <w:t>there was a clear association between azoxystrobin exposure and induction of</w:t>
      </w:r>
      <w:r w:rsidR="00D86CA0">
        <w:t xml:space="preserve"> </w:t>
      </w:r>
      <w:r w:rsidRPr="00E16789">
        <w:t>mutagenesis, the same relationship was not observed for the DMI fungicide suggesting</w:t>
      </w:r>
      <w:r w:rsidR="00D86CA0">
        <w:t xml:space="preserve"> </w:t>
      </w:r>
      <w:r w:rsidRPr="00E16789">
        <w:t>this phenomenon is dependent on the mode of action of a fungicide.</w:t>
      </w:r>
    </w:p>
    <w:p w:rsidR="00E16789" w:rsidRDefault="00E16789" w:rsidP="00E16789"/>
    <w:p w:rsidR="00E16789" w:rsidRPr="00E16789" w:rsidRDefault="00E16789" w:rsidP="00E16789">
      <w:r w:rsidRPr="00E16789">
        <w:t>The existence of such strains has been suggested previously to explain the observed</w:t>
      </w:r>
      <w:r w:rsidR="00D86CA0">
        <w:t xml:space="preserve"> </w:t>
      </w:r>
      <w:r w:rsidRPr="00E16789">
        <w:t>predisposition of a pathogen population already resistant to a fungicide to accelerated</w:t>
      </w:r>
      <w:r w:rsidR="00D86CA0">
        <w:t xml:space="preserve"> </w:t>
      </w:r>
      <w:r w:rsidRPr="00E16789">
        <w:t>resistance development to another, unrelated fungicide (10).</w:t>
      </w:r>
    </w:p>
    <w:p w:rsidR="00E16789" w:rsidRDefault="00E16789" w:rsidP="00FF5D15">
      <w:pPr>
        <w:pStyle w:val="NoSpacing"/>
        <w:rPr>
          <w:highlight w:val="green"/>
        </w:rPr>
      </w:pPr>
      <w:r>
        <w:t xml:space="preserve">An alternate explanation would be that the mutagenesis induced by azoxystrobin is </w:t>
      </w:r>
      <w:proofErr w:type="gramStart"/>
      <w:r>
        <w:t xml:space="preserve">specific </w:t>
      </w:r>
      <w:r w:rsidR="00D86CA0">
        <w:t xml:space="preserve"> </w:t>
      </w:r>
      <w:r>
        <w:t>to</w:t>
      </w:r>
      <w:proofErr w:type="gramEnd"/>
      <w:r>
        <w:t xml:space="preserve"> processes that are not capable of conferring resistance to </w:t>
      </w:r>
      <w:proofErr w:type="spellStart"/>
      <w:r>
        <w:t>QoI</w:t>
      </w:r>
      <w:proofErr w:type="spellEnd"/>
      <w:r>
        <w:t xml:space="preserve"> or DMI fungicides.</w:t>
      </w:r>
    </w:p>
    <w:p w:rsidR="00E16789" w:rsidRDefault="00E16789" w:rsidP="00F474B2">
      <w:pPr>
        <w:rPr>
          <w:highlight w:val="green"/>
        </w:rPr>
      </w:pPr>
    </w:p>
    <w:p w:rsidR="00695D97" w:rsidRDefault="00695D97" w:rsidP="00695D97">
      <w:pPr>
        <w:pStyle w:val="Heading1"/>
        <w:shd w:val="clear" w:color="auto" w:fill="FFFFFF"/>
        <w:spacing w:before="240" w:after="120"/>
        <w:rPr>
          <w:rFonts w:ascii="Arial" w:hAnsi="Arial" w:cs="Arial"/>
          <w:color w:val="000000"/>
          <w:sz w:val="33"/>
          <w:szCs w:val="33"/>
        </w:rPr>
      </w:pPr>
      <w:r w:rsidRPr="00695D97">
        <w:rPr>
          <w:rFonts w:ascii="AdvP6EC0" w:eastAsiaTheme="minorHAnsi" w:hAnsi="AdvP6EC0" w:cs="AdvP6EC0"/>
          <w:b w:val="0"/>
          <w:bCs w:val="0"/>
          <w:color w:val="231F20"/>
          <w:sz w:val="18"/>
          <w:szCs w:val="18"/>
          <w:highlight w:val="green"/>
        </w:rPr>
        <w:t>Sterol</w:t>
      </w:r>
      <w:r w:rsidRPr="00695D97">
        <w:rPr>
          <w:rFonts w:ascii="Arial" w:hAnsi="Arial" w:cs="Arial"/>
          <w:color w:val="000000"/>
          <w:sz w:val="33"/>
          <w:szCs w:val="33"/>
          <w:highlight w:val="green"/>
        </w:rPr>
        <w:t xml:space="preserve"> </w:t>
      </w:r>
      <w:r w:rsidRPr="00695D97">
        <w:rPr>
          <w:rFonts w:ascii="AdvP6EC0" w:eastAsiaTheme="minorHAnsi" w:hAnsi="AdvP6EC0" w:cs="AdvP6EC0"/>
          <w:b w:val="0"/>
          <w:bCs w:val="0"/>
          <w:color w:val="231F20"/>
          <w:sz w:val="18"/>
          <w:szCs w:val="18"/>
          <w:highlight w:val="green"/>
        </w:rPr>
        <w:t>14α-Demethylase Cytochrome P450 (CYP51), a P450 in all Biological Kingdoms</w:t>
      </w:r>
    </w:p>
    <w:p w:rsidR="00464A47" w:rsidRDefault="006E548E" w:rsidP="00464A47">
      <w:pPr>
        <w:rPr>
          <w:rFonts w:ascii="Arial" w:hAnsi="Arial" w:cs="Arial"/>
          <w:color w:val="000000"/>
          <w:sz w:val="20"/>
          <w:szCs w:val="20"/>
          <w:shd w:val="clear" w:color="auto" w:fill="FFFFFF"/>
          <w:vertAlign w:val="superscript"/>
        </w:rPr>
      </w:pPr>
      <w:hyperlink r:id="rId6" w:history="1">
        <w:r w:rsidR="00695D97">
          <w:rPr>
            <w:rStyle w:val="Hyperlink"/>
            <w:rFonts w:ascii="Arial" w:hAnsi="Arial" w:cs="Arial"/>
            <w:color w:val="642A8F"/>
            <w:sz w:val="15"/>
            <w:szCs w:val="15"/>
            <w:shd w:val="clear" w:color="auto" w:fill="FFFFFF"/>
          </w:rPr>
          <w:t xml:space="preserve">Galina I. </w:t>
        </w:r>
        <w:proofErr w:type="spellStart"/>
        <w:r w:rsidR="00695D97">
          <w:rPr>
            <w:rStyle w:val="Hyperlink"/>
            <w:rFonts w:ascii="Arial" w:hAnsi="Arial" w:cs="Arial"/>
            <w:color w:val="642A8F"/>
            <w:sz w:val="15"/>
            <w:szCs w:val="15"/>
            <w:shd w:val="clear" w:color="auto" w:fill="FFFFFF"/>
          </w:rPr>
          <w:t>Lepesheva</w:t>
        </w:r>
        <w:proofErr w:type="spellEnd"/>
      </w:hyperlink>
      <w:r w:rsidR="00695D97">
        <w:rPr>
          <w:rStyle w:val="apple-converted-space"/>
          <w:rFonts w:ascii="Arial" w:hAnsi="Arial" w:cs="Arial"/>
          <w:color w:val="000000"/>
          <w:sz w:val="15"/>
          <w:szCs w:val="15"/>
          <w:shd w:val="clear" w:color="auto" w:fill="FFFFFF"/>
        </w:rPr>
        <w:t> </w:t>
      </w:r>
      <w:r w:rsidR="00695D97">
        <w:rPr>
          <w:rFonts w:ascii="Arial" w:hAnsi="Arial" w:cs="Arial"/>
          <w:color w:val="000000"/>
          <w:sz w:val="15"/>
          <w:szCs w:val="15"/>
          <w:shd w:val="clear" w:color="auto" w:fill="FFFFFF"/>
        </w:rPr>
        <w:t>and</w:t>
      </w:r>
      <w:r w:rsidR="00695D97">
        <w:rPr>
          <w:rStyle w:val="apple-converted-space"/>
          <w:rFonts w:ascii="Arial" w:hAnsi="Arial" w:cs="Arial"/>
          <w:color w:val="000000"/>
          <w:sz w:val="15"/>
          <w:szCs w:val="15"/>
          <w:shd w:val="clear" w:color="auto" w:fill="FFFFFF"/>
        </w:rPr>
        <w:t> </w:t>
      </w:r>
      <w:hyperlink r:id="rId7" w:history="1">
        <w:r w:rsidR="00695D97">
          <w:rPr>
            <w:rStyle w:val="Hyperlink"/>
            <w:rFonts w:ascii="Arial" w:hAnsi="Arial" w:cs="Arial"/>
            <w:color w:val="642A8F"/>
            <w:sz w:val="15"/>
            <w:szCs w:val="15"/>
            <w:shd w:val="clear" w:color="auto" w:fill="FFFFFF"/>
          </w:rPr>
          <w:t>Michael R. Waterman</w:t>
        </w:r>
      </w:hyperlink>
      <w:r w:rsidR="00695D97">
        <w:rPr>
          <w:rFonts w:ascii="Arial" w:hAnsi="Arial" w:cs="Arial"/>
          <w:color w:val="000000"/>
          <w:sz w:val="20"/>
          <w:szCs w:val="20"/>
          <w:shd w:val="clear" w:color="auto" w:fill="FFFFFF"/>
          <w:vertAlign w:val="superscript"/>
        </w:rPr>
        <w:t>†</w:t>
      </w:r>
    </w:p>
    <w:p w:rsidR="00695D97" w:rsidRDefault="00695D97" w:rsidP="00464A47">
      <w:pPr>
        <w:rPr>
          <w:color w:val="000000"/>
          <w:sz w:val="18"/>
          <w:szCs w:val="18"/>
          <w:shd w:val="clear" w:color="auto" w:fill="FFFFFF"/>
        </w:rPr>
      </w:pPr>
    </w:p>
    <w:p w:rsidR="00695D97" w:rsidRPr="00D86CA0" w:rsidRDefault="00695D97" w:rsidP="00464A47">
      <w:pPr>
        <w:rPr>
          <w:color w:val="000000"/>
          <w:shd w:val="clear" w:color="auto" w:fill="FFFFFF"/>
        </w:rPr>
      </w:pPr>
      <w:r w:rsidRPr="00D86CA0">
        <w:rPr>
          <w:color w:val="000000"/>
          <w:shd w:val="clear" w:color="auto" w:fill="FFFFFF"/>
        </w:rPr>
        <w:t>The CYP51 family is an intriguing subject for fundamental P450 structure/function studies and is also an important clinical drug target. This review updates information on the variety of the CYP51 family members, including their physiological roles, natural substrates and substrate preferences, and catalytic properties</w:t>
      </w:r>
      <w:r w:rsidRPr="00D86CA0">
        <w:rPr>
          <w:color w:val="000000"/>
        </w:rPr>
        <w:t> </w:t>
      </w:r>
      <w:r w:rsidRPr="00D86CA0">
        <w:rPr>
          <w:i/>
          <w:iCs/>
          <w:color w:val="000000"/>
        </w:rPr>
        <w:t>in vitro</w:t>
      </w:r>
      <w:r w:rsidRPr="00D86CA0">
        <w:rPr>
          <w:color w:val="000000"/>
          <w:shd w:val="clear" w:color="auto" w:fill="FFFFFF"/>
        </w:rPr>
        <w:t>. We present experimental support for the notion that specific conserved regions in the P450 sequences represent a CYP51 signature. Two possible roles of CYP51 in P450 evolution are discussed and the major approaches for CYP51 inhibition are summarized.</w:t>
      </w:r>
    </w:p>
    <w:p w:rsidR="00695D97" w:rsidRPr="00D86CA0" w:rsidRDefault="00695D97" w:rsidP="00464A47">
      <w:pPr>
        <w:rPr>
          <w:color w:val="000000"/>
          <w:shd w:val="clear" w:color="auto" w:fill="FFFFFF"/>
        </w:rPr>
      </w:pPr>
    </w:p>
    <w:p w:rsidR="00695D97" w:rsidRPr="005E10EE" w:rsidRDefault="00695D97" w:rsidP="00464A47">
      <w:pPr>
        <w:rPr>
          <w:rFonts w:ascii="AdvP6EC0" w:hAnsi="AdvP6EC0" w:cs="AdvP6EC0"/>
          <w:color w:val="231F20"/>
          <w:sz w:val="18"/>
          <w:szCs w:val="18"/>
        </w:rPr>
      </w:pPr>
      <w:r w:rsidRPr="00D86CA0">
        <w:rPr>
          <w:color w:val="000000"/>
          <w:shd w:val="clear" w:color="auto" w:fill="FFFFFF"/>
        </w:rPr>
        <w:t>Sterol 14α-demethylation as a general part of sterol biosynthetic pathways in eukaryotes [</w:t>
      </w:r>
      <w:hyperlink r:id="rId8" w:anchor="R1" w:history="1">
        <w:r w:rsidRPr="00D86CA0">
          <w:rPr>
            <w:color w:val="642A8F"/>
            <w:u w:val="single"/>
          </w:rPr>
          <w:t>1</w:t>
        </w:r>
      </w:hyperlink>
      <w:r w:rsidRPr="00D86CA0">
        <w:rPr>
          <w:color w:val="000000"/>
          <w:shd w:val="clear" w:color="auto" w:fill="FFFFFF"/>
        </w:rPr>
        <w:t>] has been known and studied for more than 30 years [</w:t>
      </w:r>
      <w:hyperlink r:id="rId9" w:anchor="R2" w:history="1">
        <w:r w:rsidRPr="00D86CA0">
          <w:rPr>
            <w:color w:val="642A8F"/>
            <w:u w:val="single"/>
          </w:rPr>
          <w:t>2</w:t>
        </w:r>
      </w:hyperlink>
      <w:r w:rsidRPr="00D86CA0">
        <w:rPr>
          <w:color w:val="000000"/>
          <w:shd w:val="clear" w:color="auto" w:fill="FFFFFF"/>
        </w:rPr>
        <w:t>-</w:t>
      </w:r>
      <w:hyperlink r:id="rId10" w:anchor="R7" w:history="1">
        <w:r w:rsidRPr="00D86CA0">
          <w:rPr>
            <w:color w:val="642A8F"/>
            <w:u w:val="single"/>
          </w:rPr>
          <w:t>7</w:t>
        </w:r>
      </w:hyperlink>
      <w:r w:rsidRPr="00D86CA0">
        <w:rPr>
          <w:color w:val="000000"/>
          <w:shd w:val="clear" w:color="auto" w:fill="FFFFFF"/>
        </w:rPr>
        <w:t>]. The enzyme catalyzing this reaction was first purified from yeast in 1984 (</w:t>
      </w:r>
      <w:proofErr w:type="spellStart"/>
      <w:r w:rsidRPr="00D86CA0">
        <w:rPr>
          <w:i/>
          <w:iCs/>
          <w:color w:val="000000"/>
        </w:rPr>
        <w:t>Sacharomyces</w:t>
      </w:r>
      <w:proofErr w:type="spellEnd"/>
      <w:r w:rsidRPr="00D86CA0">
        <w:rPr>
          <w:i/>
          <w:iCs/>
          <w:color w:val="000000"/>
        </w:rPr>
        <w:t xml:space="preserve"> </w:t>
      </w:r>
      <w:proofErr w:type="spellStart"/>
      <w:r w:rsidRPr="00D86CA0">
        <w:rPr>
          <w:i/>
          <w:iCs/>
          <w:color w:val="000000"/>
        </w:rPr>
        <w:t>cerevisiea</w:t>
      </w:r>
      <w:proofErr w:type="spellEnd"/>
      <w:r w:rsidRPr="00D86CA0">
        <w:rPr>
          <w:color w:val="000000"/>
        </w:rPr>
        <w:t> </w:t>
      </w:r>
      <w:r w:rsidRPr="00D86CA0">
        <w:rPr>
          <w:color w:val="000000"/>
          <w:shd w:val="clear" w:color="auto" w:fill="FFFFFF"/>
        </w:rPr>
        <w:t>[</w:t>
      </w:r>
      <w:hyperlink r:id="rId11" w:anchor="R8" w:history="1">
        <w:r w:rsidRPr="00D86CA0">
          <w:rPr>
            <w:color w:val="642A8F"/>
            <w:u w:val="single"/>
          </w:rPr>
          <w:t>8</w:t>
        </w:r>
      </w:hyperlink>
      <w:r w:rsidRPr="00D86CA0">
        <w:rPr>
          <w:color w:val="000000"/>
          <w:shd w:val="clear" w:color="auto" w:fill="FFFFFF"/>
        </w:rPr>
        <w:t>]), and following determination of its primary structure [</w:t>
      </w:r>
      <w:hyperlink r:id="rId12" w:anchor="R9" w:history="1">
        <w:r w:rsidRPr="00D86CA0">
          <w:rPr>
            <w:color w:val="642A8F"/>
            <w:u w:val="single"/>
          </w:rPr>
          <w:t>9</w:t>
        </w:r>
      </w:hyperlink>
      <w:r w:rsidRPr="00D86CA0">
        <w:rPr>
          <w:color w:val="000000"/>
          <w:shd w:val="clear" w:color="auto" w:fill="FFFFFF"/>
        </w:rPr>
        <w:t>] the cytochrome P450 sterol 14α-demethylases were placed into the CYP51 family, a number reserved for fungal sequences [</w:t>
      </w:r>
      <w:hyperlink r:id="rId13" w:anchor="R10" w:history="1">
        <w:r w:rsidRPr="00D86CA0">
          <w:rPr>
            <w:color w:val="642A8F"/>
            <w:u w:val="single"/>
          </w:rPr>
          <w:t>10</w:t>
        </w:r>
      </w:hyperlink>
      <w:r w:rsidRPr="00D86CA0">
        <w:rPr>
          <w:color w:val="000000"/>
          <w:shd w:val="clear" w:color="auto" w:fill="FFFFFF"/>
        </w:rPr>
        <w:t>].</w:t>
      </w:r>
    </w:p>
    <w:sectPr w:rsidR="00695D97" w:rsidRPr="005E10EE" w:rsidSect="00490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vOT82c4f4c4">
    <w:panose1 w:val="00000000000000000000"/>
    <w:charset w:val="00"/>
    <w:family w:val="swiss"/>
    <w:notTrueType/>
    <w:pitch w:val="default"/>
    <w:sig w:usb0="00000003" w:usb1="00000000" w:usb2="00000000" w:usb3="00000000" w:csb0="00000001" w:csb1="00000000"/>
  </w:font>
  <w:font w:name="AdvOT1ef757c0">
    <w:panose1 w:val="00000000000000000000"/>
    <w:charset w:val="00"/>
    <w:family w:val="roman"/>
    <w:notTrueType/>
    <w:pitch w:val="default"/>
    <w:sig w:usb0="00000003" w:usb1="00000000" w:usb2="00000000" w:usb3="00000000" w:csb0="00000001" w:csb1="00000000"/>
  </w:font>
  <w:font w:name="AdvOT7d6df7ab.I">
    <w:panose1 w:val="00000000000000000000"/>
    <w:charset w:val="00"/>
    <w:family w:val="roman"/>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dvCaeciliaRm">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inionPro-It">
    <w:altName w:val="Times New Roman"/>
    <w:panose1 w:val="00000000000000000000"/>
    <w:charset w:val="A1"/>
    <w:family w:val="roman"/>
    <w:notTrueType/>
    <w:pitch w:val="default"/>
    <w:sig w:usb0="00000081" w:usb1="00000000" w:usb2="00000000" w:usb3="00000000" w:csb0="00000008" w:csb1="00000000"/>
  </w:font>
  <w:font w:name="MinionPro-Regular">
    <w:panose1 w:val="00000000000000000000"/>
    <w:charset w:val="00"/>
    <w:family w:val="roman"/>
    <w:notTrueType/>
    <w:pitch w:val="default"/>
    <w:sig w:usb0="00000003" w:usb1="00000000" w:usb2="00000000" w:usb3="00000000" w:csb0="00000001" w:csb1="00000000"/>
  </w:font>
  <w:font w:name="Fd2107-Identity-H">
    <w:panose1 w:val="00000000000000000000"/>
    <w:charset w:val="00"/>
    <w:family w:val="auto"/>
    <w:notTrueType/>
    <w:pitch w:val="default"/>
    <w:sig w:usb0="00000003" w:usb1="00000000" w:usb2="00000000" w:usb3="00000000" w:csb0="00000001" w:csb1="00000000"/>
  </w:font>
  <w:font w:name="AdvMc_Times-i">
    <w:panose1 w:val="00000000000000000000"/>
    <w:charset w:val="00"/>
    <w:family w:val="roman"/>
    <w:notTrueType/>
    <w:pitch w:val="default"/>
    <w:sig w:usb0="00000003" w:usb1="00000000" w:usb2="00000000" w:usb3="00000000" w:csb0="00000001" w:csb1="00000000"/>
  </w:font>
  <w:font w:name="AdvOTa5ebdc7c.I">
    <w:panose1 w:val="00000000000000000000"/>
    <w:charset w:val="00"/>
    <w:family w:val="swiss"/>
    <w:notTrueType/>
    <w:pitch w:val="default"/>
    <w:sig w:usb0="00000003" w:usb1="00000000" w:usb2="00000000" w:usb3="00000000" w:csb0="00000001" w:csb1="00000000"/>
  </w:font>
  <w:font w:name="AdvOTce2aec1c">
    <w:panose1 w:val="00000000000000000000"/>
    <w:charset w:val="00"/>
    <w:family w:val="roman"/>
    <w:notTrueType/>
    <w:pitch w:val="default"/>
    <w:sig w:usb0="00000003" w:usb1="00000000" w:usb2="00000000" w:usb3="00000000" w:csb0="00000001" w:csb1="00000000"/>
  </w:font>
  <w:font w:name="AdvCaeciliaIt">
    <w:panose1 w:val="00000000000000000000"/>
    <w:charset w:val="00"/>
    <w:family w:val="roman"/>
    <w:notTrueType/>
    <w:pitch w:val="default"/>
    <w:sig w:usb0="00000003" w:usb1="00000000" w:usb2="00000000" w:usb3="00000000" w:csb0="00000001" w:csb1="00000000"/>
  </w:font>
  <w:font w:name="AdvCaeciliaBd">
    <w:panose1 w:val="00000000000000000000"/>
    <w:charset w:val="00"/>
    <w:family w:val="swiss"/>
    <w:notTrueType/>
    <w:pitch w:val="default"/>
    <w:sig w:usb0="00000003" w:usb1="00000000" w:usb2="00000000" w:usb3="00000000" w:csb0="00000001" w:csb1="00000000"/>
  </w:font>
  <w:font w:name="AdvPS44A44B">
    <w:panose1 w:val="00000000000000000000"/>
    <w:charset w:val="00"/>
    <w:family w:val="swiss"/>
    <w:notTrueType/>
    <w:pitch w:val="default"/>
    <w:sig w:usb0="00000003" w:usb1="00000000" w:usb2="00000000" w:usb3="00000000" w:csb0="00000001" w:csb1="00000000"/>
  </w:font>
  <w:font w:name="AdvOT82c4f4c4+20">
    <w:panose1 w:val="00000000000000000000"/>
    <w:charset w:val="00"/>
    <w:family w:val="swiss"/>
    <w:notTrueType/>
    <w:pitch w:val="default"/>
    <w:sig w:usb0="00000003" w:usb1="00000000" w:usb2="00000000" w:usb3="00000000" w:csb0="00000001" w:csb1="00000000"/>
  </w:font>
  <w:font w:name="AdvTT153188ed+03">
    <w:altName w:val="Times New Roman"/>
    <w:panose1 w:val="00000000000000000000"/>
    <w:charset w:val="A1"/>
    <w:family w:val="auto"/>
    <w:notTrueType/>
    <w:pitch w:val="default"/>
    <w:sig w:usb0="00000081" w:usb1="00000000" w:usb2="00000000" w:usb3="00000000" w:csb0="00000008" w:csb1="00000000"/>
  </w:font>
  <w:font w:name="Sabon-Italic">
    <w:panose1 w:val="00000000000000000000"/>
    <w:charset w:val="00"/>
    <w:family w:val="roman"/>
    <w:notTrueType/>
    <w:pitch w:val="default"/>
    <w:sig w:usb0="00000003" w:usb1="00000000" w:usb2="00000000" w:usb3="00000000" w:csb0="00000001" w:csb1="00000000"/>
  </w:font>
  <w:font w:name="Sabon-Bold">
    <w:panose1 w:val="00000000000000000000"/>
    <w:charset w:val="00"/>
    <w:family w:val="roman"/>
    <w:notTrueType/>
    <w:pitch w:val="default"/>
    <w:sig w:usb0="00000003" w:usb1="00000000" w:usb2="00000000" w:usb3="00000000" w:csb0="00000001" w:csb1="00000000"/>
  </w:font>
  <w:font w:name="Sabon-Roman">
    <w:panose1 w:val="00000000000000000000"/>
    <w:charset w:val="00"/>
    <w:family w:val="roman"/>
    <w:notTrueType/>
    <w:pitch w:val="default"/>
    <w:sig w:usb0="00000003" w:usb1="00000000" w:usb2="00000000" w:usb3="00000000" w:csb0="00000001" w:csb1="00000000"/>
  </w:font>
  <w:font w:name="AdvOTce2aec1c+20">
    <w:panose1 w:val="00000000000000000000"/>
    <w:charset w:val="00"/>
    <w:family w:val="swiss"/>
    <w:notTrueType/>
    <w:pitch w:val="default"/>
    <w:sig w:usb0="00000003" w:usb1="00000000" w:usb2="00000000" w:usb3="00000000" w:csb0="00000001" w:csb1="00000000"/>
  </w:font>
  <w:font w:name="AdvPS3F4C13">
    <w:panose1 w:val="00000000000000000000"/>
    <w:charset w:val="00"/>
    <w:family w:val="swiss"/>
    <w:notTrueType/>
    <w:pitch w:val="default"/>
    <w:sig w:usb0="00000003" w:usb1="00000000" w:usb2="00000000" w:usb3="00000000" w:csb0="00000001" w:csb1="00000000"/>
  </w:font>
  <w:font w:name="AdvP6EC5">
    <w:panose1 w:val="00000000000000000000"/>
    <w:charset w:val="00"/>
    <w:family w:val="swiss"/>
    <w:notTrueType/>
    <w:pitch w:val="default"/>
    <w:sig w:usb0="00000003" w:usb1="00000000" w:usb2="00000000" w:usb3="00000000" w:csb0="00000001" w:csb1="00000000"/>
  </w:font>
  <w:font w:name="AdvP6EC0">
    <w:panose1 w:val="00000000000000000000"/>
    <w:charset w:val="00"/>
    <w:family w:val="swiss"/>
    <w:notTrueType/>
    <w:pitch w:val="default"/>
    <w:sig w:usb0="00000003" w:usb1="00000000" w:usb2="00000000" w:usb3="00000000" w:csb0="00000001" w:csb1="00000000"/>
  </w:font>
  <w:font w:name="AdvPi2">
    <w:panose1 w:val="00000000000000000000"/>
    <w:charset w:val="00"/>
    <w:family w:val="roman"/>
    <w:notTrueType/>
    <w:pitch w:val="default"/>
    <w:sig w:usb0="00000003" w:usb1="00000000" w:usb2="00000000" w:usb3="00000000" w:csb0="00000001" w:csb1="00000000"/>
  </w:font>
  <w:font w:name="AdvTT05cc2067+03">
    <w:altName w:val="Times New Roman"/>
    <w:panose1 w:val="00000000000000000000"/>
    <w:charset w:val="A1"/>
    <w:family w:val="auto"/>
    <w:notTrueType/>
    <w:pitch w:val="default"/>
    <w:sig w:usb0="00000081" w:usb1="00000000" w:usb2="00000000" w:usb3="00000000" w:csb0="00000008" w:csb1="00000000"/>
  </w:font>
  <w:font w:name="AdvOT1ef757c0+20">
    <w:panose1 w:val="00000000000000000000"/>
    <w:charset w:val="00"/>
    <w:family w:val="swiss"/>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AdvOTce2aec1c+fb">
    <w:panose1 w:val="00000000000000000000"/>
    <w:charset w:val="00"/>
    <w:family w:val="auto"/>
    <w:notTrueType/>
    <w:pitch w:val="default"/>
    <w:sig w:usb0="00000003" w:usb1="00000000" w:usb2="00000000" w:usb3="00000000" w:csb0="00000001" w:csb1="00000000"/>
  </w:font>
  <w:font w:name="AdvP4C4E59">
    <w:panose1 w:val="00000000000000000000"/>
    <w:charset w:val="00"/>
    <w:family w:val="auto"/>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PSHEL">
    <w:panose1 w:val="00000000000000000000"/>
    <w:charset w:val="00"/>
    <w:family w:val="swiss"/>
    <w:notTrueType/>
    <w:pitch w:val="default"/>
    <w:sig w:usb0="00000003" w:usb1="00000000" w:usb2="00000000" w:usb3="00000000" w:csb0="00000001" w:csb1="00000000"/>
  </w:font>
  <w:font w:name="AdvPSSAB-R">
    <w:panose1 w:val="00000000000000000000"/>
    <w:charset w:val="00"/>
    <w:family w:val="roman"/>
    <w:notTrueType/>
    <w:pitch w:val="default"/>
    <w:sig w:usb0="00000003" w:usb1="00000000" w:usb2="00000000" w:usb3="00000000" w:csb0="00000001" w:csb1="00000000"/>
  </w:font>
  <w:font w:name="AdvPSSAB-I">
    <w:panose1 w:val="00000000000000000000"/>
    <w:charset w:val="00"/>
    <w:family w:val="swiss"/>
    <w:notTrueType/>
    <w:pitch w:val="default"/>
    <w:sig w:usb0="00000003" w:usb1="00000000" w:usb2="00000000" w:usb3="00000000" w:csb0="00000001" w:csb1="00000000"/>
  </w:font>
  <w:font w:name="AdvPSHEL-B">
    <w:panose1 w:val="00000000000000000000"/>
    <w:charset w:val="00"/>
    <w:family w:val="swiss"/>
    <w:notTrueType/>
    <w:pitch w:val="default"/>
    <w:sig w:usb0="00000003" w:usb1="00000000" w:usb2="00000000" w:usb3="00000000" w:csb0="00000001" w:csb1="00000000"/>
  </w:font>
  <w:font w:name="AdvPSSym">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dvP4C4E74">
    <w:panose1 w:val="00000000000000000000"/>
    <w:charset w:val="00"/>
    <w:family w:val="auto"/>
    <w:notTrueType/>
    <w:pitch w:val="default"/>
    <w:sig w:usb0="00000003" w:usb1="00000000" w:usb2="00000000" w:usb3="00000000" w:csb0="00000001" w:csb1="00000000"/>
  </w:font>
  <w:font w:name="AdvCaceiliaHVY">
    <w:panose1 w:val="00000000000000000000"/>
    <w:charset w:val="00"/>
    <w:family w:val="roman"/>
    <w:notTrueType/>
    <w:pitch w:val="default"/>
    <w:sig w:usb0="00000003" w:usb1="00000000" w:usb2="00000000" w:usb3="00000000" w:csb0="00000001" w:csb1="00000000"/>
  </w:font>
  <w:font w:name="AdvCaeciliaBdIt">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Bliss-Heavy">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B13D0"/>
    <w:multiLevelType w:val="hybridMultilevel"/>
    <w:tmpl w:val="36F6019A"/>
    <w:lvl w:ilvl="0" w:tplc="801AC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E4D93"/>
    <w:multiLevelType w:val="multilevel"/>
    <w:tmpl w:val="8550D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A2385"/>
    <w:multiLevelType w:val="multilevel"/>
    <w:tmpl w:val="D6145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2"/>
  </w:compat>
  <w:rsids>
    <w:rsidRoot w:val="003C1B48"/>
    <w:rsid w:val="0000167A"/>
    <w:rsid w:val="000023BE"/>
    <w:rsid w:val="000065AE"/>
    <w:rsid w:val="00006DF3"/>
    <w:rsid w:val="00012F9E"/>
    <w:rsid w:val="000152D2"/>
    <w:rsid w:val="00016546"/>
    <w:rsid w:val="0002568B"/>
    <w:rsid w:val="00027365"/>
    <w:rsid w:val="00030EC2"/>
    <w:rsid w:val="00034032"/>
    <w:rsid w:val="00034238"/>
    <w:rsid w:val="0003488C"/>
    <w:rsid w:val="00041FB6"/>
    <w:rsid w:val="00043DCF"/>
    <w:rsid w:val="00045757"/>
    <w:rsid w:val="00047721"/>
    <w:rsid w:val="000502E6"/>
    <w:rsid w:val="000515F0"/>
    <w:rsid w:val="00063DF9"/>
    <w:rsid w:val="0007288F"/>
    <w:rsid w:val="00072A92"/>
    <w:rsid w:val="0007404B"/>
    <w:rsid w:val="000747E6"/>
    <w:rsid w:val="00074B21"/>
    <w:rsid w:val="00077E4D"/>
    <w:rsid w:val="000804F0"/>
    <w:rsid w:val="00080C7A"/>
    <w:rsid w:val="00080E6A"/>
    <w:rsid w:val="00083F81"/>
    <w:rsid w:val="00087498"/>
    <w:rsid w:val="00093524"/>
    <w:rsid w:val="000A76E2"/>
    <w:rsid w:val="000B6295"/>
    <w:rsid w:val="000C15E3"/>
    <w:rsid w:val="000C18D0"/>
    <w:rsid w:val="000C1F88"/>
    <w:rsid w:val="000C25F5"/>
    <w:rsid w:val="000C4C5D"/>
    <w:rsid w:val="000D09B2"/>
    <w:rsid w:val="000D28CA"/>
    <w:rsid w:val="000E1229"/>
    <w:rsid w:val="000E1912"/>
    <w:rsid w:val="000E28F4"/>
    <w:rsid w:val="000F0F37"/>
    <w:rsid w:val="000F1FD2"/>
    <w:rsid w:val="001015FD"/>
    <w:rsid w:val="00104EA9"/>
    <w:rsid w:val="00110901"/>
    <w:rsid w:val="00112E4C"/>
    <w:rsid w:val="00113586"/>
    <w:rsid w:val="00115EC4"/>
    <w:rsid w:val="00131E85"/>
    <w:rsid w:val="00133B31"/>
    <w:rsid w:val="00136D51"/>
    <w:rsid w:val="00136EA5"/>
    <w:rsid w:val="00142CB9"/>
    <w:rsid w:val="001434D3"/>
    <w:rsid w:val="00151E00"/>
    <w:rsid w:val="00151EE7"/>
    <w:rsid w:val="001537BE"/>
    <w:rsid w:val="0015496F"/>
    <w:rsid w:val="00154BDB"/>
    <w:rsid w:val="00155FB5"/>
    <w:rsid w:val="0016045E"/>
    <w:rsid w:val="00161457"/>
    <w:rsid w:val="001632D5"/>
    <w:rsid w:val="00170110"/>
    <w:rsid w:val="00170BCE"/>
    <w:rsid w:val="001720E0"/>
    <w:rsid w:val="0017573B"/>
    <w:rsid w:val="00176C44"/>
    <w:rsid w:val="00181F05"/>
    <w:rsid w:val="001836CA"/>
    <w:rsid w:val="00183CC5"/>
    <w:rsid w:val="0018604A"/>
    <w:rsid w:val="001A7C81"/>
    <w:rsid w:val="001B0D91"/>
    <w:rsid w:val="001C3856"/>
    <w:rsid w:val="001D2C4D"/>
    <w:rsid w:val="001D3484"/>
    <w:rsid w:val="001D3D08"/>
    <w:rsid w:val="001D6992"/>
    <w:rsid w:val="001D72B7"/>
    <w:rsid w:val="001E1F25"/>
    <w:rsid w:val="001E66BE"/>
    <w:rsid w:val="001F0538"/>
    <w:rsid w:val="001F47D2"/>
    <w:rsid w:val="00201C0C"/>
    <w:rsid w:val="0020333C"/>
    <w:rsid w:val="00203AF1"/>
    <w:rsid w:val="00210DBE"/>
    <w:rsid w:val="0022780C"/>
    <w:rsid w:val="002324CB"/>
    <w:rsid w:val="00247F39"/>
    <w:rsid w:val="00250A13"/>
    <w:rsid w:val="00254CD0"/>
    <w:rsid w:val="00267BC2"/>
    <w:rsid w:val="002705D4"/>
    <w:rsid w:val="00281DAE"/>
    <w:rsid w:val="0028431A"/>
    <w:rsid w:val="00286D8B"/>
    <w:rsid w:val="002879B4"/>
    <w:rsid w:val="002910CA"/>
    <w:rsid w:val="002A3C6E"/>
    <w:rsid w:val="002A5370"/>
    <w:rsid w:val="002A7136"/>
    <w:rsid w:val="002B1178"/>
    <w:rsid w:val="002C0912"/>
    <w:rsid w:val="002C73C4"/>
    <w:rsid w:val="002D0B6C"/>
    <w:rsid w:val="002D5B95"/>
    <w:rsid w:val="002E552E"/>
    <w:rsid w:val="002F3F92"/>
    <w:rsid w:val="002F4A6D"/>
    <w:rsid w:val="002F5A97"/>
    <w:rsid w:val="00300323"/>
    <w:rsid w:val="00303EB7"/>
    <w:rsid w:val="00306755"/>
    <w:rsid w:val="003076F1"/>
    <w:rsid w:val="00313888"/>
    <w:rsid w:val="00323035"/>
    <w:rsid w:val="0032401D"/>
    <w:rsid w:val="00326DB3"/>
    <w:rsid w:val="00326FCD"/>
    <w:rsid w:val="00330E3A"/>
    <w:rsid w:val="0033176C"/>
    <w:rsid w:val="00332510"/>
    <w:rsid w:val="00345C71"/>
    <w:rsid w:val="00347874"/>
    <w:rsid w:val="00353AF6"/>
    <w:rsid w:val="00355BA1"/>
    <w:rsid w:val="00355F2C"/>
    <w:rsid w:val="00356598"/>
    <w:rsid w:val="00361C82"/>
    <w:rsid w:val="00361C8D"/>
    <w:rsid w:val="00365298"/>
    <w:rsid w:val="0037147F"/>
    <w:rsid w:val="00371CAD"/>
    <w:rsid w:val="00380391"/>
    <w:rsid w:val="003821C9"/>
    <w:rsid w:val="00386C6F"/>
    <w:rsid w:val="00390BFF"/>
    <w:rsid w:val="00392732"/>
    <w:rsid w:val="003933AF"/>
    <w:rsid w:val="003A4A25"/>
    <w:rsid w:val="003A66A5"/>
    <w:rsid w:val="003B1B4A"/>
    <w:rsid w:val="003C08CF"/>
    <w:rsid w:val="003C1B48"/>
    <w:rsid w:val="003D5717"/>
    <w:rsid w:val="003D7050"/>
    <w:rsid w:val="003E2218"/>
    <w:rsid w:val="003E32E9"/>
    <w:rsid w:val="003F1558"/>
    <w:rsid w:val="003F18E6"/>
    <w:rsid w:val="003F4DB2"/>
    <w:rsid w:val="003F6B6E"/>
    <w:rsid w:val="00404A21"/>
    <w:rsid w:val="00406C0A"/>
    <w:rsid w:val="00410FA0"/>
    <w:rsid w:val="00415C7C"/>
    <w:rsid w:val="004173A4"/>
    <w:rsid w:val="00420D57"/>
    <w:rsid w:val="00424D3F"/>
    <w:rsid w:val="00430967"/>
    <w:rsid w:val="004310E9"/>
    <w:rsid w:val="0044131A"/>
    <w:rsid w:val="00443E2D"/>
    <w:rsid w:val="004459CE"/>
    <w:rsid w:val="00445A26"/>
    <w:rsid w:val="00452FBB"/>
    <w:rsid w:val="0045573F"/>
    <w:rsid w:val="00464A47"/>
    <w:rsid w:val="00465E70"/>
    <w:rsid w:val="00482A0E"/>
    <w:rsid w:val="00484DEF"/>
    <w:rsid w:val="00490413"/>
    <w:rsid w:val="004A12AA"/>
    <w:rsid w:val="004A30AF"/>
    <w:rsid w:val="004A4687"/>
    <w:rsid w:val="004A7372"/>
    <w:rsid w:val="004B14F3"/>
    <w:rsid w:val="004B3DAC"/>
    <w:rsid w:val="004B6A04"/>
    <w:rsid w:val="004C0646"/>
    <w:rsid w:val="004C0774"/>
    <w:rsid w:val="004C1BC9"/>
    <w:rsid w:val="004C3FDB"/>
    <w:rsid w:val="004C4C78"/>
    <w:rsid w:val="004D0AD9"/>
    <w:rsid w:val="004D571F"/>
    <w:rsid w:val="004D6D46"/>
    <w:rsid w:val="004E14EA"/>
    <w:rsid w:val="004F1C28"/>
    <w:rsid w:val="004F4170"/>
    <w:rsid w:val="004F7ADA"/>
    <w:rsid w:val="004F7F48"/>
    <w:rsid w:val="00500396"/>
    <w:rsid w:val="005056D5"/>
    <w:rsid w:val="0050657F"/>
    <w:rsid w:val="00511EBC"/>
    <w:rsid w:val="005127C3"/>
    <w:rsid w:val="00512C14"/>
    <w:rsid w:val="0051594C"/>
    <w:rsid w:val="00520727"/>
    <w:rsid w:val="00520D17"/>
    <w:rsid w:val="005236B0"/>
    <w:rsid w:val="00534B56"/>
    <w:rsid w:val="00537E37"/>
    <w:rsid w:val="0054426A"/>
    <w:rsid w:val="00551990"/>
    <w:rsid w:val="00555201"/>
    <w:rsid w:val="00555508"/>
    <w:rsid w:val="00555EB1"/>
    <w:rsid w:val="00560AAF"/>
    <w:rsid w:val="00561E5D"/>
    <w:rsid w:val="005634CB"/>
    <w:rsid w:val="00564A41"/>
    <w:rsid w:val="0057424A"/>
    <w:rsid w:val="0058014C"/>
    <w:rsid w:val="00581793"/>
    <w:rsid w:val="005846BB"/>
    <w:rsid w:val="005852AD"/>
    <w:rsid w:val="0058734D"/>
    <w:rsid w:val="0059237F"/>
    <w:rsid w:val="00594549"/>
    <w:rsid w:val="00594805"/>
    <w:rsid w:val="0059663A"/>
    <w:rsid w:val="005A3FDA"/>
    <w:rsid w:val="005A646D"/>
    <w:rsid w:val="005B10AD"/>
    <w:rsid w:val="005B2DE1"/>
    <w:rsid w:val="005B57F8"/>
    <w:rsid w:val="005C1552"/>
    <w:rsid w:val="005C1DAF"/>
    <w:rsid w:val="005C31E2"/>
    <w:rsid w:val="005C3E06"/>
    <w:rsid w:val="005C5DC5"/>
    <w:rsid w:val="005C6246"/>
    <w:rsid w:val="005D0F72"/>
    <w:rsid w:val="005E0DDD"/>
    <w:rsid w:val="005E10EE"/>
    <w:rsid w:val="005E2E34"/>
    <w:rsid w:val="005E48BE"/>
    <w:rsid w:val="005E518D"/>
    <w:rsid w:val="005F608A"/>
    <w:rsid w:val="00601A2F"/>
    <w:rsid w:val="00606293"/>
    <w:rsid w:val="00614C7D"/>
    <w:rsid w:val="00620057"/>
    <w:rsid w:val="00624D01"/>
    <w:rsid w:val="00631165"/>
    <w:rsid w:val="0063432F"/>
    <w:rsid w:val="00637845"/>
    <w:rsid w:val="006566FE"/>
    <w:rsid w:val="00657E70"/>
    <w:rsid w:val="00666F97"/>
    <w:rsid w:val="006730A4"/>
    <w:rsid w:val="006857BD"/>
    <w:rsid w:val="00690412"/>
    <w:rsid w:val="006921C8"/>
    <w:rsid w:val="00692FA3"/>
    <w:rsid w:val="0069459C"/>
    <w:rsid w:val="00694806"/>
    <w:rsid w:val="00695D97"/>
    <w:rsid w:val="006973A6"/>
    <w:rsid w:val="006A06C2"/>
    <w:rsid w:val="006A1A61"/>
    <w:rsid w:val="006A3784"/>
    <w:rsid w:val="006A4A57"/>
    <w:rsid w:val="006B15E1"/>
    <w:rsid w:val="006B3A18"/>
    <w:rsid w:val="006B4A8B"/>
    <w:rsid w:val="006B4F18"/>
    <w:rsid w:val="006C104F"/>
    <w:rsid w:val="006D0711"/>
    <w:rsid w:val="006D1640"/>
    <w:rsid w:val="006D6541"/>
    <w:rsid w:val="006D7A4E"/>
    <w:rsid w:val="006E4B70"/>
    <w:rsid w:val="006E548E"/>
    <w:rsid w:val="006F2A47"/>
    <w:rsid w:val="006F4023"/>
    <w:rsid w:val="006F6ED4"/>
    <w:rsid w:val="0070178D"/>
    <w:rsid w:val="007020A6"/>
    <w:rsid w:val="007059FD"/>
    <w:rsid w:val="00711149"/>
    <w:rsid w:val="00713318"/>
    <w:rsid w:val="00715421"/>
    <w:rsid w:val="00715C4B"/>
    <w:rsid w:val="00716548"/>
    <w:rsid w:val="00717014"/>
    <w:rsid w:val="0072198F"/>
    <w:rsid w:val="00723D17"/>
    <w:rsid w:val="007241E7"/>
    <w:rsid w:val="0072544C"/>
    <w:rsid w:val="00726C5E"/>
    <w:rsid w:val="00731D55"/>
    <w:rsid w:val="00732908"/>
    <w:rsid w:val="00734A7C"/>
    <w:rsid w:val="0074432A"/>
    <w:rsid w:val="00744398"/>
    <w:rsid w:val="00750361"/>
    <w:rsid w:val="007528FD"/>
    <w:rsid w:val="00754214"/>
    <w:rsid w:val="00762A99"/>
    <w:rsid w:val="00762E22"/>
    <w:rsid w:val="00771A6B"/>
    <w:rsid w:val="00771A7E"/>
    <w:rsid w:val="00772AB1"/>
    <w:rsid w:val="007742AA"/>
    <w:rsid w:val="00780AB2"/>
    <w:rsid w:val="007819D2"/>
    <w:rsid w:val="00786B2A"/>
    <w:rsid w:val="007A2AF6"/>
    <w:rsid w:val="007A41D9"/>
    <w:rsid w:val="007B1E9D"/>
    <w:rsid w:val="007B3C3E"/>
    <w:rsid w:val="007B44BE"/>
    <w:rsid w:val="007B683C"/>
    <w:rsid w:val="007B6E1D"/>
    <w:rsid w:val="007C1E59"/>
    <w:rsid w:val="007C73C4"/>
    <w:rsid w:val="007D5283"/>
    <w:rsid w:val="007D6044"/>
    <w:rsid w:val="007D7AD7"/>
    <w:rsid w:val="007D7EE1"/>
    <w:rsid w:val="007E432B"/>
    <w:rsid w:val="007E6926"/>
    <w:rsid w:val="007E72CB"/>
    <w:rsid w:val="007F0F7A"/>
    <w:rsid w:val="007F7B33"/>
    <w:rsid w:val="00800424"/>
    <w:rsid w:val="008032C5"/>
    <w:rsid w:val="00805CAD"/>
    <w:rsid w:val="008114A5"/>
    <w:rsid w:val="00821B75"/>
    <w:rsid w:val="0082625E"/>
    <w:rsid w:val="008273AD"/>
    <w:rsid w:val="00831870"/>
    <w:rsid w:val="00846D6A"/>
    <w:rsid w:val="00852A10"/>
    <w:rsid w:val="008563F9"/>
    <w:rsid w:val="00856606"/>
    <w:rsid w:val="00867102"/>
    <w:rsid w:val="00870FB1"/>
    <w:rsid w:val="0087310A"/>
    <w:rsid w:val="008820BE"/>
    <w:rsid w:val="0088371F"/>
    <w:rsid w:val="00897054"/>
    <w:rsid w:val="008A19E4"/>
    <w:rsid w:val="008A46FF"/>
    <w:rsid w:val="008A5942"/>
    <w:rsid w:val="008A5A9F"/>
    <w:rsid w:val="008C4189"/>
    <w:rsid w:val="008D2537"/>
    <w:rsid w:val="008D3CAA"/>
    <w:rsid w:val="008D4CC3"/>
    <w:rsid w:val="008E21EB"/>
    <w:rsid w:val="008F1272"/>
    <w:rsid w:val="00902372"/>
    <w:rsid w:val="00906803"/>
    <w:rsid w:val="00907326"/>
    <w:rsid w:val="009074D4"/>
    <w:rsid w:val="009075A0"/>
    <w:rsid w:val="009075EF"/>
    <w:rsid w:val="009106A0"/>
    <w:rsid w:val="00915825"/>
    <w:rsid w:val="00926F86"/>
    <w:rsid w:val="0092792E"/>
    <w:rsid w:val="009318D6"/>
    <w:rsid w:val="0093341C"/>
    <w:rsid w:val="009346D7"/>
    <w:rsid w:val="009357B8"/>
    <w:rsid w:val="00942E04"/>
    <w:rsid w:val="009541B8"/>
    <w:rsid w:val="0096349E"/>
    <w:rsid w:val="00964C39"/>
    <w:rsid w:val="00970536"/>
    <w:rsid w:val="009724D7"/>
    <w:rsid w:val="00977488"/>
    <w:rsid w:val="00977972"/>
    <w:rsid w:val="009810FD"/>
    <w:rsid w:val="009829FE"/>
    <w:rsid w:val="00985AA5"/>
    <w:rsid w:val="00996F0E"/>
    <w:rsid w:val="009A19AD"/>
    <w:rsid w:val="009A72C5"/>
    <w:rsid w:val="009B44EF"/>
    <w:rsid w:val="009B539D"/>
    <w:rsid w:val="009D087E"/>
    <w:rsid w:val="009D2B29"/>
    <w:rsid w:val="009D2F4D"/>
    <w:rsid w:val="009D323F"/>
    <w:rsid w:val="009D3A21"/>
    <w:rsid w:val="009E0E14"/>
    <w:rsid w:val="009E1C09"/>
    <w:rsid w:val="009E4641"/>
    <w:rsid w:val="009F6AF1"/>
    <w:rsid w:val="009F7012"/>
    <w:rsid w:val="00A01BE6"/>
    <w:rsid w:val="00A02CE2"/>
    <w:rsid w:val="00A06D29"/>
    <w:rsid w:val="00A114E2"/>
    <w:rsid w:val="00A14F88"/>
    <w:rsid w:val="00A34F8A"/>
    <w:rsid w:val="00A372B0"/>
    <w:rsid w:val="00A42F6E"/>
    <w:rsid w:val="00A4697A"/>
    <w:rsid w:val="00A473D1"/>
    <w:rsid w:val="00A5300D"/>
    <w:rsid w:val="00A55B73"/>
    <w:rsid w:val="00A6263F"/>
    <w:rsid w:val="00A67857"/>
    <w:rsid w:val="00A67CBF"/>
    <w:rsid w:val="00A7613F"/>
    <w:rsid w:val="00A77C34"/>
    <w:rsid w:val="00A823EF"/>
    <w:rsid w:val="00A827E0"/>
    <w:rsid w:val="00A86D84"/>
    <w:rsid w:val="00A9077A"/>
    <w:rsid w:val="00A94D52"/>
    <w:rsid w:val="00A9519A"/>
    <w:rsid w:val="00AA1976"/>
    <w:rsid w:val="00AA1B37"/>
    <w:rsid w:val="00AA46E5"/>
    <w:rsid w:val="00AA60B5"/>
    <w:rsid w:val="00AB369D"/>
    <w:rsid w:val="00AB5D07"/>
    <w:rsid w:val="00AB71A1"/>
    <w:rsid w:val="00AB7984"/>
    <w:rsid w:val="00AC077D"/>
    <w:rsid w:val="00AC3CE9"/>
    <w:rsid w:val="00AC6D53"/>
    <w:rsid w:val="00AD6F53"/>
    <w:rsid w:val="00AE062E"/>
    <w:rsid w:val="00AE2823"/>
    <w:rsid w:val="00AF0A16"/>
    <w:rsid w:val="00AF1FFF"/>
    <w:rsid w:val="00B042F6"/>
    <w:rsid w:val="00B12242"/>
    <w:rsid w:val="00B13F67"/>
    <w:rsid w:val="00B15696"/>
    <w:rsid w:val="00B16D4B"/>
    <w:rsid w:val="00B172C0"/>
    <w:rsid w:val="00B22869"/>
    <w:rsid w:val="00B23548"/>
    <w:rsid w:val="00B26E8E"/>
    <w:rsid w:val="00B33531"/>
    <w:rsid w:val="00B3432D"/>
    <w:rsid w:val="00B416D0"/>
    <w:rsid w:val="00B46F92"/>
    <w:rsid w:val="00B5015D"/>
    <w:rsid w:val="00B54DF8"/>
    <w:rsid w:val="00B57D5F"/>
    <w:rsid w:val="00B66F97"/>
    <w:rsid w:val="00B706AA"/>
    <w:rsid w:val="00B80F5C"/>
    <w:rsid w:val="00B81447"/>
    <w:rsid w:val="00B8206D"/>
    <w:rsid w:val="00B91E4A"/>
    <w:rsid w:val="00B9312E"/>
    <w:rsid w:val="00B93927"/>
    <w:rsid w:val="00B94786"/>
    <w:rsid w:val="00B95671"/>
    <w:rsid w:val="00B97208"/>
    <w:rsid w:val="00BA0DD8"/>
    <w:rsid w:val="00BA3346"/>
    <w:rsid w:val="00BA562D"/>
    <w:rsid w:val="00BC0ECA"/>
    <w:rsid w:val="00BC71F6"/>
    <w:rsid w:val="00BD1C35"/>
    <w:rsid w:val="00BD34F3"/>
    <w:rsid w:val="00BD523E"/>
    <w:rsid w:val="00BF1F7E"/>
    <w:rsid w:val="00BF3779"/>
    <w:rsid w:val="00BF7B6D"/>
    <w:rsid w:val="00C12FA6"/>
    <w:rsid w:val="00C140BE"/>
    <w:rsid w:val="00C15120"/>
    <w:rsid w:val="00C16BF9"/>
    <w:rsid w:val="00C24F0A"/>
    <w:rsid w:val="00C26062"/>
    <w:rsid w:val="00C36B96"/>
    <w:rsid w:val="00C37072"/>
    <w:rsid w:val="00C41800"/>
    <w:rsid w:val="00C41AE0"/>
    <w:rsid w:val="00C44232"/>
    <w:rsid w:val="00C4465B"/>
    <w:rsid w:val="00C44D37"/>
    <w:rsid w:val="00C4502B"/>
    <w:rsid w:val="00C45B01"/>
    <w:rsid w:val="00C51DEA"/>
    <w:rsid w:val="00C540C0"/>
    <w:rsid w:val="00C56C81"/>
    <w:rsid w:val="00C6283D"/>
    <w:rsid w:val="00C62B75"/>
    <w:rsid w:val="00C67AE9"/>
    <w:rsid w:val="00C708FD"/>
    <w:rsid w:val="00C7755A"/>
    <w:rsid w:val="00C87351"/>
    <w:rsid w:val="00C87F74"/>
    <w:rsid w:val="00CA17D6"/>
    <w:rsid w:val="00CA1A74"/>
    <w:rsid w:val="00CA3122"/>
    <w:rsid w:val="00CB3F14"/>
    <w:rsid w:val="00CB75F2"/>
    <w:rsid w:val="00CC3AE9"/>
    <w:rsid w:val="00CC4789"/>
    <w:rsid w:val="00CC493D"/>
    <w:rsid w:val="00CD724B"/>
    <w:rsid w:val="00CE48B8"/>
    <w:rsid w:val="00CE7926"/>
    <w:rsid w:val="00CE7CCC"/>
    <w:rsid w:val="00CF52A7"/>
    <w:rsid w:val="00CF7C62"/>
    <w:rsid w:val="00D001AE"/>
    <w:rsid w:val="00D04223"/>
    <w:rsid w:val="00D16DE8"/>
    <w:rsid w:val="00D242C0"/>
    <w:rsid w:val="00D32696"/>
    <w:rsid w:val="00D34DC6"/>
    <w:rsid w:val="00D51F21"/>
    <w:rsid w:val="00D56AC2"/>
    <w:rsid w:val="00D61AAA"/>
    <w:rsid w:val="00D620D9"/>
    <w:rsid w:val="00D76FFC"/>
    <w:rsid w:val="00D77E6B"/>
    <w:rsid w:val="00D81422"/>
    <w:rsid w:val="00D82448"/>
    <w:rsid w:val="00D85F25"/>
    <w:rsid w:val="00D86CA0"/>
    <w:rsid w:val="00D9031F"/>
    <w:rsid w:val="00D9654B"/>
    <w:rsid w:val="00DA4828"/>
    <w:rsid w:val="00DA4D4C"/>
    <w:rsid w:val="00DB0585"/>
    <w:rsid w:val="00DB434C"/>
    <w:rsid w:val="00DC045E"/>
    <w:rsid w:val="00DC1E0C"/>
    <w:rsid w:val="00DC3A8C"/>
    <w:rsid w:val="00DC5342"/>
    <w:rsid w:val="00DC5521"/>
    <w:rsid w:val="00DC6B17"/>
    <w:rsid w:val="00DE3FEE"/>
    <w:rsid w:val="00DE5202"/>
    <w:rsid w:val="00DE6ADE"/>
    <w:rsid w:val="00DE6D75"/>
    <w:rsid w:val="00DE772F"/>
    <w:rsid w:val="00DF4E6B"/>
    <w:rsid w:val="00DF62F8"/>
    <w:rsid w:val="00E01FA4"/>
    <w:rsid w:val="00E15AAB"/>
    <w:rsid w:val="00E1600E"/>
    <w:rsid w:val="00E16789"/>
    <w:rsid w:val="00E17EDD"/>
    <w:rsid w:val="00E22EA7"/>
    <w:rsid w:val="00E23C62"/>
    <w:rsid w:val="00E2453E"/>
    <w:rsid w:val="00E257BE"/>
    <w:rsid w:val="00E30604"/>
    <w:rsid w:val="00E31AF8"/>
    <w:rsid w:val="00E34125"/>
    <w:rsid w:val="00E3657B"/>
    <w:rsid w:val="00E37ED7"/>
    <w:rsid w:val="00E40F3A"/>
    <w:rsid w:val="00E418FF"/>
    <w:rsid w:val="00E43719"/>
    <w:rsid w:val="00E44B0A"/>
    <w:rsid w:val="00E4627A"/>
    <w:rsid w:val="00E46E4D"/>
    <w:rsid w:val="00E47499"/>
    <w:rsid w:val="00E5337C"/>
    <w:rsid w:val="00E55D2F"/>
    <w:rsid w:val="00E600F4"/>
    <w:rsid w:val="00E62643"/>
    <w:rsid w:val="00E636C3"/>
    <w:rsid w:val="00E64D65"/>
    <w:rsid w:val="00E657D0"/>
    <w:rsid w:val="00E66450"/>
    <w:rsid w:val="00E80121"/>
    <w:rsid w:val="00E8252B"/>
    <w:rsid w:val="00E93FF4"/>
    <w:rsid w:val="00E97AD8"/>
    <w:rsid w:val="00EA22B2"/>
    <w:rsid w:val="00EA36FA"/>
    <w:rsid w:val="00EA70A2"/>
    <w:rsid w:val="00EA71D0"/>
    <w:rsid w:val="00EB344F"/>
    <w:rsid w:val="00EC1C37"/>
    <w:rsid w:val="00ED5BE7"/>
    <w:rsid w:val="00ED7290"/>
    <w:rsid w:val="00EE1AA1"/>
    <w:rsid w:val="00EE37C4"/>
    <w:rsid w:val="00EE3BBE"/>
    <w:rsid w:val="00EE559F"/>
    <w:rsid w:val="00EE5A78"/>
    <w:rsid w:val="00EF0247"/>
    <w:rsid w:val="00F01131"/>
    <w:rsid w:val="00F054F5"/>
    <w:rsid w:val="00F10888"/>
    <w:rsid w:val="00F12D4B"/>
    <w:rsid w:val="00F15F2E"/>
    <w:rsid w:val="00F219EF"/>
    <w:rsid w:val="00F2607D"/>
    <w:rsid w:val="00F3000E"/>
    <w:rsid w:val="00F32B48"/>
    <w:rsid w:val="00F33634"/>
    <w:rsid w:val="00F4076F"/>
    <w:rsid w:val="00F457BF"/>
    <w:rsid w:val="00F474B2"/>
    <w:rsid w:val="00F51FC8"/>
    <w:rsid w:val="00F622BA"/>
    <w:rsid w:val="00F63101"/>
    <w:rsid w:val="00F65EAD"/>
    <w:rsid w:val="00F75BB0"/>
    <w:rsid w:val="00F77FA8"/>
    <w:rsid w:val="00F8115F"/>
    <w:rsid w:val="00F812D4"/>
    <w:rsid w:val="00F861F7"/>
    <w:rsid w:val="00F8797B"/>
    <w:rsid w:val="00F87F7C"/>
    <w:rsid w:val="00F917F0"/>
    <w:rsid w:val="00F91AD7"/>
    <w:rsid w:val="00FA0F6E"/>
    <w:rsid w:val="00FA5FA9"/>
    <w:rsid w:val="00FB1088"/>
    <w:rsid w:val="00FB10C5"/>
    <w:rsid w:val="00FB4D39"/>
    <w:rsid w:val="00FB4DA6"/>
    <w:rsid w:val="00FB5C0C"/>
    <w:rsid w:val="00FB6EF0"/>
    <w:rsid w:val="00FC0FA8"/>
    <w:rsid w:val="00FC1B15"/>
    <w:rsid w:val="00FC57DC"/>
    <w:rsid w:val="00FD0ECA"/>
    <w:rsid w:val="00FD1EBA"/>
    <w:rsid w:val="00FD273B"/>
    <w:rsid w:val="00FD4A24"/>
    <w:rsid w:val="00FD5938"/>
    <w:rsid w:val="00FD5DC7"/>
    <w:rsid w:val="00FD6A0F"/>
    <w:rsid w:val="00FE055A"/>
    <w:rsid w:val="00FE55EC"/>
    <w:rsid w:val="00FF0EF3"/>
    <w:rsid w:val="00FF3865"/>
    <w:rsid w:val="00FF5D15"/>
    <w:rsid w:val="00FF6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81DA08-F327-4E55-960C-60B55372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413"/>
  </w:style>
  <w:style w:type="paragraph" w:styleId="Heading1">
    <w:name w:val="heading 1"/>
    <w:basedOn w:val="Normal"/>
    <w:next w:val="Normal"/>
    <w:link w:val="Heading1Char"/>
    <w:uiPriority w:val="9"/>
    <w:qFormat/>
    <w:rsid w:val="00695D9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E1F25"/>
    <w:pPr>
      <w:spacing w:before="280" w:after="120" w:line="240" w:lineRule="auto"/>
      <w:outlineLvl w:val="1"/>
    </w:pPr>
    <w:rPr>
      <w:rFonts w:ascii="Times New Roman" w:eastAsia="Times New Roman" w:hAnsi="Times New Roman" w:cs="Times New Roman"/>
      <w:b/>
      <w:bCs/>
      <w:color w:val="000066"/>
      <w:sz w:val="26"/>
      <w:szCs w:val="26"/>
    </w:rPr>
  </w:style>
  <w:style w:type="paragraph" w:styleId="Heading3">
    <w:name w:val="heading 3"/>
    <w:basedOn w:val="Normal"/>
    <w:next w:val="Normal"/>
    <w:link w:val="Heading3Char"/>
    <w:uiPriority w:val="9"/>
    <w:semiHidden/>
    <w:unhideWhenUsed/>
    <w:qFormat/>
    <w:rsid w:val="00A372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372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2DE1"/>
    <w:pPr>
      <w:autoSpaceDE w:val="0"/>
      <w:autoSpaceDN w:val="0"/>
      <w:adjustRightInd w:val="0"/>
      <w:spacing w:after="0" w:line="240" w:lineRule="auto"/>
    </w:pPr>
    <w:rPr>
      <w:rFonts w:ascii="Arial" w:hAnsi="Arial" w:cs="Arial"/>
      <w:color w:val="000000"/>
      <w:sz w:val="24"/>
      <w:szCs w:val="24"/>
    </w:rPr>
  </w:style>
  <w:style w:type="character" w:customStyle="1" w:styleId="genename1">
    <w:name w:val="gene_name1"/>
    <w:basedOn w:val="DefaultParagraphFont"/>
    <w:rsid w:val="00771A6B"/>
    <w:rPr>
      <w:b/>
      <w:bCs/>
      <w:i w:val="0"/>
      <w:iCs w:val="0"/>
      <w:color w:val="980D0D"/>
    </w:rPr>
  </w:style>
  <w:style w:type="character" w:styleId="Emphasis">
    <w:name w:val="Emphasis"/>
    <w:basedOn w:val="DefaultParagraphFont"/>
    <w:uiPriority w:val="20"/>
    <w:qFormat/>
    <w:rsid w:val="00771A6B"/>
    <w:rPr>
      <w:b/>
      <w:bCs/>
      <w:i w:val="0"/>
      <w:iCs w:val="0"/>
    </w:rPr>
  </w:style>
  <w:style w:type="character" w:customStyle="1" w:styleId="st1">
    <w:name w:val="st1"/>
    <w:basedOn w:val="DefaultParagraphFont"/>
    <w:rsid w:val="00771A6B"/>
  </w:style>
  <w:style w:type="character" w:customStyle="1" w:styleId="Heading2Char">
    <w:name w:val="Heading 2 Char"/>
    <w:basedOn w:val="DefaultParagraphFont"/>
    <w:link w:val="Heading2"/>
    <w:uiPriority w:val="9"/>
    <w:rsid w:val="001E1F25"/>
    <w:rPr>
      <w:rFonts w:ascii="Times New Roman" w:eastAsia="Times New Roman" w:hAnsi="Times New Roman" w:cs="Times New Roman"/>
      <w:b/>
      <w:bCs/>
      <w:color w:val="000066"/>
      <w:sz w:val="26"/>
      <w:szCs w:val="26"/>
    </w:rPr>
  </w:style>
  <w:style w:type="character" w:customStyle="1" w:styleId="Heading1Char">
    <w:name w:val="Heading 1 Char"/>
    <w:basedOn w:val="DefaultParagraphFont"/>
    <w:link w:val="Heading1"/>
    <w:uiPriority w:val="9"/>
    <w:rsid w:val="00695D97"/>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695D97"/>
    <w:rPr>
      <w:color w:val="0000FF"/>
      <w:u w:val="single"/>
    </w:rPr>
  </w:style>
  <w:style w:type="character" w:customStyle="1" w:styleId="apple-converted-space">
    <w:name w:val="apple-converted-space"/>
    <w:basedOn w:val="DefaultParagraphFont"/>
    <w:rsid w:val="00695D97"/>
  </w:style>
  <w:style w:type="paragraph" w:styleId="NoSpacing">
    <w:name w:val="No Spacing"/>
    <w:uiPriority w:val="1"/>
    <w:qFormat/>
    <w:rsid w:val="00F474B2"/>
    <w:pPr>
      <w:spacing w:after="0" w:line="240" w:lineRule="auto"/>
    </w:pPr>
  </w:style>
  <w:style w:type="character" w:customStyle="1" w:styleId="Heading3Char">
    <w:name w:val="Heading 3 Char"/>
    <w:basedOn w:val="DefaultParagraphFont"/>
    <w:link w:val="Heading3"/>
    <w:uiPriority w:val="9"/>
    <w:semiHidden/>
    <w:rsid w:val="00A37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372B0"/>
    <w:rPr>
      <w:rFonts w:asciiTheme="majorHAnsi" w:eastAsiaTheme="majorEastAsia" w:hAnsiTheme="majorHAnsi" w:cstheme="majorBidi"/>
      <w:i/>
      <w:iCs/>
      <w:color w:val="2E74B5" w:themeColor="accent1" w:themeShade="BF"/>
    </w:rPr>
  </w:style>
  <w:style w:type="character" w:customStyle="1" w:styleId="artlabel">
    <w:name w:val="artlabel"/>
    <w:basedOn w:val="DefaultParagraphFont"/>
    <w:rsid w:val="00286D8B"/>
    <w:rPr>
      <w:sz w:val="24"/>
      <w:szCs w:val="24"/>
      <w:bdr w:val="none" w:sz="0" w:space="0" w:color="auto" w:frame="1"/>
      <w:vertAlign w:val="baseline"/>
    </w:rPr>
  </w:style>
  <w:style w:type="character" w:customStyle="1" w:styleId="tgc">
    <w:name w:val="_tgc"/>
    <w:basedOn w:val="DefaultParagraphFont"/>
    <w:rsid w:val="00FC57DC"/>
  </w:style>
  <w:style w:type="table" w:styleId="TableGrid">
    <w:name w:val="Table Grid"/>
    <w:basedOn w:val="TableNormal"/>
    <w:uiPriority w:val="39"/>
    <w:rsid w:val="00701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ssn">
    <w:name w:val="pissn"/>
    <w:basedOn w:val="DefaultParagraphFont"/>
    <w:rsid w:val="00D9031F"/>
  </w:style>
  <w:style w:type="character" w:customStyle="1" w:styleId="eissn">
    <w:name w:val="eissn"/>
    <w:basedOn w:val="DefaultParagraphFont"/>
    <w:rsid w:val="00D90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83547">
      <w:bodyDiv w:val="1"/>
      <w:marLeft w:val="0"/>
      <w:marRight w:val="0"/>
      <w:marTop w:val="90"/>
      <w:marBottom w:val="0"/>
      <w:divBdr>
        <w:top w:val="none" w:sz="0" w:space="0" w:color="auto"/>
        <w:left w:val="none" w:sz="0" w:space="0" w:color="auto"/>
        <w:bottom w:val="none" w:sz="0" w:space="0" w:color="auto"/>
        <w:right w:val="none" w:sz="0" w:space="0" w:color="auto"/>
      </w:divBdr>
      <w:divsChild>
        <w:div w:id="1306471143">
          <w:marLeft w:val="10"/>
          <w:marRight w:val="0"/>
          <w:marTop w:val="0"/>
          <w:marBottom w:val="0"/>
          <w:divBdr>
            <w:top w:val="none" w:sz="0" w:space="0" w:color="auto"/>
            <w:left w:val="none" w:sz="0" w:space="0" w:color="auto"/>
            <w:bottom w:val="none" w:sz="0" w:space="0" w:color="auto"/>
            <w:right w:val="none" w:sz="0" w:space="0" w:color="auto"/>
          </w:divBdr>
          <w:divsChild>
            <w:div w:id="1073241967">
              <w:marLeft w:val="0"/>
              <w:marRight w:val="0"/>
              <w:marTop w:val="120"/>
              <w:marBottom w:val="0"/>
              <w:divBdr>
                <w:top w:val="none" w:sz="0" w:space="0" w:color="auto"/>
                <w:left w:val="none" w:sz="0" w:space="0" w:color="auto"/>
                <w:bottom w:val="none" w:sz="0" w:space="0" w:color="auto"/>
                <w:right w:val="none" w:sz="0" w:space="0" w:color="auto"/>
              </w:divBdr>
              <w:divsChild>
                <w:div w:id="170419025">
                  <w:marLeft w:val="0"/>
                  <w:marRight w:val="0"/>
                  <w:marTop w:val="0"/>
                  <w:marBottom w:val="0"/>
                  <w:divBdr>
                    <w:top w:val="none" w:sz="0" w:space="0" w:color="auto"/>
                    <w:left w:val="none" w:sz="0" w:space="0" w:color="auto"/>
                    <w:bottom w:val="none" w:sz="0" w:space="0" w:color="auto"/>
                    <w:right w:val="none" w:sz="0" w:space="0" w:color="auto"/>
                  </w:divBdr>
                  <w:divsChild>
                    <w:div w:id="893391573">
                      <w:marLeft w:val="0"/>
                      <w:marRight w:val="0"/>
                      <w:marTop w:val="0"/>
                      <w:marBottom w:val="0"/>
                      <w:divBdr>
                        <w:top w:val="none" w:sz="0" w:space="0" w:color="auto"/>
                        <w:left w:val="none" w:sz="0" w:space="0" w:color="auto"/>
                        <w:bottom w:val="none" w:sz="0" w:space="0" w:color="auto"/>
                        <w:right w:val="none" w:sz="0" w:space="0" w:color="auto"/>
                      </w:divBdr>
                      <w:divsChild>
                        <w:div w:id="1947154954">
                          <w:marLeft w:val="120"/>
                          <w:marRight w:val="0"/>
                          <w:marTop w:val="0"/>
                          <w:marBottom w:val="0"/>
                          <w:divBdr>
                            <w:top w:val="none" w:sz="0" w:space="0" w:color="auto"/>
                            <w:left w:val="none" w:sz="0" w:space="0" w:color="auto"/>
                            <w:bottom w:val="none" w:sz="0" w:space="0" w:color="auto"/>
                            <w:right w:val="none" w:sz="0" w:space="0" w:color="auto"/>
                          </w:divBdr>
                          <w:divsChild>
                            <w:div w:id="202466994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18947">
      <w:bodyDiv w:val="1"/>
      <w:marLeft w:val="0"/>
      <w:marRight w:val="0"/>
      <w:marTop w:val="0"/>
      <w:marBottom w:val="0"/>
      <w:divBdr>
        <w:top w:val="none" w:sz="0" w:space="0" w:color="auto"/>
        <w:left w:val="none" w:sz="0" w:space="0" w:color="auto"/>
        <w:bottom w:val="none" w:sz="0" w:space="0" w:color="auto"/>
        <w:right w:val="none" w:sz="0" w:space="0" w:color="auto"/>
      </w:divBdr>
      <w:divsChild>
        <w:div w:id="102698796">
          <w:marLeft w:val="0"/>
          <w:marRight w:val="1"/>
          <w:marTop w:val="0"/>
          <w:marBottom w:val="0"/>
          <w:divBdr>
            <w:top w:val="none" w:sz="0" w:space="0" w:color="auto"/>
            <w:left w:val="none" w:sz="0" w:space="0" w:color="auto"/>
            <w:bottom w:val="none" w:sz="0" w:space="0" w:color="auto"/>
            <w:right w:val="none" w:sz="0" w:space="0" w:color="auto"/>
          </w:divBdr>
          <w:divsChild>
            <w:div w:id="548497052">
              <w:marLeft w:val="0"/>
              <w:marRight w:val="0"/>
              <w:marTop w:val="0"/>
              <w:marBottom w:val="0"/>
              <w:divBdr>
                <w:top w:val="none" w:sz="0" w:space="0" w:color="auto"/>
                <w:left w:val="none" w:sz="0" w:space="0" w:color="auto"/>
                <w:bottom w:val="none" w:sz="0" w:space="0" w:color="auto"/>
                <w:right w:val="none" w:sz="0" w:space="0" w:color="auto"/>
              </w:divBdr>
              <w:divsChild>
                <w:div w:id="1797676399">
                  <w:marLeft w:val="0"/>
                  <w:marRight w:val="1"/>
                  <w:marTop w:val="0"/>
                  <w:marBottom w:val="0"/>
                  <w:divBdr>
                    <w:top w:val="none" w:sz="0" w:space="0" w:color="auto"/>
                    <w:left w:val="none" w:sz="0" w:space="0" w:color="auto"/>
                    <w:bottom w:val="none" w:sz="0" w:space="0" w:color="auto"/>
                    <w:right w:val="none" w:sz="0" w:space="0" w:color="auto"/>
                  </w:divBdr>
                  <w:divsChild>
                    <w:div w:id="1854954525">
                      <w:marLeft w:val="0"/>
                      <w:marRight w:val="0"/>
                      <w:marTop w:val="0"/>
                      <w:marBottom w:val="0"/>
                      <w:divBdr>
                        <w:top w:val="none" w:sz="0" w:space="0" w:color="auto"/>
                        <w:left w:val="none" w:sz="0" w:space="0" w:color="auto"/>
                        <w:bottom w:val="none" w:sz="0" w:space="0" w:color="auto"/>
                        <w:right w:val="none" w:sz="0" w:space="0" w:color="auto"/>
                      </w:divBdr>
                      <w:divsChild>
                        <w:div w:id="1906212696">
                          <w:marLeft w:val="0"/>
                          <w:marRight w:val="0"/>
                          <w:marTop w:val="0"/>
                          <w:marBottom w:val="0"/>
                          <w:divBdr>
                            <w:top w:val="none" w:sz="0" w:space="0" w:color="auto"/>
                            <w:left w:val="none" w:sz="0" w:space="0" w:color="auto"/>
                            <w:bottom w:val="none" w:sz="0" w:space="0" w:color="auto"/>
                            <w:right w:val="none" w:sz="0" w:space="0" w:color="auto"/>
                          </w:divBdr>
                          <w:divsChild>
                            <w:div w:id="467551297">
                              <w:marLeft w:val="240"/>
                              <w:marRight w:val="0"/>
                              <w:marTop w:val="0"/>
                              <w:marBottom w:val="0"/>
                              <w:divBdr>
                                <w:top w:val="none" w:sz="0" w:space="0" w:color="auto"/>
                                <w:left w:val="none" w:sz="0" w:space="0" w:color="auto"/>
                                <w:bottom w:val="none" w:sz="0" w:space="0" w:color="auto"/>
                                <w:right w:val="none" w:sz="0" w:space="0" w:color="auto"/>
                              </w:divBdr>
                            </w:div>
                            <w:div w:id="1996953347">
                              <w:marLeft w:val="0"/>
                              <w:marRight w:val="0"/>
                              <w:marTop w:val="45"/>
                              <w:marBottom w:val="0"/>
                              <w:divBdr>
                                <w:top w:val="single" w:sz="6" w:space="2" w:color="CCCCCC"/>
                                <w:left w:val="single" w:sz="6" w:space="2" w:color="CCCCCC"/>
                                <w:bottom w:val="single" w:sz="6" w:space="2" w:color="CCCCCC"/>
                                <w:right w:val="single" w:sz="6" w:space="2" w:color="CCCCCC"/>
                              </w:divBdr>
                              <w:divsChild>
                                <w:div w:id="799805832">
                                  <w:marLeft w:val="0"/>
                                  <w:marRight w:val="0"/>
                                  <w:marTop w:val="0"/>
                                  <w:marBottom w:val="0"/>
                                  <w:divBdr>
                                    <w:top w:val="none" w:sz="0" w:space="0" w:color="auto"/>
                                    <w:left w:val="none" w:sz="0" w:space="0" w:color="auto"/>
                                    <w:bottom w:val="none" w:sz="0" w:space="0" w:color="auto"/>
                                    <w:right w:val="none" w:sz="0" w:space="0" w:color="auto"/>
                                  </w:divBdr>
                                </w:div>
                                <w:div w:id="941764024">
                                  <w:marLeft w:val="0"/>
                                  <w:marRight w:val="0"/>
                                  <w:marTop w:val="0"/>
                                  <w:marBottom w:val="0"/>
                                  <w:divBdr>
                                    <w:top w:val="none" w:sz="0" w:space="0" w:color="auto"/>
                                    <w:left w:val="none" w:sz="0" w:space="0" w:color="auto"/>
                                    <w:bottom w:val="none" w:sz="0" w:space="0" w:color="auto"/>
                                    <w:right w:val="none" w:sz="0" w:space="0" w:color="auto"/>
                                  </w:divBdr>
                                  <w:divsChild>
                                    <w:div w:id="1023632329">
                                      <w:marLeft w:val="0"/>
                                      <w:marRight w:val="0"/>
                                      <w:marTop w:val="0"/>
                                      <w:marBottom w:val="0"/>
                                      <w:divBdr>
                                        <w:top w:val="none" w:sz="0" w:space="0" w:color="auto"/>
                                        <w:left w:val="none" w:sz="0" w:space="0" w:color="auto"/>
                                        <w:bottom w:val="none" w:sz="0" w:space="0" w:color="auto"/>
                                        <w:right w:val="none" w:sz="0" w:space="0" w:color="auto"/>
                                      </w:divBdr>
                                    </w:div>
                                  </w:divsChild>
                                </w:div>
                                <w:div w:id="176427445">
                                  <w:marLeft w:val="0"/>
                                  <w:marRight w:val="0"/>
                                  <w:marTop w:val="0"/>
                                  <w:marBottom w:val="0"/>
                                  <w:divBdr>
                                    <w:top w:val="none" w:sz="0" w:space="0" w:color="auto"/>
                                    <w:left w:val="none" w:sz="0" w:space="0" w:color="auto"/>
                                    <w:bottom w:val="none" w:sz="0" w:space="0" w:color="auto"/>
                                    <w:right w:val="none" w:sz="0" w:space="0" w:color="auto"/>
                                  </w:divBdr>
                                </w:div>
                                <w:div w:id="1367411240">
                                  <w:marLeft w:val="0"/>
                                  <w:marRight w:val="0"/>
                                  <w:marTop w:val="0"/>
                                  <w:marBottom w:val="0"/>
                                  <w:divBdr>
                                    <w:top w:val="none" w:sz="0" w:space="0" w:color="auto"/>
                                    <w:left w:val="none" w:sz="0" w:space="0" w:color="auto"/>
                                    <w:bottom w:val="none" w:sz="0" w:space="0" w:color="auto"/>
                                    <w:right w:val="none" w:sz="0" w:space="0" w:color="auto"/>
                                  </w:divBdr>
                                </w:div>
                                <w:div w:id="619722171">
                                  <w:marLeft w:val="0"/>
                                  <w:marRight w:val="0"/>
                                  <w:marTop w:val="0"/>
                                  <w:marBottom w:val="0"/>
                                  <w:divBdr>
                                    <w:top w:val="none" w:sz="0" w:space="0" w:color="auto"/>
                                    <w:left w:val="none" w:sz="0" w:space="0" w:color="auto"/>
                                    <w:bottom w:val="none" w:sz="0" w:space="0" w:color="auto"/>
                                    <w:right w:val="none" w:sz="0" w:space="0" w:color="auto"/>
                                  </w:divBdr>
                                </w:div>
                                <w:div w:id="1892038214">
                                  <w:marLeft w:val="0"/>
                                  <w:marRight w:val="0"/>
                                  <w:marTop w:val="0"/>
                                  <w:marBottom w:val="0"/>
                                  <w:divBdr>
                                    <w:top w:val="none" w:sz="0" w:space="0" w:color="auto"/>
                                    <w:left w:val="none" w:sz="0" w:space="0" w:color="auto"/>
                                    <w:bottom w:val="none" w:sz="0" w:space="0" w:color="auto"/>
                                    <w:right w:val="none" w:sz="0" w:space="0" w:color="auto"/>
                                  </w:divBdr>
                                </w:div>
                                <w:div w:id="767308233">
                                  <w:marLeft w:val="0"/>
                                  <w:marRight w:val="0"/>
                                  <w:marTop w:val="0"/>
                                  <w:marBottom w:val="0"/>
                                  <w:divBdr>
                                    <w:top w:val="none" w:sz="0" w:space="0" w:color="auto"/>
                                    <w:left w:val="none" w:sz="0" w:space="0" w:color="auto"/>
                                    <w:bottom w:val="none" w:sz="0" w:space="0" w:color="auto"/>
                                    <w:right w:val="none" w:sz="0" w:space="0" w:color="auto"/>
                                  </w:divBdr>
                                </w:div>
                              </w:divsChild>
                            </w:div>
                            <w:div w:id="1710718908">
                              <w:marLeft w:val="0"/>
                              <w:marRight w:val="0"/>
                              <w:marTop w:val="0"/>
                              <w:marBottom w:val="0"/>
                              <w:divBdr>
                                <w:top w:val="none" w:sz="0" w:space="0" w:color="auto"/>
                                <w:left w:val="none" w:sz="0" w:space="0" w:color="auto"/>
                                <w:bottom w:val="none" w:sz="0" w:space="0" w:color="auto"/>
                                <w:right w:val="none" w:sz="0" w:space="0" w:color="auto"/>
                              </w:divBdr>
                            </w:div>
                          </w:divsChild>
                        </w:div>
                        <w:div w:id="188375206">
                          <w:marLeft w:val="0"/>
                          <w:marRight w:val="0"/>
                          <w:marTop w:val="0"/>
                          <w:marBottom w:val="0"/>
                          <w:divBdr>
                            <w:top w:val="none" w:sz="0" w:space="0" w:color="auto"/>
                            <w:left w:val="none" w:sz="0" w:space="0" w:color="auto"/>
                            <w:bottom w:val="none" w:sz="0" w:space="0" w:color="auto"/>
                            <w:right w:val="none" w:sz="0" w:space="0" w:color="auto"/>
                          </w:divBdr>
                          <w:divsChild>
                            <w:div w:id="278146131">
                              <w:marLeft w:val="0"/>
                              <w:marRight w:val="0"/>
                              <w:marTop w:val="0"/>
                              <w:marBottom w:val="0"/>
                              <w:divBdr>
                                <w:top w:val="none" w:sz="0" w:space="0" w:color="auto"/>
                                <w:left w:val="none" w:sz="0" w:space="0" w:color="auto"/>
                                <w:bottom w:val="none" w:sz="0" w:space="0" w:color="auto"/>
                                <w:right w:val="none" w:sz="0" w:space="0" w:color="auto"/>
                              </w:divBdr>
                            </w:div>
                          </w:divsChild>
                        </w:div>
                        <w:div w:id="1291398146">
                          <w:marLeft w:val="0"/>
                          <w:marRight w:val="0"/>
                          <w:marTop w:val="0"/>
                          <w:marBottom w:val="0"/>
                          <w:divBdr>
                            <w:top w:val="none" w:sz="0" w:space="0" w:color="auto"/>
                            <w:left w:val="none" w:sz="0" w:space="0" w:color="auto"/>
                            <w:bottom w:val="none" w:sz="0" w:space="0" w:color="auto"/>
                            <w:right w:val="none" w:sz="0" w:space="0" w:color="auto"/>
                          </w:divBdr>
                          <w:divsChild>
                            <w:div w:id="129056688">
                              <w:marLeft w:val="0"/>
                              <w:marRight w:val="0"/>
                              <w:marTop w:val="120"/>
                              <w:marBottom w:val="360"/>
                              <w:divBdr>
                                <w:top w:val="none" w:sz="0" w:space="0" w:color="auto"/>
                                <w:left w:val="none" w:sz="0" w:space="0" w:color="auto"/>
                                <w:bottom w:val="none" w:sz="0" w:space="0" w:color="auto"/>
                                <w:right w:val="none" w:sz="0" w:space="0" w:color="auto"/>
                              </w:divBdr>
                              <w:divsChild>
                                <w:div w:id="1689722356">
                                  <w:marLeft w:val="0"/>
                                  <w:marRight w:val="0"/>
                                  <w:marTop w:val="0"/>
                                  <w:marBottom w:val="0"/>
                                  <w:divBdr>
                                    <w:top w:val="none" w:sz="0" w:space="0" w:color="auto"/>
                                    <w:left w:val="none" w:sz="0" w:space="0" w:color="auto"/>
                                    <w:bottom w:val="none" w:sz="0" w:space="0" w:color="auto"/>
                                    <w:right w:val="none" w:sz="0" w:space="0" w:color="auto"/>
                                  </w:divBdr>
                                </w:div>
                                <w:div w:id="410851905">
                                  <w:marLeft w:val="0"/>
                                  <w:marRight w:val="0"/>
                                  <w:marTop w:val="0"/>
                                  <w:marBottom w:val="0"/>
                                  <w:divBdr>
                                    <w:top w:val="none" w:sz="0" w:space="0" w:color="auto"/>
                                    <w:left w:val="none" w:sz="0" w:space="0" w:color="auto"/>
                                    <w:bottom w:val="none" w:sz="0" w:space="0" w:color="auto"/>
                                    <w:right w:val="none" w:sz="0" w:space="0" w:color="auto"/>
                                  </w:divBdr>
                                </w:div>
                                <w:div w:id="1228809408">
                                  <w:marLeft w:val="0"/>
                                  <w:marRight w:val="0"/>
                                  <w:marTop w:val="0"/>
                                  <w:marBottom w:val="0"/>
                                  <w:divBdr>
                                    <w:top w:val="none" w:sz="0" w:space="0" w:color="auto"/>
                                    <w:left w:val="none" w:sz="0" w:space="0" w:color="auto"/>
                                    <w:bottom w:val="none" w:sz="0" w:space="0" w:color="auto"/>
                                    <w:right w:val="none" w:sz="0" w:space="0" w:color="auto"/>
                                  </w:divBdr>
                                  <w:divsChild>
                                    <w:div w:id="80877064">
                                      <w:marLeft w:val="0"/>
                                      <w:marRight w:val="0"/>
                                      <w:marTop w:val="0"/>
                                      <w:marBottom w:val="0"/>
                                      <w:divBdr>
                                        <w:top w:val="none" w:sz="0" w:space="0" w:color="auto"/>
                                        <w:left w:val="none" w:sz="0" w:space="0" w:color="auto"/>
                                        <w:bottom w:val="none" w:sz="0" w:space="0" w:color="auto"/>
                                        <w:right w:val="none" w:sz="0" w:space="0" w:color="auto"/>
                                      </w:divBdr>
                                    </w:div>
                                  </w:divsChild>
                                </w:div>
                                <w:div w:id="1630740042">
                                  <w:marLeft w:val="0"/>
                                  <w:marRight w:val="0"/>
                                  <w:marTop w:val="0"/>
                                  <w:marBottom w:val="0"/>
                                  <w:divBdr>
                                    <w:top w:val="none" w:sz="0" w:space="0" w:color="auto"/>
                                    <w:left w:val="none" w:sz="0" w:space="0" w:color="auto"/>
                                    <w:bottom w:val="none" w:sz="0" w:space="0" w:color="auto"/>
                                    <w:right w:val="none" w:sz="0" w:space="0" w:color="auto"/>
                                  </w:divBdr>
                                  <w:divsChild>
                                    <w:div w:id="15974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743113">
      <w:bodyDiv w:val="1"/>
      <w:marLeft w:val="0"/>
      <w:marRight w:val="0"/>
      <w:marTop w:val="0"/>
      <w:marBottom w:val="0"/>
      <w:divBdr>
        <w:top w:val="none" w:sz="0" w:space="0" w:color="auto"/>
        <w:left w:val="none" w:sz="0" w:space="0" w:color="auto"/>
        <w:bottom w:val="none" w:sz="0" w:space="0" w:color="auto"/>
        <w:right w:val="none" w:sz="0" w:space="0" w:color="auto"/>
      </w:divBdr>
      <w:divsChild>
        <w:div w:id="373048171">
          <w:marLeft w:val="0"/>
          <w:marRight w:val="0"/>
          <w:marTop w:val="0"/>
          <w:marBottom w:val="0"/>
          <w:divBdr>
            <w:top w:val="none" w:sz="0" w:space="0" w:color="auto"/>
            <w:left w:val="none" w:sz="0" w:space="0" w:color="auto"/>
            <w:bottom w:val="none" w:sz="0" w:space="0" w:color="auto"/>
            <w:right w:val="none" w:sz="0" w:space="0" w:color="auto"/>
          </w:divBdr>
          <w:divsChild>
            <w:div w:id="23486448">
              <w:marLeft w:val="0"/>
              <w:marRight w:val="0"/>
              <w:marTop w:val="0"/>
              <w:marBottom w:val="0"/>
              <w:divBdr>
                <w:top w:val="none" w:sz="0" w:space="0" w:color="auto"/>
                <w:left w:val="none" w:sz="0" w:space="0" w:color="auto"/>
                <w:bottom w:val="none" w:sz="0" w:space="0" w:color="auto"/>
                <w:right w:val="none" w:sz="0" w:space="0" w:color="auto"/>
              </w:divBdr>
              <w:divsChild>
                <w:div w:id="570698531">
                  <w:marLeft w:val="0"/>
                  <w:marRight w:val="0"/>
                  <w:marTop w:val="182"/>
                  <w:marBottom w:val="182"/>
                  <w:divBdr>
                    <w:top w:val="none" w:sz="0" w:space="0" w:color="auto"/>
                    <w:left w:val="none" w:sz="0" w:space="0" w:color="auto"/>
                    <w:bottom w:val="none" w:sz="0" w:space="0" w:color="auto"/>
                    <w:right w:val="none" w:sz="0" w:space="0" w:color="auto"/>
                  </w:divBdr>
                  <w:divsChild>
                    <w:div w:id="365452852">
                      <w:marLeft w:val="0"/>
                      <w:marRight w:val="0"/>
                      <w:marTop w:val="0"/>
                      <w:marBottom w:val="0"/>
                      <w:divBdr>
                        <w:top w:val="none" w:sz="0" w:space="0" w:color="auto"/>
                        <w:left w:val="none" w:sz="0" w:space="0" w:color="auto"/>
                        <w:bottom w:val="none" w:sz="0" w:space="0" w:color="auto"/>
                        <w:right w:val="none" w:sz="0" w:space="0" w:color="auto"/>
                      </w:divBdr>
                      <w:divsChild>
                        <w:div w:id="304510671">
                          <w:marLeft w:val="0"/>
                          <w:marRight w:val="0"/>
                          <w:marTop w:val="0"/>
                          <w:marBottom w:val="0"/>
                          <w:divBdr>
                            <w:top w:val="none" w:sz="0" w:space="0" w:color="auto"/>
                            <w:left w:val="none" w:sz="0" w:space="0" w:color="auto"/>
                            <w:bottom w:val="none" w:sz="0" w:space="0" w:color="auto"/>
                            <w:right w:val="none" w:sz="0" w:space="0" w:color="auto"/>
                          </w:divBdr>
                        </w:div>
                        <w:div w:id="17826575">
                          <w:marLeft w:val="0"/>
                          <w:marRight w:val="0"/>
                          <w:marTop w:val="0"/>
                          <w:marBottom w:val="0"/>
                          <w:divBdr>
                            <w:top w:val="none" w:sz="0" w:space="0" w:color="auto"/>
                            <w:left w:val="none" w:sz="0" w:space="0" w:color="auto"/>
                            <w:bottom w:val="none" w:sz="0" w:space="0" w:color="auto"/>
                            <w:right w:val="none" w:sz="0" w:space="0" w:color="auto"/>
                          </w:divBdr>
                        </w:div>
                        <w:div w:id="1565067305">
                          <w:marLeft w:val="0"/>
                          <w:marRight w:val="0"/>
                          <w:marTop w:val="0"/>
                          <w:marBottom w:val="0"/>
                          <w:divBdr>
                            <w:top w:val="none" w:sz="0" w:space="0" w:color="auto"/>
                            <w:left w:val="none" w:sz="0" w:space="0" w:color="auto"/>
                            <w:bottom w:val="none" w:sz="0" w:space="0" w:color="auto"/>
                            <w:right w:val="none" w:sz="0" w:space="0" w:color="auto"/>
                          </w:divBdr>
                        </w:div>
                        <w:div w:id="501238588">
                          <w:marLeft w:val="0"/>
                          <w:marRight w:val="0"/>
                          <w:marTop w:val="0"/>
                          <w:marBottom w:val="0"/>
                          <w:divBdr>
                            <w:top w:val="none" w:sz="0" w:space="0" w:color="auto"/>
                            <w:left w:val="none" w:sz="0" w:space="0" w:color="auto"/>
                            <w:bottom w:val="none" w:sz="0" w:space="0" w:color="auto"/>
                            <w:right w:val="none" w:sz="0" w:space="0" w:color="auto"/>
                          </w:divBdr>
                        </w:div>
                        <w:div w:id="1633099321">
                          <w:marLeft w:val="0"/>
                          <w:marRight w:val="0"/>
                          <w:marTop w:val="0"/>
                          <w:marBottom w:val="0"/>
                          <w:divBdr>
                            <w:top w:val="none" w:sz="0" w:space="0" w:color="auto"/>
                            <w:left w:val="none" w:sz="0" w:space="0" w:color="auto"/>
                            <w:bottom w:val="none" w:sz="0" w:space="0" w:color="auto"/>
                            <w:right w:val="none" w:sz="0" w:space="0" w:color="auto"/>
                          </w:divBdr>
                        </w:div>
                        <w:div w:id="2003194561">
                          <w:marLeft w:val="0"/>
                          <w:marRight w:val="0"/>
                          <w:marTop w:val="0"/>
                          <w:marBottom w:val="0"/>
                          <w:divBdr>
                            <w:top w:val="none" w:sz="0" w:space="0" w:color="auto"/>
                            <w:left w:val="none" w:sz="0" w:space="0" w:color="auto"/>
                            <w:bottom w:val="none" w:sz="0" w:space="0" w:color="auto"/>
                            <w:right w:val="none" w:sz="0" w:space="0" w:color="auto"/>
                          </w:divBdr>
                        </w:div>
                        <w:div w:id="11536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14437">
      <w:bodyDiv w:val="1"/>
      <w:marLeft w:val="0"/>
      <w:marRight w:val="0"/>
      <w:marTop w:val="0"/>
      <w:marBottom w:val="0"/>
      <w:divBdr>
        <w:top w:val="none" w:sz="0" w:space="0" w:color="auto"/>
        <w:left w:val="none" w:sz="0" w:space="0" w:color="auto"/>
        <w:bottom w:val="none" w:sz="0" w:space="0" w:color="auto"/>
        <w:right w:val="none" w:sz="0" w:space="0" w:color="auto"/>
      </w:divBdr>
    </w:div>
    <w:div w:id="815679666">
      <w:bodyDiv w:val="1"/>
      <w:marLeft w:val="0"/>
      <w:marRight w:val="0"/>
      <w:marTop w:val="0"/>
      <w:marBottom w:val="0"/>
      <w:divBdr>
        <w:top w:val="none" w:sz="0" w:space="0" w:color="auto"/>
        <w:left w:val="none" w:sz="0" w:space="0" w:color="auto"/>
        <w:bottom w:val="none" w:sz="0" w:space="0" w:color="auto"/>
        <w:right w:val="none" w:sz="0" w:space="0" w:color="auto"/>
      </w:divBdr>
      <w:divsChild>
        <w:div w:id="1747729307">
          <w:marLeft w:val="0"/>
          <w:marRight w:val="1"/>
          <w:marTop w:val="0"/>
          <w:marBottom w:val="0"/>
          <w:divBdr>
            <w:top w:val="none" w:sz="0" w:space="0" w:color="auto"/>
            <w:left w:val="none" w:sz="0" w:space="0" w:color="auto"/>
            <w:bottom w:val="none" w:sz="0" w:space="0" w:color="auto"/>
            <w:right w:val="none" w:sz="0" w:space="0" w:color="auto"/>
          </w:divBdr>
          <w:divsChild>
            <w:div w:id="1960644949">
              <w:marLeft w:val="0"/>
              <w:marRight w:val="0"/>
              <w:marTop w:val="0"/>
              <w:marBottom w:val="0"/>
              <w:divBdr>
                <w:top w:val="none" w:sz="0" w:space="0" w:color="auto"/>
                <w:left w:val="none" w:sz="0" w:space="0" w:color="auto"/>
                <w:bottom w:val="none" w:sz="0" w:space="0" w:color="auto"/>
                <w:right w:val="none" w:sz="0" w:space="0" w:color="auto"/>
              </w:divBdr>
              <w:divsChild>
                <w:div w:id="1292176972">
                  <w:marLeft w:val="0"/>
                  <w:marRight w:val="1"/>
                  <w:marTop w:val="0"/>
                  <w:marBottom w:val="0"/>
                  <w:divBdr>
                    <w:top w:val="none" w:sz="0" w:space="0" w:color="auto"/>
                    <w:left w:val="none" w:sz="0" w:space="0" w:color="auto"/>
                    <w:bottom w:val="none" w:sz="0" w:space="0" w:color="auto"/>
                    <w:right w:val="none" w:sz="0" w:space="0" w:color="auto"/>
                  </w:divBdr>
                  <w:divsChild>
                    <w:div w:id="1776099159">
                      <w:marLeft w:val="0"/>
                      <w:marRight w:val="0"/>
                      <w:marTop w:val="0"/>
                      <w:marBottom w:val="0"/>
                      <w:divBdr>
                        <w:top w:val="none" w:sz="0" w:space="0" w:color="auto"/>
                        <w:left w:val="none" w:sz="0" w:space="0" w:color="auto"/>
                        <w:bottom w:val="none" w:sz="0" w:space="0" w:color="auto"/>
                        <w:right w:val="none" w:sz="0" w:space="0" w:color="auto"/>
                      </w:divBdr>
                      <w:divsChild>
                        <w:div w:id="48891460">
                          <w:marLeft w:val="0"/>
                          <w:marRight w:val="0"/>
                          <w:marTop w:val="0"/>
                          <w:marBottom w:val="0"/>
                          <w:divBdr>
                            <w:top w:val="none" w:sz="0" w:space="0" w:color="auto"/>
                            <w:left w:val="none" w:sz="0" w:space="0" w:color="auto"/>
                            <w:bottom w:val="none" w:sz="0" w:space="0" w:color="auto"/>
                            <w:right w:val="none" w:sz="0" w:space="0" w:color="auto"/>
                          </w:divBdr>
                          <w:divsChild>
                            <w:div w:id="1097752184">
                              <w:marLeft w:val="240"/>
                              <w:marRight w:val="0"/>
                              <w:marTop w:val="0"/>
                              <w:marBottom w:val="0"/>
                              <w:divBdr>
                                <w:top w:val="none" w:sz="0" w:space="0" w:color="auto"/>
                                <w:left w:val="none" w:sz="0" w:space="0" w:color="auto"/>
                                <w:bottom w:val="none" w:sz="0" w:space="0" w:color="auto"/>
                                <w:right w:val="none" w:sz="0" w:space="0" w:color="auto"/>
                              </w:divBdr>
                            </w:div>
                            <w:div w:id="778719247">
                              <w:marLeft w:val="0"/>
                              <w:marRight w:val="0"/>
                              <w:marTop w:val="45"/>
                              <w:marBottom w:val="0"/>
                              <w:divBdr>
                                <w:top w:val="single" w:sz="6" w:space="2" w:color="CCCCCC"/>
                                <w:left w:val="single" w:sz="6" w:space="2" w:color="CCCCCC"/>
                                <w:bottom w:val="single" w:sz="6" w:space="2" w:color="CCCCCC"/>
                                <w:right w:val="single" w:sz="6" w:space="2" w:color="CCCCCC"/>
                              </w:divBdr>
                              <w:divsChild>
                                <w:div w:id="1616209559">
                                  <w:marLeft w:val="0"/>
                                  <w:marRight w:val="0"/>
                                  <w:marTop w:val="0"/>
                                  <w:marBottom w:val="0"/>
                                  <w:divBdr>
                                    <w:top w:val="none" w:sz="0" w:space="0" w:color="auto"/>
                                    <w:left w:val="none" w:sz="0" w:space="0" w:color="auto"/>
                                    <w:bottom w:val="none" w:sz="0" w:space="0" w:color="auto"/>
                                    <w:right w:val="none" w:sz="0" w:space="0" w:color="auto"/>
                                  </w:divBdr>
                                </w:div>
                                <w:div w:id="1139809334">
                                  <w:marLeft w:val="0"/>
                                  <w:marRight w:val="0"/>
                                  <w:marTop w:val="0"/>
                                  <w:marBottom w:val="0"/>
                                  <w:divBdr>
                                    <w:top w:val="none" w:sz="0" w:space="0" w:color="auto"/>
                                    <w:left w:val="none" w:sz="0" w:space="0" w:color="auto"/>
                                    <w:bottom w:val="none" w:sz="0" w:space="0" w:color="auto"/>
                                    <w:right w:val="none" w:sz="0" w:space="0" w:color="auto"/>
                                  </w:divBdr>
                                  <w:divsChild>
                                    <w:div w:id="1554384084">
                                      <w:marLeft w:val="0"/>
                                      <w:marRight w:val="0"/>
                                      <w:marTop w:val="0"/>
                                      <w:marBottom w:val="0"/>
                                      <w:divBdr>
                                        <w:top w:val="none" w:sz="0" w:space="0" w:color="auto"/>
                                        <w:left w:val="none" w:sz="0" w:space="0" w:color="auto"/>
                                        <w:bottom w:val="none" w:sz="0" w:space="0" w:color="auto"/>
                                        <w:right w:val="none" w:sz="0" w:space="0" w:color="auto"/>
                                      </w:divBdr>
                                    </w:div>
                                  </w:divsChild>
                                </w:div>
                                <w:div w:id="1397895589">
                                  <w:marLeft w:val="0"/>
                                  <w:marRight w:val="0"/>
                                  <w:marTop w:val="0"/>
                                  <w:marBottom w:val="0"/>
                                  <w:divBdr>
                                    <w:top w:val="none" w:sz="0" w:space="0" w:color="auto"/>
                                    <w:left w:val="none" w:sz="0" w:space="0" w:color="auto"/>
                                    <w:bottom w:val="none" w:sz="0" w:space="0" w:color="auto"/>
                                    <w:right w:val="none" w:sz="0" w:space="0" w:color="auto"/>
                                  </w:divBdr>
                                </w:div>
                                <w:div w:id="202446849">
                                  <w:marLeft w:val="0"/>
                                  <w:marRight w:val="0"/>
                                  <w:marTop w:val="0"/>
                                  <w:marBottom w:val="0"/>
                                  <w:divBdr>
                                    <w:top w:val="none" w:sz="0" w:space="0" w:color="auto"/>
                                    <w:left w:val="none" w:sz="0" w:space="0" w:color="auto"/>
                                    <w:bottom w:val="none" w:sz="0" w:space="0" w:color="auto"/>
                                    <w:right w:val="none" w:sz="0" w:space="0" w:color="auto"/>
                                  </w:divBdr>
                                </w:div>
                                <w:div w:id="1998217914">
                                  <w:marLeft w:val="0"/>
                                  <w:marRight w:val="0"/>
                                  <w:marTop w:val="0"/>
                                  <w:marBottom w:val="0"/>
                                  <w:divBdr>
                                    <w:top w:val="none" w:sz="0" w:space="0" w:color="auto"/>
                                    <w:left w:val="none" w:sz="0" w:space="0" w:color="auto"/>
                                    <w:bottom w:val="none" w:sz="0" w:space="0" w:color="auto"/>
                                    <w:right w:val="none" w:sz="0" w:space="0" w:color="auto"/>
                                  </w:divBdr>
                                </w:div>
                                <w:div w:id="755905094">
                                  <w:marLeft w:val="0"/>
                                  <w:marRight w:val="0"/>
                                  <w:marTop w:val="0"/>
                                  <w:marBottom w:val="0"/>
                                  <w:divBdr>
                                    <w:top w:val="none" w:sz="0" w:space="0" w:color="auto"/>
                                    <w:left w:val="none" w:sz="0" w:space="0" w:color="auto"/>
                                    <w:bottom w:val="none" w:sz="0" w:space="0" w:color="auto"/>
                                    <w:right w:val="none" w:sz="0" w:space="0" w:color="auto"/>
                                  </w:divBdr>
                                </w:div>
                                <w:div w:id="1334991289">
                                  <w:marLeft w:val="0"/>
                                  <w:marRight w:val="0"/>
                                  <w:marTop w:val="0"/>
                                  <w:marBottom w:val="0"/>
                                  <w:divBdr>
                                    <w:top w:val="none" w:sz="0" w:space="0" w:color="auto"/>
                                    <w:left w:val="none" w:sz="0" w:space="0" w:color="auto"/>
                                    <w:bottom w:val="none" w:sz="0" w:space="0" w:color="auto"/>
                                    <w:right w:val="none" w:sz="0" w:space="0" w:color="auto"/>
                                  </w:divBdr>
                                </w:div>
                              </w:divsChild>
                            </w:div>
                            <w:div w:id="1797526222">
                              <w:marLeft w:val="0"/>
                              <w:marRight w:val="0"/>
                              <w:marTop w:val="0"/>
                              <w:marBottom w:val="0"/>
                              <w:divBdr>
                                <w:top w:val="none" w:sz="0" w:space="0" w:color="auto"/>
                                <w:left w:val="none" w:sz="0" w:space="0" w:color="auto"/>
                                <w:bottom w:val="none" w:sz="0" w:space="0" w:color="auto"/>
                                <w:right w:val="none" w:sz="0" w:space="0" w:color="auto"/>
                              </w:divBdr>
                            </w:div>
                          </w:divsChild>
                        </w:div>
                        <w:div w:id="1574654631">
                          <w:marLeft w:val="0"/>
                          <w:marRight w:val="0"/>
                          <w:marTop w:val="0"/>
                          <w:marBottom w:val="0"/>
                          <w:divBdr>
                            <w:top w:val="none" w:sz="0" w:space="0" w:color="auto"/>
                            <w:left w:val="none" w:sz="0" w:space="0" w:color="auto"/>
                            <w:bottom w:val="none" w:sz="0" w:space="0" w:color="auto"/>
                            <w:right w:val="none" w:sz="0" w:space="0" w:color="auto"/>
                          </w:divBdr>
                          <w:divsChild>
                            <w:div w:id="1680153651">
                              <w:marLeft w:val="0"/>
                              <w:marRight w:val="0"/>
                              <w:marTop w:val="0"/>
                              <w:marBottom w:val="0"/>
                              <w:divBdr>
                                <w:top w:val="none" w:sz="0" w:space="0" w:color="auto"/>
                                <w:left w:val="none" w:sz="0" w:space="0" w:color="auto"/>
                                <w:bottom w:val="none" w:sz="0" w:space="0" w:color="auto"/>
                                <w:right w:val="none" w:sz="0" w:space="0" w:color="auto"/>
                              </w:divBdr>
                            </w:div>
                          </w:divsChild>
                        </w:div>
                        <w:div w:id="820542335">
                          <w:marLeft w:val="0"/>
                          <w:marRight w:val="0"/>
                          <w:marTop w:val="0"/>
                          <w:marBottom w:val="0"/>
                          <w:divBdr>
                            <w:top w:val="none" w:sz="0" w:space="0" w:color="auto"/>
                            <w:left w:val="none" w:sz="0" w:space="0" w:color="auto"/>
                            <w:bottom w:val="none" w:sz="0" w:space="0" w:color="auto"/>
                            <w:right w:val="none" w:sz="0" w:space="0" w:color="auto"/>
                          </w:divBdr>
                          <w:divsChild>
                            <w:div w:id="711736078">
                              <w:marLeft w:val="0"/>
                              <w:marRight w:val="0"/>
                              <w:marTop w:val="120"/>
                              <w:marBottom w:val="360"/>
                              <w:divBdr>
                                <w:top w:val="none" w:sz="0" w:space="0" w:color="auto"/>
                                <w:left w:val="none" w:sz="0" w:space="0" w:color="auto"/>
                                <w:bottom w:val="none" w:sz="0" w:space="0" w:color="auto"/>
                                <w:right w:val="none" w:sz="0" w:space="0" w:color="auto"/>
                              </w:divBdr>
                              <w:divsChild>
                                <w:div w:id="2034181758">
                                  <w:marLeft w:val="0"/>
                                  <w:marRight w:val="0"/>
                                  <w:marTop w:val="0"/>
                                  <w:marBottom w:val="0"/>
                                  <w:divBdr>
                                    <w:top w:val="none" w:sz="0" w:space="0" w:color="auto"/>
                                    <w:left w:val="none" w:sz="0" w:space="0" w:color="auto"/>
                                    <w:bottom w:val="none" w:sz="0" w:space="0" w:color="auto"/>
                                    <w:right w:val="none" w:sz="0" w:space="0" w:color="auto"/>
                                  </w:divBdr>
                                </w:div>
                                <w:div w:id="1368871605">
                                  <w:marLeft w:val="0"/>
                                  <w:marRight w:val="0"/>
                                  <w:marTop w:val="0"/>
                                  <w:marBottom w:val="0"/>
                                  <w:divBdr>
                                    <w:top w:val="none" w:sz="0" w:space="0" w:color="auto"/>
                                    <w:left w:val="none" w:sz="0" w:space="0" w:color="auto"/>
                                    <w:bottom w:val="none" w:sz="0" w:space="0" w:color="auto"/>
                                    <w:right w:val="none" w:sz="0" w:space="0" w:color="auto"/>
                                  </w:divBdr>
                                </w:div>
                                <w:div w:id="313411150">
                                  <w:marLeft w:val="0"/>
                                  <w:marRight w:val="0"/>
                                  <w:marTop w:val="0"/>
                                  <w:marBottom w:val="0"/>
                                  <w:divBdr>
                                    <w:top w:val="none" w:sz="0" w:space="0" w:color="auto"/>
                                    <w:left w:val="none" w:sz="0" w:space="0" w:color="auto"/>
                                    <w:bottom w:val="none" w:sz="0" w:space="0" w:color="auto"/>
                                    <w:right w:val="none" w:sz="0" w:space="0" w:color="auto"/>
                                  </w:divBdr>
                                  <w:divsChild>
                                    <w:div w:id="1986624945">
                                      <w:marLeft w:val="0"/>
                                      <w:marRight w:val="0"/>
                                      <w:marTop w:val="0"/>
                                      <w:marBottom w:val="0"/>
                                      <w:divBdr>
                                        <w:top w:val="none" w:sz="0" w:space="0" w:color="auto"/>
                                        <w:left w:val="none" w:sz="0" w:space="0" w:color="auto"/>
                                        <w:bottom w:val="none" w:sz="0" w:space="0" w:color="auto"/>
                                        <w:right w:val="none" w:sz="0" w:space="0" w:color="auto"/>
                                      </w:divBdr>
                                    </w:div>
                                  </w:divsChild>
                                </w:div>
                                <w:div w:id="194805526">
                                  <w:marLeft w:val="0"/>
                                  <w:marRight w:val="0"/>
                                  <w:marTop w:val="0"/>
                                  <w:marBottom w:val="0"/>
                                  <w:divBdr>
                                    <w:top w:val="none" w:sz="0" w:space="0" w:color="auto"/>
                                    <w:left w:val="none" w:sz="0" w:space="0" w:color="auto"/>
                                    <w:bottom w:val="none" w:sz="0" w:space="0" w:color="auto"/>
                                    <w:right w:val="none" w:sz="0" w:space="0" w:color="auto"/>
                                  </w:divBdr>
                                  <w:divsChild>
                                    <w:div w:id="10652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7079">
      <w:bodyDiv w:val="1"/>
      <w:marLeft w:val="0"/>
      <w:marRight w:val="0"/>
      <w:marTop w:val="0"/>
      <w:marBottom w:val="0"/>
      <w:divBdr>
        <w:top w:val="none" w:sz="0" w:space="0" w:color="auto"/>
        <w:left w:val="none" w:sz="0" w:space="0" w:color="auto"/>
        <w:bottom w:val="none" w:sz="0" w:space="0" w:color="auto"/>
        <w:right w:val="none" w:sz="0" w:space="0" w:color="auto"/>
      </w:divBdr>
      <w:divsChild>
        <w:div w:id="1398237593">
          <w:marLeft w:val="0"/>
          <w:marRight w:val="0"/>
          <w:marTop w:val="0"/>
          <w:marBottom w:val="0"/>
          <w:divBdr>
            <w:top w:val="none" w:sz="0" w:space="0" w:color="auto"/>
            <w:left w:val="none" w:sz="0" w:space="0" w:color="auto"/>
            <w:bottom w:val="none" w:sz="0" w:space="0" w:color="auto"/>
            <w:right w:val="none" w:sz="0" w:space="0" w:color="auto"/>
          </w:divBdr>
          <w:divsChild>
            <w:div w:id="792166027">
              <w:marLeft w:val="0"/>
              <w:marRight w:val="0"/>
              <w:marTop w:val="0"/>
              <w:marBottom w:val="0"/>
              <w:divBdr>
                <w:top w:val="none" w:sz="0" w:space="0" w:color="auto"/>
                <w:left w:val="none" w:sz="0" w:space="0" w:color="auto"/>
                <w:bottom w:val="none" w:sz="0" w:space="0" w:color="auto"/>
                <w:right w:val="none" w:sz="0" w:space="0" w:color="auto"/>
              </w:divBdr>
              <w:divsChild>
                <w:div w:id="100103457">
                  <w:marLeft w:val="0"/>
                  <w:marRight w:val="0"/>
                  <w:marTop w:val="0"/>
                  <w:marBottom w:val="0"/>
                  <w:divBdr>
                    <w:top w:val="none" w:sz="0" w:space="0" w:color="auto"/>
                    <w:left w:val="none" w:sz="0" w:space="0" w:color="auto"/>
                    <w:bottom w:val="none" w:sz="0" w:space="0" w:color="auto"/>
                    <w:right w:val="none" w:sz="0" w:space="0" w:color="auto"/>
                  </w:divBdr>
                  <w:divsChild>
                    <w:div w:id="1155143408">
                      <w:marLeft w:val="0"/>
                      <w:marRight w:val="0"/>
                      <w:marTop w:val="0"/>
                      <w:marBottom w:val="0"/>
                      <w:divBdr>
                        <w:top w:val="none" w:sz="0" w:space="0" w:color="auto"/>
                        <w:left w:val="none" w:sz="0" w:space="0" w:color="auto"/>
                        <w:bottom w:val="none" w:sz="0" w:space="0" w:color="auto"/>
                        <w:right w:val="none" w:sz="0" w:space="0" w:color="auto"/>
                      </w:divBdr>
                      <w:divsChild>
                        <w:div w:id="10610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51807">
      <w:bodyDiv w:val="1"/>
      <w:marLeft w:val="0"/>
      <w:marRight w:val="0"/>
      <w:marTop w:val="0"/>
      <w:marBottom w:val="0"/>
      <w:divBdr>
        <w:top w:val="none" w:sz="0" w:space="0" w:color="auto"/>
        <w:left w:val="none" w:sz="0" w:space="0" w:color="auto"/>
        <w:bottom w:val="none" w:sz="0" w:space="0" w:color="auto"/>
        <w:right w:val="none" w:sz="0" w:space="0" w:color="auto"/>
      </w:divBdr>
      <w:divsChild>
        <w:div w:id="435055222">
          <w:marLeft w:val="0"/>
          <w:marRight w:val="0"/>
          <w:marTop w:val="0"/>
          <w:marBottom w:val="0"/>
          <w:divBdr>
            <w:top w:val="single" w:sz="2" w:space="0" w:color="2E2E2E"/>
            <w:left w:val="single" w:sz="2" w:space="0" w:color="2E2E2E"/>
            <w:bottom w:val="single" w:sz="2" w:space="0" w:color="2E2E2E"/>
            <w:right w:val="single" w:sz="2" w:space="0" w:color="2E2E2E"/>
          </w:divBdr>
          <w:divsChild>
            <w:div w:id="1877740258">
              <w:marLeft w:val="0"/>
              <w:marRight w:val="0"/>
              <w:marTop w:val="0"/>
              <w:marBottom w:val="0"/>
              <w:divBdr>
                <w:top w:val="single" w:sz="2" w:space="6" w:color="2E2E2E"/>
                <w:left w:val="single" w:sz="2" w:space="0" w:color="2E2E2E"/>
                <w:bottom w:val="single" w:sz="2" w:space="6" w:color="2E2E2E"/>
                <w:right w:val="single" w:sz="2" w:space="0" w:color="2E2E2E"/>
              </w:divBdr>
              <w:divsChild>
                <w:div w:id="1250508120">
                  <w:marLeft w:val="0"/>
                  <w:marRight w:val="0"/>
                  <w:marTop w:val="0"/>
                  <w:marBottom w:val="0"/>
                  <w:divBdr>
                    <w:top w:val="none" w:sz="0" w:space="0" w:color="auto"/>
                    <w:left w:val="none" w:sz="0" w:space="0" w:color="auto"/>
                    <w:bottom w:val="none" w:sz="0" w:space="0" w:color="auto"/>
                    <w:right w:val="none" w:sz="0" w:space="0" w:color="auto"/>
                  </w:divBdr>
                  <w:divsChild>
                    <w:div w:id="14381102">
                      <w:marLeft w:val="0"/>
                      <w:marRight w:val="0"/>
                      <w:marTop w:val="0"/>
                      <w:marBottom w:val="0"/>
                      <w:divBdr>
                        <w:top w:val="none" w:sz="0" w:space="0" w:color="auto"/>
                        <w:left w:val="none" w:sz="0" w:space="0" w:color="auto"/>
                        <w:bottom w:val="none" w:sz="0" w:space="0" w:color="auto"/>
                        <w:right w:val="none" w:sz="0" w:space="0" w:color="auto"/>
                      </w:divBdr>
                      <w:divsChild>
                        <w:div w:id="1922716234">
                          <w:marLeft w:val="0"/>
                          <w:marRight w:val="0"/>
                          <w:marTop w:val="0"/>
                          <w:marBottom w:val="0"/>
                          <w:divBdr>
                            <w:top w:val="none" w:sz="0" w:space="0" w:color="auto"/>
                            <w:left w:val="none" w:sz="0" w:space="0" w:color="auto"/>
                            <w:bottom w:val="none" w:sz="0" w:space="0" w:color="auto"/>
                            <w:right w:val="none" w:sz="0" w:space="0" w:color="auto"/>
                          </w:divBdr>
                          <w:divsChild>
                            <w:div w:id="521213239">
                              <w:marLeft w:val="0"/>
                              <w:marRight w:val="0"/>
                              <w:marTop w:val="0"/>
                              <w:marBottom w:val="0"/>
                              <w:divBdr>
                                <w:top w:val="single" w:sz="6" w:space="0" w:color="999999"/>
                                <w:left w:val="single" w:sz="6" w:space="0" w:color="999999"/>
                                <w:bottom w:val="single" w:sz="6" w:space="0" w:color="999999"/>
                                <w:right w:val="single" w:sz="6" w:space="0" w:color="999999"/>
                              </w:divBdr>
                              <w:divsChild>
                                <w:div w:id="1946961285">
                                  <w:marLeft w:val="180"/>
                                  <w:marRight w:val="180"/>
                                  <w:marTop w:val="0"/>
                                  <w:marBottom w:val="0"/>
                                  <w:divBdr>
                                    <w:top w:val="none" w:sz="0" w:space="0" w:color="auto"/>
                                    <w:left w:val="none" w:sz="0" w:space="0" w:color="auto"/>
                                    <w:bottom w:val="none" w:sz="0" w:space="0" w:color="auto"/>
                                    <w:right w:val="none" w:sz="0" w:space="0" w:color="auto"/>
                                  </w:divBdr>
                                  <w:divsChild>
                                    <w:div w:id="2104647676">
                                      <w:marLeft w:val="0"/>
                                      <w:marRight w:val="0"/>
                                      <w:marTop w:val="0"/>
                                      <w:marBottom w:val="0"/>
                                      <w:divBdr>
                                        <w:top w:val="none" w:sz="0" w:space="0" w:color="auto"/>
                                        <w:left w:val="none" w:sz="0" w:space="0" w:color="auto"/>
                                        <w:bottom w:val="none" w:sz="0" w:space="0" w:color="auto"/>
                                        <w:right w:val="none" w:sz="0" w:space="0" w:color="auto"/>
                                      </w:divBdr>
                                      <w:divsChild>
                                        <w:div w:id="25838750">
                                          <w:marLeft w:val="0"/>
                                          <w:marRight w:val="0"/>
                                          <w:marTop w:val="0"/>
                                          <w:marBottom w:val="0"/>
                                          <w:divBdr>
                                            <w:top w:val="none" w:sz="0" w:space="0" w:color="auto"/>
                                            <w:left w:val="none" w:sz="0" w:space="0" w:color="auto"/>
                                            <w:bottom w:val="none" w:sz="0" w:space="0" w:color="auto"/>
                                            <w:right w:val="none" w:sz="0" w:space="0" w:color="auto"/>
                                          </w:divBdr>
                                          <w:divsChild>
                                            <w:div w:id="1241863187">
                                              <w:marLeft w:val="600"/>
                                              <w:marRight w:val="0"/>
                                              <w:marTop w:val="150"/>
                                              <w:marBottom w:val="0"/>
                                              <w:divBdr>
                                                <w:top w:val="none" w:sz="0" w:space="0" w:color="auto"/>
                                                <w:left w:val="none" w:sz="0" w:space="0" w:color="auto"/>
                                                <w:bottom w:val="none" w:sz="0" w:space="0" w:color="auto"/>
                                                <w:right w:val="none" w:sz="0" w:space="0" w:color="auto"/>
                                              </w:divBdr>
                                              <w:divsChild>
                                                <w:div w:id="750005653">
                                                  <w:marLeft w:val="-75"/>
                                                  <w:marRight w:val="225"/>
                                                  <w:marTop w:val="30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2485386">
      <w:bodyDiv w:val="1"/>
      <w:marLeft w:val="0"/>
      <w:marRight w:val="0"/>
      <w:marTop w:val="0"/>
      <w:marBottom w:val="0"/>
      <w:divBdr>
        <w:top w:val="none" w:sz="0" w:space="0" w:color="auto"/>
        <w:left w:val="none" w:sz="0" w:space="0" w:color="auto"/>
        <w:bottom w:val="none" w:sz="0" w:space="0" w:color="auto"/>
        <w:right w:val="none" w:sz="0" w:space="0" w:color="auto"/>
      </w:divBdr>
      <w:divsChild>
        <w:div w:id="1097335324">
          <w:marLeft w:val="0"/>
          <w:marRight w:val="0"/>
          <w:marTop w:val="0"/>
          <w:marBottom w:val="0"/>
          <w:divBdr>
            <w:top w:val="none" w:sz="0" w:space="0" w:color="auto"/>
            <w:left w:val="none" w:sz="0" w:space="0" w:color="auto"/>
            <w:bottom w:val="none" w:sz="0" w:space="0" w:color="auto"/>
            <w:right w:val="none" w:sz="0" w:space="0" w:color="auto"/>
          </w:divBdr>
          <w:divsChild>
            <w:div w:id="387145386">
              <w:marLeft w:val="0"/>
              <w:marRight w:val="0"/>
              <w:marTop w:val="0"/>
              <w:marBottom w:val="0"/>
              <w:divBdr>
                <w:top w:val="none" w:sz="0" w:space="0" w:color="auto"/>
                <w:left w:val="none" w:sz="0" w:space="0" w:color="auto"/>
                <w:bottom w:val="none" w:sz="0" w:space="0" w:color="auto"/>
                <w:right w:val="none" w:sz="0" w:space="0" w:color="auto"/>
              </w:divBdr>
              <w:divsChild>
                <w:div w:id="1901554683">
                  <w:marLeft w:val="0"/>
                  <w:marRight w:val="0"/>
                  <w:marTop w:val="0"/>
                  <w:marBottom w:val="0"/>
                  <w:divBdr>
                    <w:top w:val="none" w:sz="0" w:space="0" w:color="auto"/>
                    <w:left w:val="none" w:sz="0" w:space="0" w:color="auto"/>
                    <w:bottom w:val="none" w:sz="0" w:space="0" w:color="auto"/>
                    <w:right w:val="none" w:sz="0" w:space="0" w:color="auto"/>
                  </w:divBdr>
                  <w:divsChild>
                    <w:div w:id="720440090">
                      <w:marLeft w:val="0"/>
                      <w:marRight w:val="0"/>
                      <w:marTop w:val="0"/>
                      <w:marBottom w:val="0"/>
                      <w:divBdr>
                        <w:top w:val="none" w:sz="0" w:space="0" w:color="auto"/>
                        <w:left w:val="none" w:sz="0" w:space="0" w:color="auto"/>
                        <w:bottom w:val="none" w:sz="0" w:space="0" w:color="auto"/>
                        <w:right w:val="none" w:sz="0" w:space="0" w:color="auto"/>
                      </w:divBdr>
                      <w:divsChild>
                        <w:div w:id="103574119">
                          <w:marLeft w:val="0"/>
                          <w:marRight w:val="0"/>
                          <w:marTop w:val="45"/>
                          <w:marBottom w:val="0"/>
                          <w:divBdr>
                            <w:top w:val="none" w:sz="0" w:space="0" w:color="auto"/>
                            <w:left w:val="none" w:sz="0" w:space="0" w:color="auto"/>
                            <w:bottom w:val="none" w:sz="0" w:space="0" w:color="auto"/>
                            <w:right w:val="none" w:sz="0" w:space="0" w:color="auto"/>
                          </w:divBdr>
                          <w:divsChild>
                            <w:div w:id="1963918723">
                              <w:marLeft w:val="0"/>
                              <w:marRight w:val="0"/>
                              <w:marTop w:val="0"/>
                              <w:marBottom w:val="0"/>
                              <w:divBdr>
                                <w:top w:val="none" w:sz="0" w:space="0" w:color="auto"/>
                                <w:left w:val="none" w:sz="0" w:space="0" w:color="auto"/>
                                <w:bottom w:val="none" w:sz="0" w:space="0" w:color="auto"/>
                                <w:right w:val="none" w:sz="0" w:space="0" w:color="auto"/>
                              </w:divBdr>
                              <w:divsChild>
                                <w:div w:id="374888277">
                                  <w:marLeft w:val="2070"/>
                                  <w:marRight w:val="3810"/>
                                  <w:marTop w:val="0"/>
                                  <w:marBottom w:val="0"/>
                                  <w:divBdr>
                                    <w:top w:val="none" w:sz="0" w:space="0" w:color="auto"/>
                                    <w:left w:val="none" w:sz="0" w:space="0" w:color="auto"/>
                                    <w:bottom w:val="none" w:sz="0" w:space="0" w:color="auto"/>
                                    <w:right w:val="none" w:sz="0" w:space="0" w:color="auto"/>
                                  </w:divBdr>
                                  <w:divsChild>
                                    <w:div w:id="2086561349">
                                      <w:marLeft w:val="0"/>
                                      <w:marRight w:val="0"/>
                                      <w:marTop w:val="0"/>
                                      <w:marBottom w:val="0"/>
                                      <w:divBdr>
                                        <w:top w:val="none" w:sz="0" w:space="0" w:color="auto"/>
                                        <w:left w:val="none" w:sz="0" w:space="0" w:color="auto"/>
                                        <w:bottom w:val="none" w:sz="0" w:space="0" w:color="auto"/>
                                        <w:right w:val="none" w:sz="0" w:space="0" w:color="auto"/>
                                      </w:divBdr>
                                      <w:divsChild>
                                        <w:div w:id="961612377">
                                          <w:marLeft w:val="0"/>
                                          <w:marRight w:val="0"/>
                                          <w:marTop w:val="0"/>
                                          <w:marBottom w:val="0"/>
                                          <w:divBdr>
                                            <w:top w:val="none" w:sz="0" w:space="0" w:color="auto"/>
                                            <w:left w:val="none" w:sz="0" w:space="0" w:color="auto"/>
                                            <w:bottom w:val="none" w:sz="0" w:space="0" w:color="auto"/>
                                            <w:right w:val="none" w:sz="0" w:space="0" w:color="auto"/>
                                          </w:divBdr>
                                          <w:divsChild>
                                            <w:div w:id="1820538395">
                                              <w:marLeft w:val="0"/>
                                              <w:marRight w:val="0"/>
                                              <w:marTop w:val="0"/>
                                              <w:marBottom w:val="0"/>
                                              <w:divBdr>
                                                <w:top w:val="none" w:sz="0" w:space="0" w:color="auto"/>
                                                <w:left w:val="none" w:sz="0" w:space="0" w:color="auto"/>
                                                <w:bottom w:val="none" w:sz="0" w:space="0" w:color="auto"/>
                                                <w:right w:val="none" w:sz="0" w:space="0" w:color="auto"/>
                                              </w:divBdr>
                                              <w:divsChild>
                                                <w:div w:id="821000764">
                                                  <w:marLeft w:val="0"/>
                                                  <w:marRight w:val="0"/>
                                                  <w:marTop w:val="0"/>
                                                  <w:marBottom w:val="0"/>
                                                  <w:divBdr>
                                                    <w:top w:val="none" w:sz="0" w:space="0" w:color="auto"/>
                                                    <w:left w:val="none" w:sz="0" w:space="0" w:color="auto"/>
                                                    <w:bottom w:val="none" w:sz="0" w:space="0" w:color="auto"/>
                                                    <w:right w:val="none" w:sz="0" w:space="0" w:color="auto"/>
                                                  </w:divBdr>
                                                  <w:divsChild>
                                                    <w:div w:id="129783605">
                                                      <w:marLeft w:val="0"/>
                                                      <w:marRight w:val="0"/>
                                                      <w:marTop w:val="0"/>
                                                      <w:marBottom w:val="345"/>
                                                      <w:divBdr>
                                                        <w:top w:val="none" w:sz="0" w:space="0" w:color="auto"/>
                                                        <w:left w:val="none" w:sz="0" w:space="0" w:color="auto"/>
                                                        <w:bottom w:val="none" w:sz="0" w:space="0" w:color="auto"/>
                                                        <w:right w:val="none" w:sz="0" w:space="0" w:color="auto"/>
                                                      </w:divBdr>
                                                      <w:divsChild>
                                                        <w:div w:id="1740133659">
                                                          <w:marLeft w:val="0"/>
                                                          <w:marRight w:val="0"/>
                                                          <w:marTop w:val="0"/>
                                                          <w:marBottom w:val="0"/>
                                                          <w:divBdr>
                                                            <w:top w:val="none" w:sz="0" w:space="0" w:color="auto"/>
                                                            <w:left w:val="none" w:sz="0" w:space="0" w:color="auto"/>
                                                            <w:bottom w:val="none" w:sz="0" w:space="0" w:color="auto"/>
                                                            <w:right w:val="none" w:sz="0" w:space="0" w:color="auto"/>
                                                          </w:divBdr>
                                                          <w:divsChild>
                                                            <w:div w:id="138498543">
                                                              <w:marLeft w:val="0"/>
                                                              <w:marRight w:val="0"/>
                                                              <w:marTop w:val="0"/>
                                                              <w:marBottom w:val="0"/>
                                                              <w:divBdr>
                                                                <w:top w:val="none" w:sz="0" w:space="0" w:color="auto"/>
                                                                <w:left w:val="none" w:sz="0" w:space="0" w:color="auto"/>
                                                                <w:bottom w:val="none" w:sz="0" w:space="0" w:color="auto"/>
                                                                <w:right w:val="none" w:sz="0" w:space="0" w:color="auto"/>
                                                              </w:divBdr>
                                                              <w:divsChild>
                                                                <w:div w:id="857087222">
                                                                  <w:marLeft w:val="0"/>
                                                                  <w:marRight w:val="0"/>
                                                                  <w:marTop w:val="0"/>
                                                                  <w:marBottom w:val="0"/>
                                                                  <w:divBdr>
                                                                    <w:top w:val="none" w:sz="0" w:space="0" w:color="auto"/>
                                                                    <w:left w:val="none" w:sz="0" w:space="0" w:color="auto"/>
                                                                    <w:bottom w:val="none" w:sz="0" w:space="0" w:color="auto"/>
                                                                    <w:right w:val="none" w:sz="0" w:space="0" w:color="auto"/>
                                                                  </w:divBdr>
                                                                  <w:divsChild>
                                                                    <w:div w:id="412824768">
                                                                      <w:marLeft w:val="0"/>
                                                                      <w:marRight w:val="0"/>
                                                                      <w:marTop w:val="0"/>
                                                                      <w:marBottom w:val="0"/>
                                                                      <w:divBdr>
                                                                        <w:top w:val="none" w:sz="0" w:space="0" w:color="auto"/>
                                                                        <w:left w:val="none" w:sz="0" w:space="0" w:color="auto"/>
                                                                        <w:bottom w:val="none" w:sz="0" w:space="0" w:color="auto"/>
                                                                        <w:right w:val="none" w:sz="0" w:space="0" w:color="auto"/>
                                                                      </w:divBdr>
                                                                      <w:divsChild>
                                                                        <w:div w:id="209926469">
                                                                          <w:marLeft w:val="0"/>
                                                                          <w:marRight w:val="0"/>
                                                                          <w:marTop w:val="0"/>
                                                                          <w:marBottom w:val="0"/>
                                                                          <w:divBdr>
                                                                            <w:top w:val="none" w:sz="0" w:space="0" w:color="auto"/>
                                                                            <w:left w:val="none" w:sz="0" w:space="0" w:color="auto"/>
                                                                            <w:bottom w:val="none" w:sz="0" w:space="0" w:color="auto"/>
                                                                            <w:right w:val="none" w:sz="0" w:space="0" w:color="auto"/>
                                                                          </w:divBdr>
                                                                          <w:divsChild>
                                                                            <w:div w:id="1396313820">
                                                                              <w:marLeft w:val="0"/>
                                                                              <w:marRight w:val="0"/>
                                                                              <w:marTop w:val="0"/>
                                                                              <w:marBottom w:val="0"/>
                                                                              <w:divBdr>
                                                                                <w:top w:val="none" w:sz="0" w:space="0" w:color="auto"/>
                                                                                <w:left w:val="none" w:sz="0" w:space="0" w:color="auto"/>
                                                                                <w:bottom w:val="none" w:sz="0" w:space="0" w:color="auto"/>
                                                                                <w:right w:val="none" w:sz="0" w:space="0" w:color="auto"/>
                                                                              </w:divBdr>
                                                                              <w:divsChild>
                                                                                <w:div w:id="1098524106">
                                                                                  <w:marLeft w:val="0"/>
                                                                                  <w:marRight w:val="0"/>
                                                                                  <w:marTop w:val="0"/>
                                                                                  <w:marBottom w:val="0"/>
                                                                                  <w:divBdr>
                                                                                    <w:top w:val="none" w:sz="0" w:space="0" w:color="auto"/>
                                                                                    <w:left w:val="none" w:sz="0" w:space="0" w:color="auto"/>
                                                                                    <w:bottom w:val="none" w:sz="0" w:space="0" w:color="auto"/>
                                                                                    <w:right w:val="none" w:sz="0" w:space="0" w:color="auto"/>
                                                                                  </w:divBdr>
                                                                                  <w:divsChild>
                                                                                    <w:div w:id="1394739783">
                                                                                      <w:marLeft w:val="0"/>
                                                                                      <w:marRight w:val="0"/>
                                                                                      <w:marTop w:val="0"/>
                                                                                      <w:marBottom w:val="0"/>
                                                                                      <w:divBdr>
                                                                                        <w:top w:val="none" w:sz="0" w:space="0" w:color="auto"/>
                                                                                        <w:left w:val="none" w:sz="0" w:space="0" w:color="auto"/>
                                                                                        <w:bottom w:val="none" w:sz="0" w:space="0" w:color="auto"/>
                                                                                        <w:right w:val="none" w:sz="0" w:space="0" w:color="auto"/>
                                                                                      </w:divBdr>
                                                                                      <w:divsChild>
                                                                                        <w:div w:id="1003162216">
                                                                                          <w:marLeft w:val="0"/>
                                                                                          <w:marRight w:val="0"/>
                                                                                          <w:marTop w:val="0"/>
                                                                                          <w:marBottom w:val="0"/>
                                                                                          <w:divBdr>
                                                                                            <w:top w:val="none" w:sz="0" w:space="0" w:color="auto"/>
                                                                                            <w:left w:val="none" w:sz="0" w:space="0" w:color="auto"/>
                                                                                            <w:bottom w:val="none" w:sz="0" w:space="0" w:color="auto"/>
                                                                                            <w:right w:val="none" w:sz="0" w:space="0" w:color="auto"/>
                                                                                          </w:divBdr>
                                                                                          <w:divsChild>
                                                                                            <w:div w:id="827524742">
                                                                                              <w:marLeft w:val="0"/>
                                                                                              <w:marRight w:val="0"/>
                                                                                              <w:marTop w:val="0"/>
                                                                                              <w:marBottom w:val="0"/>
                                                                                              <w:divBdr>
                                                                                                <w:top w:val="none" w:sz="0" w:space="0" w:color="auto"/>
                                                                                                <w:left w:val="none" w:sz="0" w:space="0" w:color="auto"/>
                                                                                                <w:bottom w:val="none" w:sz="0" w:space="0" w:color="auto"/>
                                                                                                <w:right w:val="none" w:sz="0" w:space="0" w:color="auto"/>
                                                                                              </w:divBdr>
                                                                                              <w:divsChild>
                                                                                                <w:div w:id="366489104">
                                                                                                  <w:marLeft w:val="300"/>
                                                                                                  <w:marRight w:val="0"/>
                                                                                                  <w:marTop w:val="0"/>
                                                                                                  <w:marBottom w:val="0"/>
                                                                                                  <w:divBdr>
                                                                                                    <w:top w:val="none" w:sz="0" w:space="0" w:color="auto"/>
                                                                                                    <w:left w:val="none" w:sz="0" w:space="0" w:color="auto"/>
                                                                                                    <w:bottom w:val="none" w:sz="0" w:space="0" w:color="auto"/>
                                                                                                    <w:right w:val="none" w:sz="0" w:space="0" w:color="auto"/>
                                                                                                  </w:divBdr>
                                                                                                  <w:divsChild>
                                                                                                    <w:div w:id="479493553">
                                                                                                      <w:marLeft w:val="-300"/>
                                                                                                      <w:marRight w:val="0"/>
                                                                                                      <w:marTop w:val="0"/>
                                                                                                      <w:marBottom w:val="0"/>
                                                                                                      <w:divBdr>
                                                                                                        <w:top w:val="none" w:sz="0" w:space="0" w:color="auto"/>
                                                                                                        <w:left w:val="none" w:sz="0" w:space="0" w:color="auto"/>
                                                                                                        <w:bottom w:val="none" w:sz="0" w:space="0" w:color="auto"/>
                                                                                                        <w:right w:val="none" w:sz="0" w:space="0" w:color="auto"/>
                                                                                                      </w:divBdr>
                                                                                                      <w:divsChild>
                                                                                                        <w:div w:id="15175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2324071/" TargetMode="External"/><Relationship Id="rId13" Type="http://schemas.openxmlformats.org/officeDocument/2006/relationships/hyperlink" Target="http://www.ncbi.nlm.nih.gov/pmc/articles/PMC2324071/" TargetMode="External"/><Relationship Id="rId3" Type="http://schemas.openxmlformats.org/officeDocument/2006/relationships/settings" Target="settings.xml"/><Relationship Id="rId7" Type="http://schemas.openxmlformats.org/officeDocument/2006/relationships/hyperlink" Target="http://www.ncbi.nlm.nih.gov/pubmed/?term=Waterman%20MR%5Bauth%5D" TargetMode="External"/><Relationship Id="rId12" Type="http://schemas.openxmlformats.org/officeDocument/2006/relationships/hyperlink" Target="http://www.ncbi.nlm.nih.gov/pmc/articles/PMC23240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pubmed/?term=Lepesheva%20GI%5Bauth%5D" TargetMode="External"/><Relationship Id="rId11" Type="http://schemas.openxmlformats.org/officeDocument/2006/relationships/hyperlink" Target="http://www.ncbi.nlm.nih.gov/pmc/articles/PMC2324071/" TargetMode="External"/><Relationship Id="rId5" Type="http://schemas.openxmlformats.org/officeDocument/2006/relationships/hyperlink" Target="http://dx.doi.org/10.1146/annurev.py.14.090176.002201" TargetMode="External"/><Relationship Id="rId15" Type="http://schemas.openxmlformats.org/officeDocument/2006/relationships/theme" Target="theme/theme1.xml"/><Relationship Id="rId10" Type="http://schemas.openxmlformats.org/officeDocument/2006/relationships/hyperlink" Target="http://www.ncbi.nlm.nih.gov/pmc/articles/PMC2324071/" TargetMode="External"/><Relationship Id="rId4" Type="http://schemas.openxmlformats.org/officeDocument/2006/relationships/webSettings" Target="webSettings.xml"/><Relationship Id="rId9" Type="http://schemas.openxmlformats.org/officeDocument/2006/relationships/hyperlink" Target="http://www.ncbi.nlm.nih.gov/pmc/articles/PMC232407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27</Pages>
  <Words>13517</Words>
  <Characters>77050</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Sajeewa</dc:creator>
  <cp:keywords/>
  <dc:description/>
  <cp:lastModifiedBy>Sajeewa</cp:lastModifiedBy>
  <cp:revision>19</cp:revision>
  <dcterms:created xsi:type="dcterms:W3CDTF">2016-02-08T23:50:00Z</dcterms:created>
  <dcterms:modified xsi:type="dcterms:W3CDTF">2016-02-11T17:39:00Z</dcterms:modified>
</cp:coreProperties>
</file>