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35B1E" w14:textId="0C8F604F" w:rsidR="002D32AC" w:rsidRPr="004D749E" w:rsidRDefault="008C2740" w:rsidP="004D749E">
      <w:pPr>
        <w:pStyle w:val="Title"/>
      </w:pPr>
      <w:proofErr w:type="spellStart"/>
      <w:r w:rsidRPr="004D749E">
        <w:t>Agriculture</w:t>
      </w:r>
      <w:proofErr w:type="spellEnd"/>
      <w:r w:rsidRPr="004D749E">
        <w:t xml:space="preserve"> </w:t>
      </w:r>
      <w:proofErr w:type="spellStart"/>
      <w:r w:rsidRPr="004D749E">
        <w:t>Dataset</w:t>
      </w:r>
      <w:proofErr w:type="spellEnd"/>
    </w:p>
    <w:p w14:paraId="67419E61" w14:textId="0050094C" w:rsidR="004D749E" w:rsidRDefault="00F07AB5" w:rsidP="004D749E">
      <w:pPr>
        <w:pStyle w:val="Heading1"/>
      </w:pPr>
      <w:r>
        <w:t>Enriquecimiento de datos de los</w:t>
      </w:r>
      <w:r w:rsidR="004D749E">
        <w:t xml:space="preserve"> artículos </w:t>
      </w:r>
      <w:r>
        <w:t xml:space="preserve">del </w:t>
      </w:r>
      <w:proofErr w:type="spellStart"/>
      <w:r>
        <w:t>dataset</w:t>
      </w:r>
      <w:proofErr w:type="spellEnd"/>
    </w:p>
    <w:p w14:paraId="28742803" w14:textId="12EAD1B9" w:rsidR="004D749E" w:rsidRDefault="004D749E" w:rsidP="004D749E">
      <w:r>
        <w:t>Vamos a analizar en primer lugar los artículos proporcionados por la Universidad de Murcia.</w:t>
      </w:r>
    </w:p>
    <w:p w14:paraId="01D5E926" w14:textId="3A4FE3E8" w:rsidR="004D749E" w:rsidRPr="004D749E" w:rsidRDefault="004D749E" w:rsidP="004D749E">
      <w:pPr>
        <w:rPr>
          <w:rStyle w:val="IntenseReference"/>
        </w:rPr>
      </w:pPr>
      <w:r w:rsidRPr="004D749E">
        <w:rPr>
          <w:rStyle w:val="IntenseReference"/>
        </w:rPr>
        <w:t xml:space="preserve">Identificador PMID (para búsqueda en </w:t>
      </w:r>
      <w:proofErr w:type="spellStart"/>
      <w:r w:rsidRPr="004D749E">
        <w:rPr>
          <w:rStyle w:val="IntenseReference"/>
        </w:rPr>
        <w:t>Semantic</w:t>
      </w:r>
      <w:proofErr w:type="spellEnd"/>
      <w:r w:rsidRPr="004D749E">
        <w:rPr>
          <w:rStyle w:val="IntenseReference"/>
        </w:rPr>
        <w:t xml:space="preserve"> </w:t>
      </w:r>
      <w:proofErr w:type="spellStart"/>
      <w:r w:rsidRPr="004D749E">
        <w:rPr>
          <w:rStyle w:val="IntenseReference"/>
        </w:rPr>
        <w:t>Scholar</w:t>
      </w:r>
      <w:proofErr w:type="spellEnd"/>
      <w:r w:rsidRPr="004D749E">
        <w:rPr>
          <w:rStyle w:val="IntenseReference"/>
        </w:rPr>
        <w:t>)</w:t>
      </w:r>
    </w:p>
    <w:p w14:paraId="121958EE" w14:textId="7966475F" w:rsidR="004D749E" w:rsidRDefault="008C2740" w:rsidP="004D749E">
      <w:r>
        <w:t xml:space="preserve">Se han traducido los PMC de los 127 artículos proporcionados a su identificador PMID que permite una búsqueda más sencilla en nuestra base de datos de </w:t>
      </w:r>
      <w:proofErr w:type="spellStart"/>
      <w:r>
        <w:t>Semantic</w:t>
      </w:r>
      <w:proofErr w:type="spellEnd"/>
      <w:r>
        <w:t xml:space="preserve"> </w:t>
      </w:r>
      <w:proofErr w:type="spellStart"/>
      <w:r>
        <w:t>Scholar</w:t>
      </w:r>
      <w:proofErr w:type="spellEnd"/>
      <w:r>
        <w:t xml:space="preserve">. </w:t>
      </w:r>
      <w:r w:rsidR="004D749E">
        <w:t xml:space="preserve">A pesar de que </w:t>
      </w:r>
      <w:proofErr w:type="spellStart"/>
      <w:r w:rsidR="004D749E">
        <w:t>Europe</w:t>
      </w:r>
      <w:proofErr w:type="spellEnd"/>
      <w:r w:rsidR="004D749E">
        <w:t xml:space="preserve"> PMC proporciona un CSV que podría permitir dicha “traducción”, hemos comprobado que para varios de los artículos del </w:t>
      </w:r>
      <w:proofErr w:type="spellStart"/>
      <w:r w:rsidR="004D749E">
        <w:t>dataset</w:t>
      </w:r>
      <w:proofErr w:type="spellEnd"/>
      <w:r w:rsidR="004D749E">
        <w:t xml:space="preserve"> proporcionado no se incluye el identificador PMID correspondiente. Por dicho motivo, hemos recurrido al servicio online: </w:t>
      </w:r>
      <w:hyperlink r:id="rId7" w:history="1">
        <w:r w:rsidR="004D749E" w:rsidRPr="004C6E80">
          <w:rPr>
            <w:rStyle w:val="Hyperlink"/>
          </w:rPr>
          <w:t>https://www.ncbi.nlm.nih.gov/pmc/utils/idconv/v1.0</w:t>
        </w:r>
      </w:hyperlink>
    </w:p>
    <w:p w14:paraId="3782BA9E" w14:textId="70C00E20" w:rsidR="007259A1" w:rsidRDefault="008C2740" w:rsidP="004D749E">
      <w:r>
        <w:t xml:space="preserve">De </w:t>
      </w:r>
      <w:r w:rsidR="004D749E">
        <w:t xml:space="preserve">los </w:t>
      </w:r>
      <w:r>
        <w:t>127 artículos</w:t>
      </w:r>
      <w:r w:rsidR="004D749E">
        <w:t xml:space="preserve"> del </w:t>
      </w:r>
      <w:proofErr w:type="spellStart"/>
      <w:r w:rsidR="004D749E">
        <w:t>dataset</w:t>
      </w:r>
      <w:proofErr w:type="spellEnd"/>
      <w:r>
        <w:t xml:space="preserve">, únicamente hay uno que no se </w:t>
      </w:r>
      <w:r w:rsidR="004D749E">
        <w:t>resuelve</w:t>
      </w:r>
      <w:r>
        <w:t xml:space="preserve"> correctamente, y que de hecho parece tener una temática un poco desviada de la propuesta (agricultura).</w:t>
      </w:r>
      <w:r w:rsidR="00BF1028">
        <w:t xml:space="preserve"> (PMC4395563)</w:t>
      </w:r>
      <w:r w:rsidR="00BF205F">
        <w:t>.</w:t>
      </w:r>
      <w:r w:rsidR="004D749E">
        <w:t xml:space="preserve"> Por este motivo, l</w:t>
      </w:r>
      <w:r w:rsidR="00BF205F">
        <w:t>a resolución del PMID de dicho artículo se ha realizado de forma manual:</w:t>
      </w:r>
    </w:p>
    <w:p w14:paraId="78B49905" w14:textId="720B532C" w:rsidR="00BF205F" w:rsidRPr="004D749E" w:rsidRDefault="007259A1" w:rsidP="004D749E">
      <w:pPr>
        <w:jc w:val="center"/>
        <w:rPr>
          <w:rFonts w:ascii="Courier" w:hAnsi="Courier"/>
          <w:sz w:val="16"/>
          <w:szCs w:val="16"/>
          <w:lang w:val="en-US"/>
        </w:rPr>
      </w:pPr>
      <w:proofErr w:type="spellStart"/>
      <w:proofErr w:type="gramStart"/>
      <w:r w:rsidRPr="004D749E">
        <w:rPr>
          <w:rFonts w:ascii="Courier" w:hAnsi="Courier"/>
          <w:sz w:val="16"/>
          <w:szCs w:val="16"/>
          <w:lang w:val="en-GB"/>
        </w:rPr>
        <w:t>df.loc</w:t>
      </w:r>
      <w:proofErr w:type="spellEnd"/>
      <w:r w:rsidRPr="004D749E">
        <w:rPr>
          <w:rFonts w:ascii="Courier" w:hAnsi="Courier"/>
          <w:sz w:val="16"/>
          <w:szCs w:val="16"/>
          <w:lang w:val="en-GB"/>
        </w:rPr>
        <w:t>[</w:t>
      </w:r>
      <w:proofErr w:type="spellStart"/>
      <w:proofErr w:type="gramEnd"/>
      <w:r w:rsidRPr="004D749E">
        <w:rPr>
          <w:rFonts w:ascii="Courier" w:hAnsi="Courier"/>
          <w:sz w:val="16"/>
          <w:szCs w:val="16"/>
          <w:lang w:val="en-GB"/>
        </w:rPr>
        <w:t>df.PMCID</w:t>
      </w:r>
      <w:proofErr w:type="spellEnd"/>
      <w:r w:rsidRPr="004D749E">
        <w:rPr>
          <w:rFonts w:ascii="Courier" w:hAnsi="Courier"/>
          <w:sz w:val="16"/>
          <w:szCs w:val="16"/>
          <w:lang w:val="en-GB"/>
        </w:rPr>
        <w:t xml:space="preserve"> == "PMC4392563", ['PMID', 'DOI']] = '25697273', '10.1007/s11751-015-0211-9'</w:t>
      </w:r>
    </w:p>
    <w:p w14:paraId="2793B30C" w14:textId="77777777" w:rsidR="004D749E" w:rsidRDefault="004D749E" w:rsidP="004D749E">
      <w:pPr>
        <w:rPr>
          <w:rStyle w:val="IntenseReference"/>
        </w:rPr>
      </w:pPr>
    </w:p>
    <w:p w14:paraId="515CF624" w14:textId="7635E92F" w:rsidR="004D749E" w:rsidRDefault="004D749E" w:rsidP="004D749E">
      <w:pPr>
        <w:rPr>
          <w:rStyle w:val="IntenseReference"/>
        </w:rPr>
      </w:pPr>
      <w:bookmarkStart w:id="0" w:name="OLE_LINK1"/>
      <w:r>
        <w:rPr>
          <w:rStyle w:val="IntenseReference"/>
        </w:rPr>
        <w:t>Descarga del texto completo de los artículos</w:t>
      </w:r>
    </w:p>
    <w:bookmarkEnd w:id="0"/>
    <w:p w14:paraId="09173115" w14:textId="012D03D0" w:rsidR="004D749E" w:rsidRDefault="004D749E" w:rsidP="004D749E">
      <w:r w:rsidRPr="004D749E">
        <w:t>Para</w:t>
      </w:r>
      <w:r>
        <w:t xml:space="preserve"> su posible uso tanto para la extracción de entidades como para la extracción de tópicos, hemos descargado el texto completo tanto en formato PDF como XML. En ambos casos, la descarga se ha realizado directamente desde </w:t>
      </w:r>
      <w:proofErr w:type="spellStart"/>
      <w:r>
        <w:t>EuropePMC</w:t>
      </w:r>
      <w:proofErr w:type="spellEnd"/>
      <w:r>
        <w:t xml:space="preserve">, ya que la API </w:t>
      </w:r>
      <w:r w:rsidR="00F07AB5">
        <w:t xml:space="preserve">REST de artículos permite la descarga completa del fichero en formato XML. El PDF no está disponible a través de la API REST, pero la dirección asociada a cada artículo sigue un formato normalizado, por lo que los artículos en dicho formato han podido descargarse fácilmente mediante un proceso de </w:t>
      </w:r>
      <w:proofErr w:type="spellStart"/>
      <w:r w:rsidR="00F07AB5">
        <w:t>crawling</w:t>
      </w:r>
      <w:proofErr w:type="spellEnd"/>
      <w:r w:rsidR="00F07AB5">
        <w:t>.</w:t>
      </w:r>
    </w:p>
    <w:p w14:paraId="0CD44480" w14:textId="4E1280D8" w:rsidR="009F7F5B" w:rsidRDefault="00F07AB5" w:rsidP="00F07AB5">
      <w:pPr>
        <w:pStyle w:val="ListParagraph"/>
        <w:numPr>
          <w:ilvl w:val="0"/>
          <w:numId w:val="4"/>
        </w:numPr>
      </w:pPr>
      <w:r>
        <w:t xml:space="preserve">Descarga en formato PDF: Se dispone de PDF asociado a todos los artículos salvo los 5 siguientes: </w:t>
      </w:r>
      <w:r w:rsidR="009F7F5B" w:rsidRPr="00F07AB5">
        <w:t>PMC4844397</w:t>
      </w:r>
      <w:r w:rsidRPr="00F07AB5">
        <w:t xml:space="preserve">, </w:t>
      </w:r>
      <w:r w:rsidR="009F7F5B" w:rsidRPr="00F07AB5">
        <w:t>PMC5521873</w:t>
      </w:r>
      <w:r w:rsidRPr="00F07AB5">
        <w:t xml:space="preserve">, </w:t>
      </w:r>
      <w:r w:rsidR="009F7F5B" w:rsidRPr="00F07AB5">
        <w:t>PMC5620588</w:t>
      </w:r>
      <w:r w:rsidRPr="00F07AB5">
        <w:t xml:space="preserve">, </w:t>
      </w:r>
      <w:r w:rsidR="009F7F5B" w:rsidRPr="00F07AB5">
        <w:t>PMC5669304</w:t>
      </w:r>
      <w:r w:rsidRPr="00F07AB5">
        <w:t xml:space="preserve"> y </w:t>
      </w:r>
      <w:r w:rsidR="009F7F5B" w:rsidRPr="00F07AB5">
        <w:t>PMC6472519</w:t>
      </w:r>
    </w:p>
    <w:p w14:paraId="36E5B503" w14:textId="3F703F7F" w:rsidR="00F07AB5" w:rsidRPr="009F7F5B" w:rsidRDefault="00F07AB5" w:rsidP="00F07AB5">
      <w:pPr>
        <w:pStyle w:val="ListParagraph"/>
        <w:numPr>
          <w:ilvl w:val="0"/>
          <w:numId w:val="4"/>
        </w:numPr>
      </w:pPr>
      <w:r>
        <w:t xml:space="preserve">Descarga en formato XML: Se dispone de XML asociado a todos los artículos salvo el </w:t>
      </w:r>
      <w:r w:rsidRPr="00F07AB5">
        <w:t>PMC6472519</w:t>
      </w:r>
      <w:r>
        <w:t>.</w:t>
      </w:r>
    </w:p>
    <w:p w14:paraId="7D4403C7" w14:textId="4C13EFD6" w:rsidR="007259A1" w:rsidRDefault="007259A1" w:rsidP="004D749E"/>
    <w:p w14:paraId="4F4EF9B5" w14:textId="64FE6E47" w:rsidR="00F07AB5" w:rsidRDefault="00F07AB5" w:rsidP="00F07AB5">
      <w:pPr>
        <w:rPr>
          <w:rStyle w:val="IntenseReference"/>
        </w:rPr>
      </w:pPr>
      <w:r>
        <w:rPr>
          <w:rStyle w:val="IntenseReference"/>
        </w:rPr>
        <w:t xml:space="preserve">Descarga </w:t>
      </w:r>
      <w:r>
        <w:rPr>
          <w:rStyle w:val="IntenseReference"/>
        </w:rPr>
        <w:t>de las anotaciones</w:t>
      </w:r>
      <w:r>
        <w:rPr>
          <w:rStyle w:val="IntenseReference"/>
        </w:rPr>
        <w:t xml:space="preserve"> de los artículos</w:t>
      </w:r>
    </w:p>
    <w:p w14:paraId="33E4D177" w14:textId="1745BCEB" w:rsidR="00F07AB5" w:rsidRDefault="00F07AB5" w:rsidP="004D749E">
      <w:proofErr w:type="spellStart"/>
      <w:r>
        <w:t>Europe</w:t>
      </w:r>
      <w:proofErr w:type="spellEnd"/>
      <w:r>
        <w:t xml:space="preserve"> PMC dispone de una API de anotaciones que permite acceder a entidades anotadas por terceros, tanto sobre el </w:t>
      </w:r>
      <w:proofErr w:type="spellStart"/>
      <w:proofErr w:type="gramStart"/>
      <w:r>
        <w:t>abstract</w:t>
      </w:r>
      <w:proofErr w:type="spellEnd"/>
      <w:proofErr w:type="gramEnd"/>
      <w:r>
        <w:t xml:space="preserve"> del artículo como sobre el texto completo. Se han descargado dichas anotaciones para su potencial uso tanto por </w:t>
      </w:r>
      <w:proofErr w:type="spellStart"/>
      <w:r>
        <w:t>Everis</w:t>
      </w:r>
      <w:proofErr w:type="spellEnd"/>
      <w:r>
        <w:t xml:space="preserve"> como por parte de la UC3M para la extracción de tópicos. Para ello se considerará la extracción de tópicos a partir únicamente de esas entidades anotadas, lo que puede simplificar considerablemente la limpieza del vocabulario y mejorar la calidad de los tópicos obtenidos, al obtenerse palabras basadas en términos más relevantes.</w:t>
      </w:r>
    </w:p>
    <w:p w14:paraId="696D5185" w14:textId="61FEB902" w:rsidR="00F07AB5" w:rsidRDefault="00F07AB5" w:rsidP="004D749E">
      <w:r>
        <w:t xml:space="preserve">La siguiente figura muestra el tipo de entidades incluidas </w:t>
      </w:r>
      <w:r w:rsidR="009E5E56">
        <w:t xml:space="preserve">en las anotaciones de los artículos, y que pueden descargarse de manera conjunta en formato JSON a partir de la API disponible en </w:t>
      </w:r>
      <w:proofErr w:type="spellStart"/>
      <w:r w:rsidR="009E5E56">
        <w:t>Europe</w:t>
      </w:r>
      <w:proofErr w:type="spellEnd"/>
      <w:r w:rsidR="009E5E56">
        <w:t xml:space="preserve"> PMC.</w:t>
      </w:r>
    </w:p>
    <w:p w14:paraId="040C61CA" w14:textId="45AE974F" w:rsidR="009E5E56" w:rsidRDefault="009E5E56" w:rsidP="004D749E">
      <w:r w:rsidRPr="009E5E56">
        <w:lastRenderedPageBreak/>
        <w:drawing>
          <wp:inline distT="0" distB="0" distL="0" distR="0" wp14:anchorId="03C36DF1" wp14:editId="502D8456">
            <wp:extent cx="5727700" cy="339026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390265"/>
                    </a:xfrm>
                    <a:prstGeom prst="rect">
                      <a:avLst/>
                    </a:prstGeom>
                  </pic:spPr>
                </pic:pic>
              </a:graphicData>
            </a:graphic>
          </wp:inline>
        </w:drawing>
      </w:r>
    </w:p>
    <w:p w14:paraId="55EF89AA" w14:textId="78D5034E" w:rsidR="009E5E56" w:rsidRDefault="009E5E56" w:rsidP="004D749E">
      <w:r>
        <w:t xml:space="preserve">En cuanto al formato de las anotaciones, se incluye un ejemplo que muestra la obtención de una entidad de tipo “Gene </w:t>
      </w:r>
      <w:proofErr w:type="spellStart"/>
      <w:r>
        <w:t>Ontology</w:t>
      </w:r>
      <w:proofErr w:type="spellEnd"/>
      <w:r>
        <w:t xml:space="preserve">” proporcionada directamente por </w:t>
      </w:r>
      <w:proofErr w:type="spellStart"/>
      <w:r>
        <w:t>Europe</w:t>
      </w:r>
      <w:proofErr w:type="spellEnd"/>
      <w:r>
        <w:t xml:space="preserve"> PMC. Se puede observar que dicha anotación (la 1.181 del artículo) se proporciona contextualizada (</w:t>
      </w:r>
      <w:proofErr w:type="spellStart"/>
      <w:r>
        <w:t>prefix</w:t>
      </w:r>
      <w:proofErr w:type="spellEnd"/>
      <w:r>
        <w:t>/</w:t>
      </w:r>
      <w:proofErr w:type="spellStart"/>
      <w:r>
        <w:t>postfix</w:t>
      </w:r>
      <w:proofErr w:type="spellEnd"/>
      <w:r>
        <w:t>), y se incluye tanto la entidad precisa (PTP1B) como el tipo de entidad de la que se trata (</w:t>
      </w:r>
      <w:proofErr w:type="spellStart"/>
      <w:r>
        <w:t>Gene_Proteins</w:t>
      </w:r>
      <w:proofErr w:type="spellEnd"/>
      <w:r>
        <w:t>).</w:t>
      </w:r>
    </w:p>
    <w:p w14:paraId="54B5D496" w14:textId="1EECCEBC" w:rsidR="009E5E56" w:rsidRDefault="009E5E56" w:rsidP="004D749E">
      <w:r w:rsidRPr="009E5E56">
        <w:drawing>
          <wp:inline distT="0" distB="0" distL="0" distR="0" wp14:anchorId="2F008DF4" wp14:editId="73CC2968">
            <wp:extent cx="5727700" cy="2117090"/>
            <wp:effectExtent l="0" t="0" r="0" b="3810"/>
            <wp:docPr id="6" name="Picture 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117090"/>
                    </a:xfrm>
                    <a:prstGeom prst="rect">
                      <a:avLst/>
                    </a:prstGeom>
                  </pic:spPr>
                </pic:pic>
              </a:graphicData>
            </a:graphic>
          </wp:inline>
        </w:drawing>
      </w:r>
    </w:p>
    <w:p w14:paraId="7DC3BE76" w14:textId="6308CC77" w:rsidR="009E5E56" w:rsidRDefault="009E5E56" w:rsidP="004D749E">
      <w:r>
        <w:t xml:space="preserve">Cabe notar que la precisión de las anotaciones está fuera del propósito de </w:t>
      </w:r>
      <w:proofErr w:type="spellStart"/>
      <w:r>
        <w:t>Europe</w:t>
      </w:r>
      <w:proofErr w:type="spellEnd"/>
      <w:r>
        <w:t xml:space="preserve"> PMC por lo que resultar posible notar un elevado número de fallos que sugiere mostrar cierta cautela a la hora de usarlas al menos de manera exclusiva. A modo de ejemplo, obsérvense las anotaciones 1154 a 1157 para el mismo artículo. A pesar de que las entidades obtenidas pueden resultar de utilidad podemos comprobar que:</w:t>
      </w:r>
    </w:p>
    <w:p w14:paraId="6398D64F" w14:textId="3980C03B" w:rsidR="009E5E56" w:rsidRDefault="009E5E56" w:rsidP="009E5E56">
      <w:pPr>
        <w:pStyle w:val="ListParagraph"/>
        <w:numPr>
          <w:ilvl w:val="0"/>
          <w:numId w:val="4"/>
        </w:numPr>
      </w:pPr>
      <w:r>
        <w:t>El tipo de entidad es erróneo en 3 de las 4 anotaciones</w:t>
      </w:r>
    </w:p>
    <w:p w14:paraId="1B5B69EF" w14:textId="6422DDEB" w:rsidR="009E5E56" w:rsidRDefault="009E5E56" w:rsidP="009E5E56">
      <w:pPr>
        <w:pStyle w:val="ListParagraph"/>
        <w:numPr>
          <w:ilvl w:val="0"/>
          <w:numId w:val="4"/>
        </w:numPr>
      </w:pPr>
      <w:r>
        <w:t>Se pierden palabras que podrían resultar relevantes para un modelado de tópicos (</w:t>
      </w:r>
      <w:proofErr w:type="spellStart"/>
      <w:r>
        <w:t>diabetic</w:t>
      </w:r>
      <w:proofErr w:type="spellEnd"/>
      <w:r>
        <w:t>).</w:t>
      </w:r>
    </w:p>
    <w:p w14:paraId="2668F31A" w14:textId="669C198B" w:rsidR="009E5E56" w:rsidRDefault="009E5E56" w:rsidP="009E5E56">
      <w:pPr>
        <w:jc w:val="center"/>
      </w:pPr>
      <w:r w:rsidRPr="009E5E56">
        <w:lastRenderedPageBreak/>
        <w:drawing>
          <wp:inline distT="0" distB="0" distL="0" distR="0" wp14:anchorId="0D8CD433" wp14:editId="7882205B">
            <wp:extent cx="4591130" cy="5076202"/>
            <wp:effectExtent l="0" t="0" r="635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5202" cy="5080704"/>
                    </a:xfrm>
                    <a:prstGeom prst="rect">
                      <a:avLst/>
                    </a:prstGeom>
                  </pic:spPr>
                </pic:pic>
              </a:graphicData>
            </a:graphic>
          </wp:inline>
        </w:drawing>
      </w:r>
    </w:p>
    <w:p w14:paraId="4EB10F6C" w14:textId="7937A98D" w:rsidR="009E5E56" w:rsidRDefault="004419F9" w:rsidP="004419F9">
      <w:pPr>
        <w:pStyle w:val="Heading1"/>
      </w:pPr>
      <w:r>
        <w:t xml:space="preserve">Ampliación del </w:t>
      </w:r>
      <w:proofErr w:type="spellStart"/>
      <w:r>
        <w:t>dataset</w:t>
      </w:r>
      <w:proofErr w:type="spellEnd"/>
      <w:r>
        <w:t xml:space="preserve"> para entrenamiento </w:t>
      </w:r>
      <w:proofErr w:type="spellStart"/>
      <w:r>
        <w:t xml:space="preserve">de </w:t>
      </w:r>
      <w:proofErr w:type="spellEnd"/>
      <w:r>
        <w:t>los modelos de tópicos</w:t>
      </w:r>
    </w:p>
    <w:p w14:paraId="12E25EC7" w14:textId="20B9990E" w:rsidR="00F07AB5" w:rsidRDefault="004419F9" w:rsidP="004D749E">
      <w:r>
        <w:t xml:space="preserve">Vamos a estudiar distintos procedimientos de ampliación del </w:t>
      </w:r>
      <w:proofErr w:type="spellStart"/>
      <w:r>
        <w:t>dataset</w:t>
      </w:r>
      <w:proofErr w:type="spellEnd"/>
      <w:r>
        <w:t>, con el objetivo de generar un conjunto de artículos más extenso sobre el que poder aplicar con garantías el algoritmo de extracción automática de tópicos.</w:t>
      </w:r>
      <w:r w:rsidR="00BE02C7">
        <w:t xml:space="preserve"> En concreto, se han implementado los dos siguientes métodos de extensión:</w:t>
      </w:r>
    </w:p>
    <w:p w14:paraId="01D71CC5" w14:textId="106B12E9" w:rsidR="00BE02C7" w:rsidRDefault="00BE02C7" w:rsidP="00BE02C7">
      <w:pPr>
        <w:pStyle w:val="ListParagraph"/>
        <w:numPr>
          <w:ilvl w:val="0"/>
          <w:numId w:val="4"/>
        </w:numPr>
      </w:pPr>
      <w:r>
        <w:t xml:space="preserve">Incorporar las referencias de los 127 artículos del </w:t>
      </w:r>
      <w:proofErr w:type="spellStart"/>
      <w:r>
        <w:t>dataset</w:t>
      </w:r>
      <w:proofErr w:type="spellEnd"/>
      <w:r>
        <w:t xml:space="preserve"> base</w:t>
      </w:r>
    </w:p>
    <w:p w14:paraId="76C13933" w14:textId="340405E6" w:rsidR="00BE02C7" w:rsidRDefault="00BE02C7" w:rsidP="00BE02C7">
      <w:pPr>
        <w:pStyle w:val="ListParagraph"/>
        <w:numPr>
          <w:ilvl w:val="0"/>
          <w:numId w:val="4"/>
        </w:numPr>
      </w:pPr>
      <w:r>
        <w:t xml:space="preserve">Incorporar todos los artículos </w:t>
      </w:r>
      <w:proofErr w:type="spellStart"/>
      <w:r>
        <w:t>co</w:t>
      </w:r>
      <w:proofErr w:type="spellEnd"/>
      <w:r>
        <w:t xml:space="preserve">-autorizados por los autores de los 127 artículos del </w:t>
      </w:r>
      <w:proofErr w:type="spellStart"/>
      <w:r>
        <w:t>dataset</w:t>
      </w:r>
      <w:proofErr w:type="spellEnd"/>
      <w:r>
        <w:t xml:space="preserve"> base</w:t>
      </w:r>
    </w:p>
    <w:p w14:paraId="19631941" w14:textId="4AB4040E" w:rsidR="00BE02C7" w:rsidRDefault="00BE02C7" w:rsidP="00BE02C7">
      <w:r>
        <w:t xml:space="preserve">El motivo por el que se han seleccionado estas estrategias es por resultar de sencilla implementación a partir de la información disponible en </w:t>
      </w:r>
      <w:proofErr w:type="spellStart"/>
      <w:r>
        <w:t>Semantic</w:t>
      </w:r>
      <w:proofErr w:type="spellEnd"/>
      <w:r>
        <w:t xml:space="preserve"> </w:t>
      </w:r>
      <w:proofErr w:type="spellStart"/>
      <w:r>
        <w:t>Scholar</w:t>
      </w:r>
      <w:proofErr w:type="spellEnd"/>
      <w:r>
        <w:t xml:space="preserve">, además de proporcionar la representación más completa a la que podemos tener acceso de la producción científica de los autores del conjunto de entrenamiento. Otras estrategias posibles que no se han implementado, pero podrían explorarse en caso necesario, serían ampliar con artículos de revistas seleccionadas (por </w:t>
      </w:r>
      <w:proofErr w:type="gramStart"/>
      <w:r>
        <w:t>ejemplo</w:t>
      </w:r>
      <w:proofErr w:type="gramEnd"/>
      <w:r>
        <w:t xml:space="preserve"> a partir del catálogo de la </w:t>
      </w:r>
      <w:proofErr w:type="spellStart"/>
      <w:r>
        <w:rPr>
          <w:i/>
          <w:iCs/>
        </w:rPr>
        <w:t>National</w:t>
      </w:r>
      <w:proofErr w:type="spellEnd"/>
      <w:r>
        <w:rPr>
          <w:i/>
          <w:iCs/>
        </w:rPr>
        <w:t xml:space="preserve"> </w:t>
      </w:r>
      <w:proofErr w:type="spellStart"/>
      <w:r>
        <w:rPr>
          <w:i/>
          <w:iCs/>
        </w:rPr>
        <w:t>Agriculture</w:t>
      </w:r>
      <w:proofErr w:type="spellEnd"/>
      <w:r>
        <w:rPr>
          <w:i/>
          <w:iCs/>
        </w:rPr>
        <w:t xml:space="preserve"> Library</w:t>
      </w:r>
      <w:r>
        <w:rPr>
          <w:rStyle w:val="FootnoteReference"/>
        </w:rPr>
        <w:footnoteReference w:id="1"/>
      </w:r>
      <w:r>
        <w:t xml:space="preserve">) o utilizar alguna medida de distancias (como BM25) para seleccionar artículos similares a los del </w:t>
      </w:r>
      <w:proofErr w:type="spellStart"/>
      <w:r>
        <w:t>dataset</w:t>
      </w:r>
      <w:proofErr w:type="spellEnd"/>
      <w:r>
        <w:t xml:space="preserve"> base.</w:t>
      </w:r>
    </w:p>
    <w:p w14:paraId="770C577D" w14:textId="191B007E" w:rsidR="00BE02C7" w:rsidRDefault="00BE02C7" w:rsidP="00BE02C7">
      <w:r>
        <w:lastRenderedPageBreak/>
        <w:t xml:space="preserve">Sobre las dos estrategias implementadas, hay que tomar una serie de precauciones a la hora de construir el </w:t>
      </w:r>
      <w:proofErr w:type="spellStart"/>
      <w:r>
        <w:t>dataset</w:t>
      </w:r>
      <w:proofErr w:type="spellEnd"/>
      <w:r>
        <w:t xml:space="preserve"> ampliado:</w:t>
      </w:r>
    </w:p>
    <w:p w14:paraId="3BEEB2FF" w14:textId="715872BD" w:rsidR="00BE02C7" w:rsidRDefault="009756BC" w:rsidP="00BE02C7">
      <w:pPr>
        <w:pStyle w:val="ListParagraph"/>
        <w:numPr>
          <w:ilvl w:val="0"/>
          <w:numId w:val="4"/>
        </w:numPr>
      </w:pPr>
      <w:r>
        <w:t>No incluir artículos repetidos, ya que muchos artículos pueden aparecer múltiples veces en las referencias y/o autorías</w:t>
      </w:r>
    </w:p>
    <w:p w14:paraId="6936B392" w14:textId="092789E8" w:rsidR="009756BC" w:rsidRDefault="009756BC" w:rsidP="00BE02C7">
      <w:pPr>
        <w:pStyle w:val="ListParagraph"/>
        <w:numPr>
          <w:ilvl w:val="0"/>
          <w:numId w:val="4"/>
        </w:numPr>
      </w:pPr>
      <w:r>
        <w:t xml:space="preserve">Verificar que los artículos dispongan de </w:t>
      </w:r>
      <w:proofErr w:type="spellStart"/>
      <w:r>
        <w:t>Abstract</w:t>
      </w:r>
      <w:proofErr w:type="spellEnd"/>
      <w:r>
        <w:t>, necesario para poder hacer el análisis de tópicos.</w:t>
      </w:r>
    </w:p>
    <w:p w14:paraId="4CE231E4" w14:textId="776CD4BB" w:rsidR="009756BC" w:rsidRPr="00BE02C7" w:rsidRDefault="009756BC" w:rsidP="00BE02C7">
      <w:pPr>
        <w:pStyle w:val="ListParagraph"/>
        <w:numPr>
          <w:ilvl w:val="0"/>
          <w:numId w:val="4"/>
        </w:numPr>
      </w:pPr>
      <w:r>
        <w:t xml:space="preserve">Verificar que se dispone de PMID. Aunque no es imprescindible, permite cruzar con la base de datos de </w:t>
      </w:r>
      <w:proofErr w:type="spellStart"/>
      <w:r>
        <w:t>EuropePMC</w:t>
      </w:r>
      <w:proofErr w:type="spellEnd"/>
      <w:r>
        <w:t xml:space="preserve"> y descargar las anotaciones asociadas a los artículos.</w:t>
      </w:r>
    </w:p>
    <w:tbl>
      <w:tblPr>
        <w:tblStyle w:val="GridTable5Dark-Accent2"/>
        <w:tblW w:w="0" w:type="auto"/>
        <w:tblLook w:val="04A0" w:firstRow="1" w:lastRow="0" w:firstColumn="1" w:lastColumn="0" w:noHBand="0" w:noVBand="1"/>
      </w:tblPr>
      <w:tblGrid>
        <w:gridCol w:w="1802"/>
        <w:gridCol w:w="1802"/>
        <w:gridCol w:w="1802"/>
        <w:gridCol w:w="1802"/>
        <w:gridCol w:w="1802"/>
      </w:tblGrid>
      <w:tr w:rsidR="009756BC" w14:paraId="362CAE44" w14:textId="77777777" w:rsidTr="00975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6BEC1236" w14:textId="77777777" w:rsidR="009756BC" w:rsidRDefault="009756BC" w:rsidP="00BE02C7"/>
        </w:tc>
        <w:tc>
          <w:tcPr>
            <w:tcW w:w="1802" w:type="dxa"/>
          </w:tcPr>
          <w:p w14:paraId="5A839023" w14:textId="7DBC086D" w:rsidR="009756BC" w:rsidRDefault="009756BC" w:rsidP="00BE02C7">
            <w:pPr>
              <w:cnfStyle w:val="100000000000" w:firstRow="1" w:lastRow="0" w:firstColumn="0" w:lastColumn="0" w:oddVBand="0" w:evenVBand="0" w:oddHBand="0" w:evenHBand="0" w:firstRowFirstColumn="0" w:firstRowLastColumn="0" w:lastRowFirstColumn="0" w:lastRowLastColumn="0"/>
            </w:pPr>
            <w:r>
              <w:t>Artículos únicos</w:t>
            </w:r>
          </w:p>
        </w:tc>
        <w:tc>
          <w:tcPr>
            <w:tcW w:w="1802" w:type="dxa"/>
          </w:tcPr>
          <w:p w14:paraId="043D6590" w14:textId="33B95EE2" w:rsidR="009756BC" w:rsidRDefault="009756BC" w:rsidP="00BE02C7">
            <w:pPr>
              <w:cnfStyle w:val="100000000000" w:firstRow="1" w:lastRow="0" w:firstColumn="0" w:lastColumn="0" w:oddVBand="0" w:evenVBand="0" w:oddHBand="0" w:evenHBand="0" w:firstRowFirstColumn="0" w:firstRowLastColumn="0" w:lastRowFirstColumn="0" w:lastRowLastColumn="0"/>
            </w:pPr>
            <w:r>
              <w:t>Con PMID</w:t>
            </w:r>
          </w:p>
        </w:tc>
        <w:tc>
          <w:tcPr>
            <w:tcW w:w="1802" w:type="dxa"/>
          </w:tcPr>
          <w:p w14:paraId="426DE66E" w14:textId="198892D9" w:rsidR="009756BC" w:rsidRDefault="009756BC" w:rsidP="00BE02C7">
            <w:pPr>
              <w:cnfStyle w:val="100000000000" w:firstRow="1" w:lastRow="0" w:firstColumn="0" w:lastColumn="0" w:oddVBand="0" w:evenVBand="0" w:oddHBand="0" w:evenHBand="0" w:firstRowFirstColumn="0" w:firstRowLastColumn="0" w:lastRowFirstColumn="0" w:lastRowLastColumn="0"/>
            </w:pPr>
            <w:r>
              <w:t xml:space="preserve">Con </w:t>
            </w:r>
            <w:proofErr w:type="spellStart"/>
            <w:r>
              <w:t>Abstract</w:t>
            </w:r>
            <w:proofErr w:type="spellEnd"/>
          </w:p>
        </w:tc>
        <w:tc>
          <w:tcPr>
            <w:tcW w:w="1802" w:type="dxa"/>
          </w:tcPr>
          <w:p w14:paraId="0D2DEEBE" w14:textId="7211650B" w:rsidR="009756BC" w:rsidRDefault="009756BC" w:rsidP="00BE02C7">
            <w:pPr>
              <w:cnfStyle w:val="100000000000" w:firstRow="1" w:lastRow="0" w:firstColumn="0" w:lastColumn="0" w:oddVBand="0" w:evenVBand="0" w:oddHBand="0" w:evenHBand="0" w:firstRowFirstColumn="0" w:firstRowLastColumn="0" w:lastRowFirstColumn="0" w:lastRowLastColumn="0"/>
            </w:pPr>
            <w:r>
              <w:t xml:space="preserve">Con PMID y </w:t>
            </w:r>
            <w:proofErr w:type="spellStart"/>
            <w:r>
              <w:t>Abstract</w:t>
            </w:r>
            <w:proofErr w:type="spellEnd"/>
          </w:p>
        </w:tc>
      </w:tr>
      <w:tr w:rsidR="009756BC" w14:paraId="29095F7A" w14:textId="77777777" w:rsidTr="00975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62D1D2B6" w14:textId="77777777" w:rsidR="009756BC" w:rsidRDefault="009756BC" w:rsidP="00BE02C7">
            <w:pPr>
              <w:rPr>
                <w:b w:val="0"/>
                <w:bCs w:val="0"/>
              </w:rPr>
            </w:pPr>
            <w:r>
              <w:t>Autorías (847</w:t>
            </w:r>
          </w:p>
          <w:p w14:paraId="6B2625DE" w14:textId="268D79B1" w:rsidR="009756BC" w:rsidRPr="009756BC" w:rsidRDefault="009756BC" w:rsidP="00BE02C7">
            <w:pPr>
              <w:rPr>
                <w:b w:val="0"/>
                <w:bCs w:val="0"/>
              </w:rPr>
            </w:pPr>
            <w:r>
              <w:t>autores únicos)</w:t>
            </w:r>
          </w:p>
        </w:tc>
        <w:tc>
          <w:tcPr>
            <w:tcW w:w="1802" w:type="dxa"/>
          </w:tcPr>
          <w:p w14:paraId="31879436" w14:textId="5702D1C8" w:rsidR="009756BC" w:rsidRDefault="009756BC" w:rsidP="00BE02C7">
            <w:pPr>
              <w:cnfStyle w:val="000000100000" w:firstRow="0" w:lastRow="0" w:firstColumn="0" w:lastColumn="0" w:oddVBand="0" w:evenVBand="0" w:oddHBand="1" w:evenHBand="0" w:firstRowFirstColumn="0" w:firstRowLastColumn="0" w:lastRowFirstColumn="0" w:lastRowLastColumn="0"/>
            </w:pPr>
            <w:r>
              <w:t>54.102</w:t>
            </w:r>
          </w:p>
        </w:tc>
        <w:tc>
          <w:tcPr>
            <w:tcW w:w="1802" w:type="dxa"/>
          </w:tcPr>
          <w:p w14:paraId="394D9816" w14:textId="44C3673F" w:rsidR="009756BC" w:rsidRDefault="009756BC" w:rsidP="00BE02C7">
            <w:pPr>
              <w:cnfStyle w:val="000000100000" w:firstRow="0" w:lastRow="0" w:firstColumn="0" w:lastColumn="0" w:oddVBand="0" w:evenVBand="0" w:oddHBand="1" w:evenHBand="0" w:firstRowFirstColumn="0" w:firstRowLastColumn="0" w:lastRowFirstColumn="0" w:lastRowLastColumn="0"/>
            </w:pPr>
            <w:r>
              <w:t>22.114</w:t>
            </w:r>
          </w:p>
        </w:tc>
        <w:tc>
          <w:tcPr>
            <w:tcW w:w="1802" w:type="dxa"/>
          </w:tcPr>
          <w:p w14:paraId="70D04DDE" w14:textId="4B0C4575" w:rsidR="009756BC" w:rsidRDefault="00FC7E57" w:rsidP="00BE02C7">
            <w:pPr>
              <w:cnfStyle w:val="000000100000" w:firstRow="0" w:lastRow="0" w:firstColumn="0" w:lastColumn="0" w:oddVBand="0" w:evenVBand="0" w:oddHBand="1" w:evenHBand="0" w:firstRowFirstColumn="0" w:firstRowLastColumn="0" w:lastRowFirstColumn="0" w:lastRowLastColumn="0"/>
            </w:pPr>
            <w:r>
              <w:t>43.390</w:t>
            </w:r>
          </w:p>
        </w:tc>
        <w:tc>
          <w:tcPr>
            <w:tcW w:w="1802" w:type="dxa"/>
          </w:tcPr>
          <w:p w14:paraId="0248419A" w14:textId="1245BCD8" w:rsidR="009756BC" w:rsidRDefault="00C64016" w:rsidP="00BE02C7">
            <w:pPr>
              <w:cnfStyle w:val="000000100000" w:firstRow="0" w:lastRow="0" w:firstColumn="0" w:lastColumn="0" w:oddVBand="0" w:evenVBand="0" w:oddHBand="1" w:evenHBand="0" w:firstRowFirstColumn="0" w:firstRowLastColumn="0" w:lastRowFirstColumn="0" w:lastRowLastColumn="0"/>
            </w:pPr>
            <w:r>
              <w:t>21.610</w:t>
            </w:r>
          </w:p>
        </w:tc>
      </w:tr>
      <w:tr w:rsidR="009756BC" w14:paraId="42FA52E1" w14:textId="77777777" w:rsidTr="009756BC">
        <w:tc>
          <w:tcPr>
            <w:cnfStyle w:val="001000000000" w:firstRow="0" w:lastRow="0" w:firstColumn="1" w:lastColumn="0" w:oddVBand="0" w:evenVBand="0" w:oddHBand="0" w:evenHBand="0" w:firstRowFirstColumn="0" w:firstRowLastColumn="0" w:lastRowFirstColumn="0" w:lastRowLastColumn="0"/>
            <w:tcW w:w="1802" w:type="dxa"/>
          </w:tcPr>
          <w:p w14:paraId="67A09D71" w14:textId="3F3727CF" w:rsidR="009756BC" w:rsidRDefault="009756BC" w:rsidP="00BE02C7">
            <w:r>
              <w:t>Referencias</w:t>
            </w:r>
          </w:p>
        </w:tc>
        <w:tc>
          <w:tcPr>
            <w:tcW w:w="1802" w:type="dxa"/>
          </w:tcPr>
          <w:p w14:paraId="17C4EBE5" w14:textId="0BB42017" w:rsidR="009756BC" w:rsidRDefault="009756BC" w:rsidP="00BE02C7">
            <w:pPr>
              <w:cnfStyle w:val="000000000000" w:firstRow="0" w:lastRow="0" w:firstColumn="0" w:lastColumn="0" w:oddVBand="0" w:evenVBand="0" w:oddHBand="0" w:evenHBand="0" w:firstRowFirstColumn="0" w:firstRowLastColumn="0" w:lastRowFirstColumn="0" w:lastRowLastColumn="0"/>
            </w:pPr>
            <w:r>
              <w:t>9.234</w:t>
            </w:r>
          </w:p>
        </w:tc>
        <w:tc>
          <w:tcPr>
            <w:tcW w:w="1802" w:type="dxa"/>
          </w:tcPr>
          <w:p w14:paraId="789A5C9F" w14:textId="5341B970" w:rsidR="009756BC" w:rsidRDefault="009756BC" w:rsidP="00BE02C7">
            <w:pPr>
              <w:cnfStyle w:val="000000000000" w:firstRow="0" w:lastRow="0" w:firstColumn="0" w:lastColumn="0" w:oddVBand="0" w:evenVBand="0" w:oddHBand="0" w:evenHBand="0" w:firstRowFirstColumn="0" w:firstRowLastColumn="0" w:lastRowFirstColumn="0" w:lastRowLastColumn="0"/>
            </w:pPr>
            <w:r>
              <w:t>4.877</w:t>
            </w:r>
          </w:p>
        </w:tc>
        <w:tc>
          <w:tcPr>
            <w:tcW w:w="1802" w:type="dxa"/>
          </w:tcPr>
          <w:p w14:paraId="54E034F3" w14:textId="23D766FF" w:rsidR="009756BC" w:rsidRDefault="00C64016" w:rsidP="00BE02C7">
            <w:pPr>
              <w:cnfStyle w:val="000000000000" w:firstRow="0" w:lastRow="0" w:firstColumn="0" w:lastColumn="0" w:oddVBand="0" w:evenVBand="0" w:oddHBand="0" w:evenHBand="0" w:firstRowFirstColumn="0" w:firstRowLastColumn="0" w:lastRowFirstColumn="0" w:lastRowLastColumn="0"/>
            </w:pPr>
            <w:r>
              <w:t>8.688</w:t>
            </w:r>
          </w:p>
        </w:tc>
        <w:tc>
          <w:tcPr>
            <w:tcW w:w="1802" w:type="dxa"/>
          </w:tcPr>
          <w:p w14:paraId="385C2B6A" w14:textId="5476C98A" w:rsidR="009756BC" w:rsidRDefault="00C64016" w:rsidP="00BE02C7">
            <w:pPr>
              <w:cnfStyle w:val="000000000000" w:firstRow="0" w:lastRow="0" w:firstColumn="0" w:lastColumn="0" w:oddVBand="0" w:evenVBand="0" w:oddHBand="0" w:evenHBand="0" w:firstRowFirstColumn="0" w:firstRowLastColumn="0" w:lastRowFirstColumn="0" w:lastRowLastColumn="0"/>
            </w:pPr>
            <w:r>
              <w:t>4.833</w:t>
            </w:r>
          </w:p>
        </w:tc>
      </w:tr>
    </w:tbl>
    <w:p w14:paraId="2236A683" w14:textId="2A91E3A9" w:rsidR="00BE02C7" w:rsidRDefault="00BE02C7" w:rsidP="00BE02C7"/>
    <w:p w14:paraId="39D7A4FC" w14:textId="7E58B45F" w:rsidR="009756BC" w:rsidRDefault="009756BC" w:rsidP="00BE02C7">
      <w:proofErr w:type="gramStart"/>
      <w:r>
        <w:t>De acuerdo a</w:t>
      </w:r>
      <w:proofErr w:type="gramEnd"/>
      <w:r>
        <w:t xml:space="preserve"> los números que se presentan en la tabla de arriba, </w:t>
      </w:r>
      <w:r w:rsidR="00C64016">
        <w:t xml:space="preserve">queda patente que un elevado porcentaje de los artículos seleccionados disponen de un </w:t>
      </w:r>
      <w:proofErr w:type="spellStart"/>
      <w:r w:rsidR="00C64016">
        <w:t>abstract</w:t>
      </w:r>
      <w:proofErr w:type="spellEnd"/>
      <w:r w:rsidR="00C64016">
        <w:t xml:space="preserve">, siendo la disponibilidad de un PMID una condición más restrictiva. Por este motivo, se pueden considerar dos criterios diferentes para generar un </w:t>
      </w:r>
      <w:proofErr w:type="spellStart"/>
      <w:r w:rsidR="00C64016">
        <w:t>dataset</w:t>
      </w:r>
      <w:proofErr w:type="spellEnd"/>
      <w:r w:rsidR="00C64016">
        <w:t xml:space="preserve"> extendido:</w:t>
      </w:r>
    </w:p>
    <w:p w14:paraId="7BE66016" w14:textId="3A7BD8DE" w:rsidR="009756BC" w:rsidRDefault="00C64016" w:rsidP="00F16E85">
      <w:pPr>
        <w:pStyle w:val="IntenseQuote"/>
        <w:ind w:left="1134" w:right="1082"/>
        <w:rPr>
          <w:rStyle w:val="Emphasis"/>
          <w:b/>
          <w:bCs/>
          <w:i w:val="0"/>
          <w:iCs w:val="0"/>
          <w:sz w:val="22"/>
          <w:szCs w:val="22"/>
          <w:bdr w:val="none" w:sz="0" w:space="0" w:color="auto"/>
          <w:shd w:val="clear" w:color="auto" w:fill="auto"/>
        </w:rPr>
      </w:pPr>
      <w:r>
        <w:rPr>
          <w:rStyle w:val="Emphasis"/>
          <w:b/>
          <w:bCs/>
          <w:i w:val="0"/>
          <w:iCs w:val="0"/>
          <w:sz w:val="22"/>
          <w:szCs w:val="22"/>
          <w:bdr w:val="none" w:sz="0" w:space="0" w:color="auto"/>
          <w:shd w:val="clear" w:color="auto" w:fill="auto"/>
        </w:rPr>
        <w:t>El</w:t>
      </w:r>
      <w:r w:rsidR="009756BC" w:rsidRPr="00F16E85">
        <w:rPr>
          <w:rStyle w:val="Emphasis"/>
          <w:b/>
          <w:bCs/>
          <w:i w:val="0"/>
          <w:iCs w:val="0"/>
          <w:sz w:val="22"/>
          <w:szCs w:val="22"/>
          <w:bdr w:val="none" w:sz="0" w:space="0" w:color="auto"/>
          <w:shd w:val="clear" w:color="auto" w:fill="auto"/>
        </w:rPr>
        <w:t xml:space="preserve"> número total de </w:t>
      </w:r>
      <w:r>
        <w:rPr>
          <w:rStyle w:val="Emphasis"/>
          <w:b/>
          <w:bCs/>
          <w:i w:val="0"/>
          <w:iCs w:val="0"/>
          <w:sz w:val="22"/>
          <w:szCs w:val="22"/>
          <w:bdr w:val="none" w:sz="0" w:space="0" w:color="auto"/>
          <w:shd w:val="clear" w:color="auto" w:fill="auto"/>
        </w:rPr>
        <w:t xml:space="preserve">artículos en el </w:t>
      </w:r>
      <w:proofErr w:type="spellStart"/>
      <w:r>
        <w:rPr>
          <w:rStyle w:val="Emphasis"/>
          <w:b/>
          <w:bCs/>
          <w:i w:val="0"/>
          <w:iCs w:val="0"/>
          <w:sz w:val="22"/>
          <w:szCs w:val="22"/>
          <w:bdr w:val="none" w:sz="0" w:space="0" w:color="auto"/>
          <w:shd w:val="clear" w:color="auto" w:fill="auto"/>
        </w:rPr>
        <w:t>dataset</w:t>
      </w:r>
      <w:proofErr w:type="spellEnd"/>
      <w:r>
        <w:rPr>
          <w:rStyle w:val="Emphasis"/>
          <w:b/>
          <w:bCs/>
          <w:i w:val="0"/>
          <w:iCs w:val="0"/>
          <w:sz w:val="22"/>
          <w:szCs w:val="22"/>
          <w:bdr w:val="none" w:sz="0" w:space="0" w:color="auto"/>
          <w:shd w:val="clear" w:color="auto" w:fill="auto"/>
        </w:rPr>
        <w:t xml:space="preserve"> extendido es de 51</w:t>
      </w:r>
      <w:r w:rsidR="009756BC" w:rsidRPr="00F16E85">
        <w:rPr>
          <w:rStyle w:val="Emphasis"/>
          <w:b/>
          <w:bCs/>
          <w:i w:val="0"/>
          <w:iCs w:val="0"/>
          <w:sz w:val="22"/>
          <w:szCs w:val="22"/>
          <w:bdr w:val="none" w:sz="0" w:space="0" w:color="auto"/>
          <w:shd w:val="clear" w:color="auto" w:fill="auto"/>
        </w:rPr>
        <w:t>.</w:t>
      </w:r>
      <w:r>
        <w:rPr>
          <w:rStyle w:val="Emphasis"/>
          <w:b/>
          <w:bCs/>
          <w:i w:val="0"/>
          <w:iCs w:val="0"/>
          <w:sz w:val="22"/>
          <w:szCs w:val="22"/>
          <w:bdr w:val="none" w:sz="0" w:space="0" w:color="auto"/>
          <w:shd w:val="clear" w:color="auto" w:fill="auto"/>
        </w:rPr>
        <w:t>042</w:t>
      </w:r>
      <w:r w:rsidR="009756BC" w:rsidRPr="00F16E85">
        <w:rPr>
          <w:rStyle w:val="Emphasis"/>
          <w:b/>
          <w:bCs/>
          <w:i w:val="0"/>
          <w:iCs w:val="0"/>
          <w:sz w:val="22"/>
          <w:szCs w:val="22"/>
          <w:bdr w:val="none" w:sz="0" w:space="0" w:color="auto"/>
          <w:shd w:val="clear" w:color="auto" w:fill="auto"/>
        </w:rPr>
        <w:t xml:space="preserve"> artículos </w:t>
      </w:r>
      <w:r>
        <w:rPr>
          <w:rStyle w:val="Emphasis"/>
          <w:b/>
          <w:bCs/>
          <w:i w:val="0"/>
          <w:iCs w:val="0"/>
          <w:sz w:val="22"/>
          <w:szCs w:val="22"/>
          <w:bdr w:val="none" w:sz="0" w:space="0" w:color="auto"/>
          <w:shd w:val="clear" w:color="auto" w:fill="auto"/>
        </w:rPr>
        <w:t xml:space="preserve">cuando se seleccionan artículos con </w:t>
      </w:r>
      <w:proofErr w:type="spellStart"/>
      <w:r>
        <w:rPr>
          <w:rStyle w:val="Emphasis"/>
          <w:b/>
          <w:bCs/>
          <w:i w:val="0"/>
          <w:iCs w:val="0"/>
          <w:sz w:val="22"/>
          <w:szCs w:val="22"/>
          <w:bdr w:val="none" w:sz="0" w:space="0" w:color="auto"/>
          <w:shd w:val="clear" w:color="auto" w:fill="auto"/>
        </w:rPr>
        <w:t>abstract</w:t>
      </w:r>
      <w:proofErr w:type="spellEnd"/>
      <w:r>
        <w:rPr>
          <w:rStyle w:val="Emphasis"/>
          <w:b/>
          <w:bCs/>
          <w:i w:val="0"/>
          <w:iCs w:val="0"/>
          <w:sz w:val="22"/>
          <w:szCs w:val="22"/>
          <w:bdr w:val="none" w:sz="0" w:space="0" w:color="auto"/>
          <w:shd w:val="clear" w:color="auto" w:fill="auto"/>
        </w:rPr>
        <w:t xml:space="preserve">, y de 25.792 si se seleccionan artículos con </w:t>
      </w:r>
      <w:proofErr w:type="spellStart"/>
      <w:r>
        <w:rPr>
          <w:rStyle w:val="Emphasis"/>
          <w:b/>
          <w:bCs/>
          <w:i w:val="0"/>
          <w:iCs w:val="0"/>
          <w:sz w:val="22"/>
          <w:szCs w:val="22"/>
          <w:bdr w:val="none" w:sz="0" w:space="0" w:color="auto"/>
          <w:shd w:val="clear" w:color="auto" w:fill="auto"/>
        </w:rPr>
        <w:t>abstract</w:t>
      </w:r>
      <w:proofErr w:type="spellEnd"/>
      <w:r>
        <w:rPr>
          <w:rStyle w:val="Emphasis"/>
          <w:b/>
          <w:bCs/>
          <w:i w:val="0"/>
          <w:iCs w:val="0"/>
          <w:sz w:val="22"/>
          <w:szCs w:val="22"/>
          <w:bdr w:val="none" w:sz="0" w:space="0" w:color="auto"/>
          <w:shd w:val="clear" w:color="auto" w:fill="auto"/>
        </w:rPr>
        <w:t xml:space="preserve"> y PMID.</w:t>
      </w:r>
    </w:p>
    <w:p w14:paraId="56A138B7" w14:textId="23A97CD1" w:rsidR="00C64016" w:rsidRDefault="00C64016" w:rsidP="00C64016">
      <w:pPr>
        <w:rPr>
          <w:rStyle w:val="IntenseReference"/>
        </w:rPr>
      </w:pPr>
      <w:r>
        <w:rPr>
          <w:rStyle w:val="IntenseReference"/>
        </w:rPr>
        <w:t>D</w:t>
      </w:r>
      <w:r>
        <w:rPr>
          <w:rStyle w:val="IntenseReference"/>
        </w:rPr>
        <w:t>istribución de los artículos por año de publicación</w:t>
      </w:r>
    </w:p>
    <w:p w14:paraId="43583FFE" w14:textId="6471638F" w:rsidR="00882529" w:rsidRDefault="00882529" w:rsidP="00882529">
      <w:r>
        <w:t xml:space="preserve">En primer </w:t>
      </w:r>
      <w:proofErr w:type="gramStart"/>
      <w:r>
        <w:t>lugar</w:t>
      </w:r>
      <w:proofErr w:type="gramEnd"/>
      <w:r>
        <w:t xml:space="preserve"> vamos a analizar la distribución de los artículos del </w:t>
      </w:r>
      <w:proofErr w:type="spellStart"/>
      <w:r>
        <w:t>dataset</w:t>
      </w:r>
      <w:proofErr w:type="spellEnd"/>
      <w:r>
        <w:t xml:space="preserve"> base y ampliado según el año de publicación. El siguiente diagrama de barras muestra que los artículos facilitados han sido publicados entre 2012 y 2019, aumentando el número de artículos disponibles según el año de publicación. </w:t>
      </w:r>
    </w:p>
    <w:p w14:paraId="323F9710" w14:textId="6D053EDC" w:rsidR="00882529" w:rsidRDefault="00882529" w:rsidP="00882529">
      <w:pPr>
        <w:jc w:val="center"/>
      </w:pPr>
      <w:r>
        <w:rPr>
          <w:noProof/>
        </w:rPr>
        <w:drawing>
          <wp:inline distT="0" distB="0" distL="0" distR="0" wp14:anchorId="3EFA0281" wp14:editId="183EEC3A">
            <wp:extent cx="3304803" cy="205099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4803" cy="2050990"/>
                    </a:xfrm>
                    <a:prstGeom prst="rect">
                      <a:avLst/>
                    </a:prstGeom>
                  </pic:spPr>
                </pic:pic>
              </a:graphicData>
            </a:graphic>
          </wp:inline>
        </w:drawing>
      </w:r>
    </w:p>
    <w:p w14:paraId="7D497CEC" w14:textId="612E3A7B" w:rsidR="00882529" w:rsidRDefault="00882529" w:rsidP="00882529">
      <w:r>
        <w:t xml:space="preserve">Al analizar la distribución para los artículos del </w:t>
      </w:r>
      <w:proofErr w:type="spellStart"/>
      <w:r>
        <w:t>dataset</w:t>
      </w:r>
      <w:proofErr w:type="spellEnd"/>
      <w:r>
        <w:t xml:space="preserve"> ampliado vemos que dicha tendencia “creciente” es de hecho propia de la distribución de artículos en </w:t>
      </w:r>
      <w:proofErr w:type="spellStart"/>
      <w:r>
        <w:t>Semantic</w:t>
      </w:r>
      <w:proofErr w:type="spellEnd"/>
      <w:r>
        <w:t xml:space="preserve"> </w:t>
      </w:r>
      <w:proofErr w:type="spellStart"/>
      <w:r>
        <w:t>Scholar</w:t>
      </w:r>
      <w:proofErr w:type="spellEnd"/>
      <w:r>
        <w:t xml:space="preserve"> (y probablemente de</w:t>
      </w:r>
      <w:r w:rsidR="00B85FC0">
        <w:t xml:space="preserve">l número de publicaciones científicas en general). Se observa además un comportamiento muy similar de las publicaciones con y sin PMID (con </w:t>
      </w:r>
      <w:proofErr w:type="spellStart"/>
      <w:r w:rsidR="00B85FC0">
        <w:t>Abstract</w:t>
      </w:r>
      <w:proofErr w:type="spellEnd"/>
      <w:r w:rsidR="00B85FC0">
        <w:t xml:space="preserve"> en ambos casos).</w:t>
      </w:r>
    </w:p>
    <w:p w14:paraId="45866802" w14:textId="1FF70B0E" w:rsidR="00B85FC0" w:rsidRDefault="00B85FC0" w:rsidP="00882529">
      <w:r>
        <w:t xml:space="preserve">Finalmente, al analizar el eje horizontal vemos que existen publicaciones muy antiguas (incluso de 1.805) y algunas con fecha sin definir (9.999 en la figura). Se ha decido conservar en el </w:t>
      </w:r>
      <w:proofErr w:type="spellStart"/>
      <w:r>
        <w:t>dataset</w:t>
      </w:r>
      <w:proofErr w:type="spellEnd"/>
      <w:r>
        <w:t xml:space="preserve"> únicamente los artículos </w:t>
      </w:r>
      <w:r>
        <w:lastRenderedPageBreak/>
        <w:t xml:space="preserve">con fecha definida y posterior al año 2.000, lo que supone un muy pequeño decremento en el número de artículos disponibles en el </w:t>
      </w:r>
      <w:proofErr w:type="spellStart"/>
      <w:r>
        <w:t>dataset</w:t>
      </w:r>
      <w:proofErr w:type="spellEnd"/>
      <w:r>
        <w:t xml:space="preserve"> ampliado.</w:t>
      </w:r>
    </w:p>
    <w:p w14:paraId="62E19595" w14:textId="40F92CFC" w:rsidR="00C64016" w:rsidRPr="00C64016" w:rsidRDefault="00882529" w:rsidP="00882529">
      <w:pPr>
        <w:jc w:val="center"/>
      </w:pPr>
      <w:r>
        <w:rPr>
          <w:noProof/>
        </w:rPr>
        <w:drawing>
          <wp:inline distT="0" distB="0" distL="0" distR="0" wp14:anchorId="75DA3913" wp14:editId="4FCC8793">
            <wp:extent cx="3889451" cy="24953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454" cy="2523603"/>
                    </a:xfrm>
                    <a:prstGeom prst="rect">
                      <a:avLst/>
                    </a:prstGeom>
                  </pic:spPr>
                </pic:pic>
              </a:graphicData>
            </a:graphic>
          </wp:inline>
        </w:drawing>
      </w:r>
    </w:p>
    <w:p w14:paraId="56F775E9" w14:textId="62C333C6" w:rsidR="00B85FC0" w:rsidRDefault="00B85FC0" w:rsidP="00B85FC0">
      <w:pPr>
        <w:pStyle w:val="IntenseQuote"/>
        <w:ind w:left="1134" w:right="1082"/>
        <w:rPr>
          <w:rStyle w:val="Emphasis"/>
          <w:b/>
          <w:bCs/>
          <w:i w:val="0"/>
          <w:iCs w:val="0"/>
          <w:sz w:val="22"/>
          <w:szCs w:val="22"/>
          <w:bdr w:val="none" w:sz="0" w:space="0" w:color="auto"/>
          <w:shd w:val="clear" w:color="auto" w:fill="auto"/>
        </w:rPr>
      </w:pPr>
      <w:r>
        <w:rPr>
          <w:rStyle w:val="Emphasis"/>
          <w:b/>
          <w:bCs/>
          <w:i w:val="0"/>
          <w:iCs w:val="0"/>
          <w:sz w:val="22"/>
          <w:szCs w:val="22"/>
          <w:bdr w:val="none" w:sz="0" w:space="0" w:color="auto"/>
          <w:shd w:val="clear" w:color="auto" w:fill="auto"/>
        </w:rPr>
        <w:t>Tras filtrar por año, el</w:t>
      </w:r>
      <w:r w:rsidRPr="00F16E85">
        <w:rPr>
          <w:rStyle w:val="Emphasis"/>
          <w:b/>
          <w:bCs/>
          <w:i w:val="0"/>
          <w:iCs w:val="0"/>
          <w:sz w:val="22"/>
          <w:szCs w:val="22"/>
          <w:bdr w:val="none" w:sz="0" w:space="0" w:color="auto"/>
          <w:shd w:val="clear" w:color="auto" w:fill="auto"/>
        </w:rPr>
        <w:t xml:space="preserve"> número total de </w:t>
      </w:r>
      <w:r>
        <w:rPr>
          <w:rStyle w:val="Emphasis"/>
          <w:b/>
          <w:bCs/>
          <w:i w:val="0"/>
          <w:iCs w:val="0"/>
          <w:sz w:val="22"/>
          <w:szCs w:val="22"/>
          <w:bdr w:val="none" w:sz="0" w:space="0" w:color="auto"/>
          <w:shd w:val="clear" w:color="auto" w:fill="auto"/>
        </w:rPr>
        <w:t xml:space="preserve">artículos en el </w:t>
      </w:r>
      <w:proofErr w:type="spellStart"/>
      <w:r>
        <w:rPr>
          <w:rStyle w:val="Emphasis"/>
          <w:b/>
          <w:bCs/>
          <w:i w:val="0"/>
          <w:iCs w:val="0"/>
          <w:sz w:val="22"/>
          <w:szCs w:val="22"/>
          <w:bdr w:val="none" w:sz="0" w:space="0" w:color="auto"/>
          <w:shd w:val="clear" w:color="auto" w:fill="auto"/>
        </w:rPr>
        <w:t>dataset</w:t>
      </w:r>
      <w:proofErr w:type="spellEnd"/>
      <w:r>
        <w:rPr>
          <w:rStyle w:val="Emphasis"/>
          <w:b/>
          <w:bCs/>
          <w:i w:val="0"/>
          <w:iCs w:val="0"/>
          <w:sz w:val="22"/>
          <w:szCs w:val="22"/>
          <w:bdr w:val="none" w:sz="0" w:space="0" w:color="auto"/>
          <w:shd w:val="clear" w:color="auto" w:fill="auto"/>
        </w:rPr>
        <w:t xml:space="preserve"> extendido es de </w:t>
      </w:r>
      <w:r w:rsidR="009F2E4C">
        <w:rPr>
          <w:rStyle w:val="Emphasis"/>
          <w:b/>
          <w:bCs/>
          <w:i w:val="0"/>
          <w:iCs w:val="0"/>
          <w:sz w:val="22"/>
          <w:szCs w:val="22"/>
          <w:bdr w:val="none" w:sz="0" w:space="0" w:color="auto"/>
          <w:shd w:val="clear" w:color="auto" w:fill="auto"/>
        </w:rPr>
        <w:t>4</w:t>
      </w:r>
      <w:r w:rsidR="009A65BB">
        <w:rPr>
          <w:rStyle w:val="Emphasis"/>
          <w:b/>
          <w:bCs/>
          <w:i w:val="0"/>
          <w:iCs w:val="0"/>
          <w:sz w:val="22"/>
          <w:szCs w:val="22"/>
          <w:bdr w:val="none" w:sz="0" w:space="0" w:color="auto"/>
          <w:shd w:val="clear" w:color="auto" w:fill="auto"/>
        </w:rPr>
        <w:t>7.065</w:t>
      </w:r>
      <w:r w:rsidRPr="00F16E85">
        <w:rPr>
          <w:rStyle w:val="Emphasis"/>
          <w:b/>
          <w:bCs/>
          <w:i w:val="0"/>
          <w:iCs w:val="0"/>
          <w:sz w:val="22"/>
          <w:szCs w:val="22"/>
          <w:bdr w:val="none" w:sz="0" w:space="0" w:color="auto"/>
          <w:shd w:val="clear" w:color="auto" w:fill="auto"/>
        </w:rPr>
        <w:t xml:space="preserve"> artículos </w:t>
      </w:r>
      <w:r>
        <w:rPr>
          <w:rStyle w:val="Emphasis"/>
          <w:b/>
          <w:bCs/>
          <w:i w:val="0"/>
          <w:iCs w:val="0"/>
          <w:sz w:val="22"/>
          <w:szCs w:val="22"/>
          <w:bdr w:val="none" w:sz="0" w:space="0" w:color="auto"/>
          <w:shd w:val="clear" w:color="auto" w:fill="auto"/>
        </w:rPr>
        <w:t xml:space="preserve">cuando se seleccionan artículos con </w:t>
      </w:r>
      <w:proofErr w:type="spellStart"/>
      <w:r>
        <w:rPr>
          <w:rStyle w:val="Emphasis"/>
          <w:b/>
          <w:bCs/>
          <w:i w:val="0"/>
          <w:iCs w:val="0"/>
          <w:sz w:val="22"/>
          <w:szCs w:val="22"/>
          <w:bdr w:val="none" w:sz="0" w:space="0" w:color="auto"/>
          <w:shd w:val="clear" w:color="auto" w:fill="auto"/>
        </w:rPr>
        <w:t>abstract</w:t>
      </w:r>
      <w:proofErr w:type="spellEnd"/>
      <w:r>
        <w:rPr>
          <w:rStyle w:val="Emphasis"/>
          <w:b/>
          <w:bCs/>
          <w:i w:val="0"/>
          <w:iCs w:val="0"/>
          <w:sz w:val="22"/>
          <w:szCs w:val="22"/>
          <w:bdr w:val="none" w:sz="0" w:space="0" w:color="auto"/>
          <w:shd w:val="clear" w:color="auto" w:fill="auto"/>
        </w:rPr>
        <w:t xml:space="preserve">, y de </w:t>
      </w:r>
      <w:r w:rsidR="009A65BB">
        <w:rPr>
          <w:rStyle w:val="Emphasis"/>
          <w:b/>
          <w:bCs/>
          <w:i w:val="0"/>
          <w:iCs w:val="0"/>
          <w:sz w:val="22"/>
          <w:szCs w:val="22"/>
          <w:bdr w:val="none" w:sz="0" w:space="0" w:color="auto"/>
          <w:shd w:val="clear" w:color="auto" w:fill="auto"/>
        </w:rPr>
        <w:t>24.450</w:t>
      </w:r>
      <w:r>
        <w:rPr>
          <w:rStyle w:val="Emphasis"/>
          <w:b/>
          <w:bCs/>
          <w:i w:val="0"/>
          <w:iCs w:val="0"/>
          <w:sz w:val="22"/>
          <w:szCs w:val="22"/>
          <w:bdr w:val="none" w:sz="0" w:space="0" w:color="auto"/>
          <w:shd w:val="clear" w:color="auto" w:fill="auto"/>
        </w:rPr>
        <w:t xml:space="preserve"> si se seleccionan artículos con </w:t>
      </w:r>
      <w:proofErr w:type="spellStart"/>
      <w:r>
        <w:rPr>
          <w:rStyle w:val="Emphasis"/>
          <w:b/>
          <w:bCs/>
          <w:i w:val="0"/>
          <w:iCs w:val="0"/>
          <w:sz w:val="22"/>
          <w:szCs w:val="22"/>
          <w:bdr w:val="none" w:sz="0" w:space="0" w:color="auto"/>
          <w:shd w:val="clear" w:color="auto" w:fill="auto"/>
        </w:rPr>
        <w:t>abstract</w:t>
      </w:r>
      <w:proofErr w:type="spellEnd"/>
      <w:r>
        <w:rPr>
          <w:rStyle w:val="Emphasis"/>
          <w:b/>
          <w:bCs/>
          <w:i w:val="0"/>
          <w:iCs w:val="0"/>
          <w:sz w:val="22"/>
          <w:szCs w:val="22"/>
          <w:bdr w:val="none" w:sz="0" w:space="0" w:color="auto"/>
          <w:shd w:val="clear" w:color="auto" w:fill="auto"/>
        </w:rPr>
        <w:t xml:space="preserve"> y PMID.</w:t>
      </w:r>
    </w:p>
    <w:p w14:paraId="01F55DF5" w14:textId="1A22A7B7" w:rsidR="00C64016" w:rsidRPr="00C64016" w:rsidRDefault="00C64016" w:rsidP="00C64016"/>
    <w:p w14:paraId="7FB1336A" w14:textId="26333400" w:rsidR="004500B8" w:rsidRDefault="004500B8" w:rsidP="004500B8">
      <w:pPr>
        <w:rPr>
          <w:rStyle w:val="IntenseReference"/>
        </w:rPr>
      </w:pPr>
      <w:r>
        <w:rPr>
          <w:rStyle w:val="IntenseReference"/>
        </w:rPr>
        <w:t xml:space="preserve">Distribución de los artículos por </w:t>
      </w:r>
      <w:r>
        <w:rPr>
          <w:rStyle w:val="IntenseReference"/>
        </w:rPr>
        <w:t>campo de estudio</w:t>
      </w:r>
    </w:p>
    <w:p w14:paraId="5E8515D9" w14:textId="3F8E20FD" w:rsidR="00F07AB5" w:rsidRDefault="004500B8" w:rsidP="004D749E">
      <w:r>
        <w:rPr>
          <w:noProof/>
        </w:rPr>
        <w:drawing>
          <wp:anchor distT="0" distB="0" distL="114300" distR="114300" simplePos="0" relativeHeight="251658240" behindDoc="0" locked="0" layoutInCell="1" allowOverlap="1" wp14:anchorId="6C8CA90A" wp14:editId="2ED765BE">
            <wp:simplePos x="0" y="0"/>
            <wp:positionH relativeFrom="column">
              <wp:posOffset>2742945</wp:posOffset>
            </wp:positionH>
            <wp:positionV relativeFrom="paragraph">
              <wp:posOffset>1008938</wp:posOffset>
            </wp:positionV>
            <wp:extent cx="2973705" cy="25584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3705" cy="2558415"/>
                    </a:xfrm>
                    <a:prstGeom prst="rect">
                      <a:avLst/>
                    </a:prstGeom>
                  </pic:spPr>
                </pic:pic>
              </a:graphicData>
            </a:graphic>
            <wp14:sizeRelH relativeFrom="page">
              <wp14:pctWidth>0</wp14:pctWidth>
            </wp14:sizeRelH>
            <wp14:sizeRelV relativeFrom="page">
              <wp14:pctHeight>0</wp14:pctHeight>
            </wp14:sizeRelV>
          </wp:anchor>
        </w:drawing>
      </w:r>
      <w:r>
        <w:t xml:space="preserve">Es importante notar que la identificación de autores y referencias en </w:t>
      </w:r>
      <w:proofErr w:type="spellStart"/>
      <w:r>
        <w:t>Semantic</w:t>
      </w:r>
      <w:proofErr w:type="spellEnd"/>
      <w:r>
        <w:t xml:space="preserve"> </w:t>
      </w:r>
      <w:proofErr w:type="spellStart"/>
      <w:r>
        <w:t>Scholar</w:t>
      </w:r>
      <w:proofErr w:type="spellEnd"/>
      <w:r>
        <w:t xml:space="preserve"> es un procedimiento automatizado que por tanto puede estar sujeto a ciertos errores. Por este motivo, conviene realizar cuantas validaciones sean posibles para eliminar algunos artículos susceptibles de haber sido seleccionados de manera incorrecta. A tal fin, disponemos del campo </w:t>
      </w:r>
      <w:proofErr w:type="spellStart"/>
      <w:r>
        <w:t>fieldsOfStudy</w:t>
      </w:r>
      <w:proofErr w:type="spellEnd"/>
      <w:r>
        <w:t xml:space="preserve"> que proporciona la temática principal o temáticas principales del artículo, inferida de forma automática.</w:t>
      </w:r>
    </w:p>
    <w:p w14:paraId="69A50370" w14:textId="50CD04B1" w:rsidR="004500B8" w:rsidRDefault="004500B8" w:rsidP="004D749E">
      <w:r>
        <w:t xml:space="preserve">La figura adjunta muestra la distribución de los valores en el campo </w:t>
      </w:r>
      <w:proofErr w:type="spellStart"/>
      <w:r>
        <w:t>fieldsOfStudy</w:t>
      </w:r>
      <w:proofErr w:type="spellEnd"/>
      <w:r>
        <w:t xml:space="preserve"> para los 127 artículos que componen la base de datos básica de </w:t>
      </w:r>
      <w:proofErr w:type="spellStart"/>
      <w:r>
        <w:t>Semantic</w:t>
      </w:r>
      <w:proofErr w:type="spellEnd"/>
      <w:r>
        <w:t xml:space="preserve"> </w:t>
      </w:r>
      <w:proofErr w:type="spellStart"/>
      <w:r>
        <w:t>Scholar</w:t>
      </w:r>
      <w:proofErr w:type="spellEnd"/>
      <w:r>
        <w:t xml:space="preserve">. Podemos comprobar que la totalidad de los artículos pertenecen al campo </w:t>
      </w:r>
      <w:r w:rsidRPr="004500B8">
        <w:rPr>
          <w:i/>
          <w:iCs/>
        </w:rPr>
        <w:t>Medicine</w:t>
      </w:r>
      <w:r>
        <w:t xml:space="preserve">, y que una buena cantidad de </w:t>
      </w:r>
      <w:proofErr w:type="gramStart"/>
      <w:r>
        <w:t>los mismos</w:t>
      </w:r>
      <w:proofErr w:type="gramEnd"/>
      <w:r>
        <w:t xml:space="preserve"> han sido asignados también al campo </w:t>
      </w:r>
      <w:proofErr w:type="spellStart"/>
      <w:r>
        <w:rPr>
          <w:i/>
          <w:iCs/>
        </w:rPr>
        <w:t>Biology</w:t>
      </w:r>
      <w:proofErr w:type="spellEnd"/>
      <w:r>
        <w:t xml:space="preserve">. Aparecen además otros campos de estudio en mucha menor proporción, y siempre en combinación con la asignación a </w:t>
      </w:r>
      <w:r>
        <w:rPr>
          <w:i/>
          <w:iCs/>
        </w:rPr>
        <w:t>Medicine</w:t>
      </w:r>
      <w:r>
        <w:t xml:space="preserve">. Por lo tanto, parece razonable exigir a los artículos del </w:t>
      </w:r>
      <w:proofErr w:type="spellStart"/>
      <w:r>
        <w:t>dataset</w:t>
      </w:r>
      <w:proofErr w:type="spellEnd"/>
      <w:r>
        <w:t xml:space="preserve"> ampliado una temática similar a los del </w:t>
      </w:r>
      <w:proofErr w:type="spellStart"/>
      <w:r>
        <w:t>dataset</w:t>
      </w:r>
      <w:proofErr w:type="spellEnd"/>
      <w:r>
        <w:t xml:space="preserve"> básico.</w:t>
      </w:r>
    </w:p>
    <w:p w14:paraId="6439D184" w14:textId="608CF41F" w:rsidR="004500B8" w:rsidRDefault="004500B8" w:rsidP="004D749E">
      <w:r>
        <w:t>Realizando un análisis similar sobre el conjunto completo de datos del conjunto extendido obtenemos la distribución temática que se muestra en la siguiente figura</w:t>
      </w:r>
    </w:p>
    <w:p w14:paraId="1A7E3DC7" w14:textId="4CFBA6CC" w:rsidR="004500B8" w:rsidRPr="004500B8" w:rsidRDefault="004500B8" w:rsidP="004D749E">
      <w:r>
        <w:rPr>
          <w:noProof/>
        </w:rPr>
        <w:lastRenderedPageBreak/>
        <w:drawing>
          <wp:inline distT="0" distB="0" distL="0" distR="0" wp14:anchorId="6D3AAD6F" wp14:editId="7A8DD8A4">
            <wp:extent cx="5727700" cy="3597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597275"/>
                    </a:xfrm>
                    <a:prstGeom prst="rect">
                      <a:avLst/>
                    </a:prstGeom>
                  </pic:spPr>
                </pic:pic>
              </a:graphicData>
            </a:graphic>
          </wp:inline>
        </w:drawing>
      </w:r>
    </w:p>
    <w:p w14:paraId="3158F508" w14:textId="03E6EAF2" w:rsidR="004500B8" w:rsidRDefault="004500B8" w:rsidP="004D749E">
      <w:r>
        <w:t xml:space="preserve">Vemos que, nuevamente las temáticas de </w:t>
      </w:r>
      <w:r>
        <w:rPr>
          <w:i/>
          <w:iCs/>
        </w:rPr>
        <w:t>Medicine</w:t>
      </w:r>
      <w:r>
        <w:t xml:space="preserve"> y </w:t>
      </w:r>
      <w:proofErr w:type="spellStart"/>
      <w:r>
        <w:rPr>
          <w:i/>
          <w:iCs/>
        </w:rPr>
        <w:t>Biology</w:t>
      </w:r>
      <w:proofErr w:type="spellEnd"/>
      <w:r>
        <w:t xml:space="preserve"> son muy mayoritarias. De hecho, la etiqueta </w:t>
      </w:r>
      <w:r w:rsidR="0076606D">
        <w:rPr>
          <w:i/>
          <w:iCs/>
        </w:rPr>
        <w:t>Medicine</w:t>
      </w:r>
      <w:r w:rsidR="0076606D">
        <w:t xml:space="preserve"> está nuevamente presente en la práctica totalidad de los artículos con PMID (24.429 de 24.450), lo que sugiere que existe una muy alta correlación entre los artículos con PMID y la aparición de dicha etiqueta. </w:t>
      </w:r>
      <w:r w:rsidR="00136D44">
        <w:t xml:space="preserve">Sin embargo, un alto número de artículos con </w:t>
      </w:r>
      <w:proofErr w:type="spellStart"/>
      <w:r w:rsidR="00136D44">
        <w:t>abstract</w:t>
      </w:r>
      <w:proofErr w:type="spellEnd"/>
      <w:r w:rsidR="00136D44">
        <w:t xml:space="preserve"> (algunos con PMID y otros no) presentan las etiquetas </w:t>
      </w:r>
      <w:proofErr w:type="spellStart"/>
      <w:r w:rsidR="00136D44">
        <w:rPr>
          <w:i/>
          <w:iCs/>
        </w:rPr>
        <w:t>Biology</w:t>
      </w:r>
      <w:proofErr w:type="spellEnd"/>
      <w:r w:rsidR="00136D44">
        <w:rPr>
          <w:i/>
          <w:iCs/>
        </w:rPr>
        <w:t xml:space="preserve"> </w:t>
      </w:r>
      <w:r w:rsidR="00136D44">
        <w:t xml:space="preserve">o </w:t>
      </w:r>
      <w:proofErr w:type="spellStart"/>
      <w:r w:rsidR="00136D44">
        <w:rPr>
          <w:i/>
          <w:iCs/>
        </w:rPr>
        <w:t>Chemistry</w:t>
      </w:r>
      <w:proofErr w:type="spellEnd"/>
      <w:r w:rsidR="00136D44">
        <w:t xml:space="preserve"> sin incluir también la de </w:t>
      </w:r>
      <w:r w:rsidR="00136D44">
        <w:rPr>
          <w:i/>
          <w:iCs/>
        </w:rPr>
        <w:t>Medicine</w:t>
      </w:r>
      <w:r w:rsidR="00136D44">
        <w:t xml:space="preserve"> (diferencia de altura entre las barras azul y naranja).</w:t>
      </w:r>
    </w:p>
    <w:p w14:paraId="4CCFE6F5" w14:textId="40303987" w:rsidR="00136D44" w:rsidRPr="00B90548" w:rsidRDefault="00136D44" w:rsidP="004D749E">
      <w:r>
        <w:t xml:space="preserve">Por lo tanto, hemos decidido conservar los artículos que contienen alguna de las tres etiquetas con alta presencia en la base de datos con PMID: </w:t>
      </w:r>
      <w:r>
        <w:rPr>
          <w:i/>
          <w:iCs/>
        </w:rPr>
        <w:t xml:space="preserve">Medicine, </w:t>
      </w:r>
      <w:proofErr w:type="spellStart"/>
      <w:r>
        <w:rPr>
          <w:i/>
          <w:iCs/>
        </w:rPr>
        <w:t>Biology</w:t>
      </w:r>
      <w:proofErr w:type="spellEnd"/>
      <w:r>
        <w:rPr>
          <w:i/>
          <w:iCs/>
        </w:rPr>
        <w:t xml:space="preserve"> y </w:t>
      </w:r>
      <w:proofErr w:type="spellStart"/>
      <w:r>
        <w:rPr>
          <w:i/>
          <w:iCs/>
        </w:rPr>
        <w:t>Chemistry</w:t>
      </w:r>
      <w:proofErr w:type="spellEnd"/>
      <w:r>
        <w:rPr>
          <w:i/>
          <w:iCs/>
        </w:rPr>
        <w:t>.</w:t>
      </w:r>
      <w:r w:rsidR="00B90548">
        <w:t xml:space="preserve"> La siguiente figura muestra la reducción en la aparición del resto de etiquetas, y muestra que en la mayoría de los casos los artículos que las contienen no forman parte de ninguna de las temáticas seleccionadas como nucleares del </w:t>
      </w:r>
      <w:proofErr w:type="spellStart"/>
      <w:r w:rsidR="00B90548">
        <w:t>dataset</w:t>
      </w:r>
      <w:proofErr w:type="spellEnd"/>
      <w:r w:rsidR="00B90548">
        <w:t>.</w:t>
      </w:r>
    </w:p>
    <w:p w14:paraId="5C686F0E" w14:textId="151BC204" w:rsidR="00F07AB5" w:rsidRDefault="00B90548" w:rsidP="00B90548">
      <w:pPr>
        <w:jc w:val="center"/>
      </w:pPr>
      <w:r>
        <w:rPr>
          <w:noProof/>
        </w:rPr>
        <w:drawing>
          <wp:inline distT="0" distB="0" distL="0" distR="0" wp14:anchorId="0E5F5EEF" wp14:editId="2A34D050">
            <wp:extent cx="4735202" cy="297393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8729" cy="2994994"/>
                    </a:xfrm>
                    <a:prstGeom prst="rect">
                      <a:avLst/>
                    </a:prstGeom>
                  </pic:spPr>
                </pic:pic>
              </a:graphicData>
            </a:graphic>
          </wp:inline>
        </w:drawing>
      </w:r>
    </w:p>
    <w:p w14:paraId="64EEE25A" w14:textId="507B2B79" w:rsidR="00B90548" w:rsidRDefault="00B90548" w:rsidP="00B90548">
      <w:r>
        <w:lastRenderedPageBreak/>
        <w:t xml:space="preserve">Por este motivo, decidimos </w:t>
      </w:r>
      <w:r w:rsidR="00637E2B">
        <w:t xml:space="preserve">incorporar el filtrado por temáticas para garantizar un </w:t>
      </w:r>
      <w:proofErr w:type="spellStart"/>
      <w:r w:rsidR="00637E2B">
        <w:t>dataset</w:t>
      </w:r>
      <w:proofErr w:type="spellEnd"/>
      <w:r w:rsidR="00637E2B">
        <w:t xml:space="preserve"> extendido más homogéneo. Como resultado, el </w:t>
      </w:r>
      <w:proofErr w:type="spellStart"/>
      <w:r w:rsidR="00637E2B">
        <w:t>dataset</w:t>
      </w:r>
      <w:proofErr w:type="spellEnd"/>
      <w:r w:rsidR="00637E2B">
        <w:t xml:space="preserve"> extendido formado por artículos con y sin PMID se reduce en torno a un 25%, mientras que el </w:t>
      </w:r>
      <w:proofErr w:type="spellStart"/>
      <w:r w:rsidR="00637E2B">
        <w:t>dataset</w:t>
      </w:r>
      <w:proofErr w:type="spellEnd"/>
      <w:r w:rsidR="00637E2B">
        <w:t xml:space="preserve"> extendido formado por artículos con PMID apenas sufre variación en el número de artículos. Destacamos, además, que el primer </w:t>
      </w:r>
      <w:proofErr w:type="spellStart"/>
      <w:r w:rsidR="00637E2B">
        <w:t>dataset</w:t>
      </w:r>
      <w:proofErr w:type="spellEnd"/>
      <w:r w:rsidR="00637E2B">
        <w:t xml:space="preserve"> extendido es aproximadamente un 50% mayor que el segundo. Estos </w:t>
      </w:r>
      <w:proofErr w:type="spellStart"/>
      <w:r w:rsidR="00637E2B">
        <w:t>datasets</w:t>
      </w:r>
      <w:proofErr w:type="spellEnd"/>
      <w:r w:rsidR="00637E2B">
        <w:t xml:space="preserve"> constituyen la selección final sobre la que ejecutaremos los modelos para extracción automática de tópicos.</w:t>
      </w:r>
    </w:p>
    <w:p w14:paraId="589108C5" w14:textId="59952202" w:rsidR="00B90548" w:rsidRDefault="00B90548" w:rsidP="00B90548">
      <w:pPr>
        <w:pStyle w:val="IntenseQuote"/>
        <w:ind w:left="1134" w:right="1082"/>
        <w:rPr>
          <w:rStyle w:val="Emphasis"/>
          <w:b/>
          <w:bCs/>
          <w:i w:val="0"/>
          <w:iCs w:val="0"/>
          <w:sz w:val="22"/>
          <w:szCs w:val="22"/>
          <w:bdr w:val="none" w:sz="0" w:space="0" w:color="auto"/>
          <w:shd w:val="clear" w:color="auto" w:fill="auto"/>
        </w:rPr>
      </w:pPr>
      <w:r>
        <w:rPr>
          <w:rStyle w:val="Emphasis"/>
          <w:b/>
          <w:bCs/>
          <w:i w:val="0"/>
          <w:iCs w:val="0"/>
          <w:sz w:val="22"/>
          <w:szCs w:val="22"/>
          <w:bdr w:val="none" w:sz="0" w:space="0" w:color="auto"/>
          <w:shd w:val="clear" w:color="auto" w:fill="auto"/>
        </w:rPr>
        <w:t>Tras filtrar por año, el</w:t>
      </w:r>
      <w:r w:rsidRPr="00F16E85">
        <w:rPr>
          <w:rStyle w:val="Emphasis"/>
          <w:b/>
          <w:bCs/>
          <w:i w:val="0"/>
          <w:iCs w:val="0"/>
          <w:sz w:val="22"/>
          <w:szCs w:val="22"/>
          <w:bdr w:val="none" w:sz="0" w:space="0" w:color="auto"/>
          <w:shd w:val="clear" w:color="auto" w:fill="auto"/>
        </w:rPr>
        <w:t xml:space="preserve"> número total de </w:t>
      </w:r>
      <w:r>
        <w:rPr>
          <w:rStyle w:val="Emphasis"/>
          <w:b/>
          <w:bCs/>
          <w:i w:val="0"/>
          <w:iCs w:val="0"/>
          <w:sz w:val="22"/>
          <w:szCs w:val="22"/>
          <w:bdr w:val="none" w:sz="0" w:space="0" w:color="auto"/>
          <w:shd w:val="clear" w:color="auto" w:fill="auto"/>
        </w:rPr>
        <w:t xml:space="preserve">artículos en el </w:t>
      </w:r>
      <w:proofErr w:type="spellStart"/>
      <w:r>
        <w:rPr>
          <w:rStyle w:val="Emphasis"/>
          <w:b/>
          <w:bCs/>
          <w:i w:val="0"/>
          <w:iCs w:val="0"/>
          <w:sz w:val="22"/>
          <w:szCs w:val="22"/>
          <w:bdr w:val="none" w:sz="0" w:space="0" w:color="auto"/>
          <w:shd w:val="clear" w:color="auto" w:fill="auto"/>
        </w:rPr>
        <w:t>dataset</w:t>
      </w:r>
      <w:proofErr w:type="spellEnd"/>
      <w:r>
        <w:rPr>
          <w:rStyle w:val="Emphasis"/>
          <w:b/>
          <w:bCs/>
          <w:i w:val="0"/>
          <w:iCs w:val="0"/>
          <w:sz w:val="22"/>
          <w:szCs w:val="22"/>
          <w:bdr w:val="none" w:sz="0" w:space="0" w:color="auto"/>
          <w:shd w:val="clear" w:color="auto" w:fill="auto"/>
        </w:rPr>
        <w:t xml:space="preserve"> extendido es de </w:t>
      </w:r>
      <w:r w:rsidRPr="00B90548">
        <w:rPr>
          <w:rStyle w:val="Emphasis"/>
          <w:b/>
          <w:bCs/>
          <w:i w:val="0"/>
          <w:iCs w:val="0"/>
          <w:color w:val="FF0000"/>
          <w:sz w:val="22"/>
          <w:szCs w:val="22"/>
          <w:bdr w:val="none" w:sz="0" w:space="0" w:color="auto"/>
          <w:shd w:val="clear" w:color="auto" w:fill="auto"/>
        </w:rPr>
        <w:t>36</w:t>
      </w:r>
      <w:r w:rsidRPr="00B90548">
        <w:rPr>
          <w:rStyle w:val="Emphasis"/>
          <w:b/>
          <w:bCs/>
          <w:i w:val="0"/>
          <w:iCs w:val="0"/>
          <w:color w:val="FF0000"/>
          <w:sz w:val="22"/>
          <w:szCs w:val="22"/>
          <w:bdr w:val="none" w:sz="0" w:space="0" w:color="auto"/>
          <w:shd w:val="clear" w:color="auto" w:fill="auto"/>
        </w:rPr>
        <w:t>.</w:t>
      </w:r>
      <w:r w:rsidR="00637E2B">
        <w:rPr>
          <w:rStyle w:val="Emphasis"/>
          <w:b/>
          <w:bCs/>
          <w:i w:val="0"/>
          <w:iCs w:val="0"/>
          <w:color w:val="FF0000"/>
          <w:sz w:val="22"/>
          <w:szCs w:val="22"/>
          <w:bdr w:val="none" w:sz="0" w:space="0" w:color="auto"/>
          <w:shd w:val="clear" w:color="auto" w:fill="auto"/>
        </w:rPr>
        <w:t>543</w:t>
      </w:r>
      <w:r w:rsidRPr="00B90548">
        <w:rPr>
          <w:rStyle w:val="Emphasis"/>
          <w:b/>
          <w:bCs/>
          <w:i w:val="0"/>
          <w:iCs w:val="0"/>
          <w:color w:val="FF0000"/>
          <w:sz w:val="22"/>
          <w:szCs w:val="22"/>
          <w:bdr w:val="none" w:sz="0" w:space="0" w:color="auto"/>
          <w:shd w:val="clear" w:color="auto" w:fill="auto"/>
        </w:rPr>
        <w:t xml:space="preserve"> </w:t>
      </w:r>
      <w:r w:rsidRPr="00F16E85">
        <w:rPr>
          <w:rStyle w:val="Emphasis"/>
          <w:b/>
          <w:bCs/>
          <w:i w:val="0"/>
          <w:iCs w:val="0"/>
          <w:sz w:val="22"/>
          <w:szCs w:val="22"/>
          <w:bdr w:val="none" w:sz="0" w:space="0" w:color="auto"/>
          <w:shd w:val="clear" w:color="auto" w:fill="auto"/>
        </w:rPr>
        <w:t xml:space="preserve">artículos </w:t>
      </w:r>
      <w:r>
        <w:rPr>
          <w:rStyle w:val="Emphasis"/>
          <w:b/>
          <w:bCs/>
          <w:i w:val="0"/>
          <w:iCs w:val="0"/>
          <w:sz w:val="22"/>
          <w:szCs w:val="22"/>
          <w:bdr w:val="none" w:sz="0" w:space="0" w:color="auto"/>
          <w:shd w:val="clear" w:color="auto" w:fill="auto"/>
        </w:rPr>
        <w:t xml:space="preserve">cuando se seleccionan artículos con </w:t>
      </w:r>
      <w:proofErr w:type="spellStart"/>
      <w:r>
        <w:rPr>
          <w:rStyle w:val="Emphasis"/>
          <w:b/>
          <w:bCs/>
          <w:i w:val="0"/>
          <w:iCs w:val="0"/>
          <w:sz w:val="22"/>
          <w:szCs w:val="22"/>
          <w:bdr w:val="none" w:sz="0" w:space="0" w:color="auto"/>
          <w:shd w:val="clear" w:color="auto" w:fill="auto"/>
        </w:rPr>
        <w:t>abstract</w:t>
      </w:r>
      <w:proofErr w:type="spellEnd"/>
      <w:r>
        <w:rPr>
          <w:rStyle w:val="Emphasis"/>
          <w:b/>
          <w:bCs/>
          <w:i w:val="0"/>
          <w:iCs w:val="0"/>
          <w:sz w:val="22"/>
          <w:szCs w:val="22"/>
          <w:bdr w:val="none" w:sz="0" w:space="0" w:color="auto"/>
          <w:shd w:val="clear" w:color="auto" w:fill="auto"/>
        </w:rPr>
        <w:t xml:space="preserve">, y de </w:t>
      </w:r>
      <w:r w:rsidRPr="00B90548">
        <w:rPr>
          <w:rStyle w:val="Emphasis"/>
          <w:b/>
          <w:bCs/>
          <w:i w:val="0"/>
          <w:iCs w:val="0"/>
          <w:color w:val="FF0000"/>
          <w:sz w:val="22"/>
          <w:szCs w:val="22"/>
          <w:bdr w:val="none" w:sz="0" w:space="0" w:color="auto"/>
          <w:shd w:val="clear" w:color="auto" w:fill="auto"/>
        </w:rPr>
        <w:t>24.4</w:t>
      </w:r>
      <w:r w:rsidRPr="00B90548">
        <w:rPr>
          <w:rStyle w:val="Emphasis"/>
          <w:b/>
          <w:bCs/>
          <w:i w:val="0"/>
          <w:iCs w:val="0"/>
          <w:color w:val="FF0000"/>
          <w:sz w:val="22"/>
          <w:szCs w:val="22"/>
          <w:bdr w:val="none" w:sz="0" w:space="0" w:color="auto"/>
          <w:shd w:val="clear" w:color="auto" w:fill="auto"/>
        </w:rPr>
        <w:t>48</w:t>
      </w:r>
      <w:r w:rsidRPr="00B90548">
        <w:rPr>
          <w:rStyle w:val="Emphasis"/>
          <w:b/>
          <w:bCs/>
          <w:i w:val="0"/>
          <w:iCs w:val="0"/>
          <w:color w:val="FF0000"/>
          <w:sz w:val="22"/>
          <w:szCs w:val="22"/>
          <w:bdr w:val="none" w:sz="0" w:space="0" w:color="auto"/>
          <w:shd w:val="clear" w:color="auto" w:fill="auto"/>
        </w:rPr>
        <w:t xml:space="preserve"> </w:t>
      </w:r>
      <w:r>
        <w:rPr>
          <w:rStyle w:val="Emphasis"/>
          <w:b/>
          <w:bCs/>
          <w:i w:val="0"/>
          <w:iCs w:val="0"/>
          <w:sz w:val="22"/>
          <w:szCs w:val="22"/>
          <w:bdr w:val="none" w:sz="0" w:space="0" w:color="auto"/>
          <w:shd w:val="clear" w:color="auto" w:fill="auto"/>
        </w:rPr>
        <w:t xml:space="preserve">si se seleccionan artículos con </w:t>
      </w:r>
      <w:proofErr w:type="spellStart"/>
      <w:r>
        <w:rPr>
          <w:rStyle w:val="Emphasis"/>
          <w:b/>
          <w:bCs/>
          <w:i w:val="0"/>
          <w:iCs w:val="0"/>
          <w:sz w:val="22"/>
          <w:szCs w:val="22"/>
          <w:bdr w:val="none" w:sz="0" w:space="0" w:color="auto"/>
          <w:shd w:val="clear" w:color="auto" w:fill="auto"/>
        </w:rPr>
        <w:t>abstract</w:t>
      </w:r>
      <w:proofErr w:type="spellEnd"/>
      <w:r>
        <w:rPr>
          <w:rStyle w:val="Emphasis"/>
          <w:b/>
          <w:bCs/>
          <w:i w:val="0"/>
          <w:iCs w:val="0"/>
          <w:sz w:val="22"/>
          <w:szCs w:val="22"/>
          <w:bdr w:val="none" w:sz="0" w:space="0" w:color="auto"/>
          <w:shd w:val="clear" w:color="auto" w:fill="auto"/>
        </w:rPr>
        <w:t xml:space="preserve"> y PMID.</w:t>
      </w:r>
    </w:p>
    <w:p w14:paraId="158A10DB" w14:textId="456CBB66" w:rsidR="004D749E" w:rsidRDefault="004D749E" w:rsidP="004D749E"/>
    <w:p w14:paraId="6F4E8AF2" w14:textId="02E8E7B1" w:rsidR="00637E2B" w:rsidRDefault="00637E2B" w:rsidP="00637E2B">
      <w:pPr>
        <w:rPr>
          <w:rStyle w:val="IntenseReference"/>
        </w:rPr>
      </w:pPr>
      <w:r>
        <w:rPr>
          <w:rStyle w:val="IntenseReference"/>
        </w:rPr>
        <w:t xml:space="preserve">Distribución </w:t>
      </w:r>
      <w:r>
        <w:rPr>
          <w:rStyle w:val="IntenseReference"/>
        </w:rPr>
        <w:t>Del Número de Artículos por Autor</w:t>
      </w:r>
    </w:p>
    <w:p w14:paraId="6309C07F" w14:textId="61021BC4" w:rsidR="002E4811" w:rsidRDefault="002E4811" w:rsidP="002E4811">
      <w:r>
        <w:t xml:space="preserve">Para la caracterización de cada uno de los 847 autores incluidos en los 127 </w:t>
      </w:r>
      <w:proofErr w:type="spellStart"/>
      <w:r>
        <w:t>papers</w:t>
      </w:r>
      <w:proofErr w:type="spellEnd"/>
      <w:r>
        <w:t xml:space="preserve"> del </w:t>
      </w:r>
      <w:proofErr w:type="spellStart"/>
      <w:r>
        <w:t>dataset</w:t>
      </w:r>
      <w:proofErr w:type="spellEnd"/>
      <w:r>
        <w:t xml:space="preserve"> base utilizaremos el conjunto de artículos autorizados por cada autor disponibles en el conjunto de entrenamiento. Es de esperar que la fiabilidad de las caracterizaciones así obtenidas sea más precisa cuanto mayor sea el número de artículos disponibles para cada autor. La siguiente figura muestra el número de autores que tienen un número de autorías concretos (eje horizontal).  Como es de esperar, al considerar el </w:t>
      </w:r>
      <w:proofErr w:type="spellStart"/>
      <w:r>
        <w:t>dataset</w:t>
      </w:r>
      <w:proofErr w:type="spellEnd"/>
      <w:r>
        <w:t xml:space="preserve"> de </w:t>
      </w:r>
      <w:proofErr w:type="spellStart"/>
      <w:r>
        <w:t>papers</w:t>
      </w:r>
      <w:proofErr w:type="spellEnd"/>
      <w:r>
        <w:t xml:space="preserve"> con PMID el histograma se desplaza hacia la izquierda, es decir, el número promedio de autorías por autor disminuye.</w:t>
      </w:r>
    </w:p>
    <w:p w14:paraId="775E14BD" w14:textId="28F01502" w:rsidR="00637E2B" w:rsidRDefault="00637E2B" w:rsidP="002E4811">
      <w:pPr>
        <w:jc w:val="center"/>
      </w:pPr>
      <w:r>
        <w:rPr>
          <w:noProof/>
        </w:rPr>
        <w:drawing>
          <wp:inline distT="0" distB="0" distL="0" distR="0" wp14:anchorId="3FE78F04" wp14:editId="462716BE">
            <wp:extent cx="4418176" cy="2859079"/>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5616" cy="2863893"/>
                    </a:xfrm>
                    <a:prstGeom prst="rect">
                      <a:avLst/>
                    </a:prstGeom>
                  </pic:spPr>
                </pic:pic>
              </a:graphicData>
            </a:graphic>
          </wp:inline>
        </w:drawing>
      </w:r>
    </w:p>
    <w:p w14:paraId="1D62A94C" w14:textId="360009B2" w:rsidR="002E4811" w:rsidRDefault="002E4811" w:rsidP="002E4811">
      <w:r>
        <w:t xml:space="preserve">Podemos ver que, a pesar de que hay un número relativamente alto de autores con una, dos o tres autorías, el número de autores con entre 5 y 80 </w:t>
      </w:r>
      <w:proofErr w:type="spellStart"/>
      <w:proofErr w:type="gramStart"/>
      <w:r>
        <w:t>co</w:t>
      </w:r>
      <w:proofErr w:type="spellEnd"/>
      <w:r>
        <w:t>-autorías</w:t>
      </w:r>
      <w:proofErr w:type="gramEnd"/>
      <w:r>
        <w:t xml:space="preserve"> es también bastante elevado, lo que suponen condiciones favorables para los algoritmos de caracterización que se utilizarán en nuestra implementación.</w:t>
      </w:r>
    </w:p>
    <w:p w14:paraId="3A80B254" w14:textId="5F689AE3" w:rsidR="002E4811" w:rsidRDefault="002E4811" w:rsidP="002E4811"/>
    <w:p w14:paraId="4B0AF252" w14:textId="7DFF174A" w:rsidR="0006063F" w:rsidRDefault="0006063F" w:rsidP="002E4811"/>
    <w:p w14:paraId="3E2D7A7A" w14:textId="71C07940" w:rsidR="0006063F" w:rsidRDefault="0006063F" w:rsidP="002E4811"/>
    <w:p w14:paraId="73C59601" w14:textId="1347915E" w:rsidR="0006063F" w:rsidRDefault="0006063F" w:rsidP="0006063F">
      <w:pPr>
        <w:pStyle w:val="Heading1"/>
      </w:pPr>
      <w:r>
        <w:lastRenderedPageBreak/>
        <w:t>Generación de los Corpus de Entrenamiento</w:t>
      </w:r>
    </w:p>
    <w:p w14:paraId="7FF891C5" w14:textId="3BA08E74" w:rsidR="0006063F" w:rsidRDefault="0006063F" w:rsidP="002E4811"/>
    <w:p w14:paraId="7D61F5D1" w14:textId="15B512FD" w:rsidR="0006063F" w:rsidRDefault="0006063F" w:rsidP="0006063F">
      <w:pPr>
        <w:pStyle w:val="ListParagraph"/>
        <w:numPr>
          <w:ilvl w:val="0"/>
          <w:numId w:val="5"/>
        </w:numPr>
      </w:pPr>
      <w:r>
        <w:t>Generar corpus / Lematizar</w:t>
      </w:r>
    </w:p>
    <w:p w14:paraId="1985C0AD" w14:textId="57F8C31C" w:rsidR="0006063F" w:rsidRDefault="0006063F" w:rsidP="0006063F">
      <w:pPr>
        <w:pStyle w:val="ListParagraph"/>
        <w:numPr>
          <w:ilvl w:val="0"/>
          <w:numId w:val="5"/>
        </w:numPr>
      </w:pPr>
      <w:r>
        <w:t>Generar un primer modelo</w:t>
      </w:r>
    </w:p>
    <w:p w14:paraId="08D0F267" w14:textId="4DC6A019" w:rsidR="0006063F" w:rsidRDefault="0006063F" w:rsidP="0006063F">
      <w:pPr>
        <w:pStyle w:val="ListParagraph"/>
        <w:numPr>
          <w:ilvl w:val="0"/>
          <w:numId w:val="5"/>
        </w:numPr>
      </w:pPr>
      <w:r>
        <w:t>Exportador de salidas para el proyecto</w:t>
      </w:r>
    </w:p>
    <w:p w14:paraId="1FD712A5" w14:textId="0AC61233" w:rsidR="0006063F" w:rsidRDefault="0006063F" w:rsidP="0006063F">
      <w:pPr>
        <w:pStyle w:val="ListParagraph"/>
        <w:numPr>
          <w:ilvl w:val="0"/>
          <w:numId w:val="5"/>
        </w:numPr>
      </w:pPr>
      <w:r>
        <w:t>Limpiar el vocabulario</w:t>
      </w:r>
    </w:p>
    <w:p w14:paraId="6BB4EC7E" w14:textId="22810583" w:rsidR="0006063F" w:rsidRDefault="0006063F" w:rsidP="0006063F">
      <w:pPr>
        <w:pStyle w:val="ListParagraph"/>
        <w:numPr>
          <w:ilvl w:val="0"/>
          <w:numId w:val="5"/>
        </w:numPr>
      </w:pPr>
      <w:r>
        <w:t>Explorar el número de tópicos</w:t>
      </w:r>
    </w:p>
    <w:p w14:paraId="4ABD2E02" w14:textId="1E53F348" w:rsidR="0006063F" w:rsidRDefault="0006063F" w:rsidP="0006063F">
      <w:pPr>
        <w:pStyle w:val="ListParagraph"/>
        <w:numPr>
          <w:ilvl w:val="0"/>
          <w:numId w:val="5"/>
        </w:numPr>
      </w:pPr>
      <w:r>
        <w:t xml:space="preserve">Explorar con </w:t>
      </w:r>
      <w:proofErr w:type="spellStart"/>
      <w:r>
        <w:t>Termolator</w:t>
      </w:r>
      <w:proofErr w:type="spellEnd"/>
      <w:r>
        <w:t xml:space="preserve"> / </w:t>
      </w:r>
      <w:proofErr w:type="spellStart"/>
      <w:r>
        <w:t>Annotations</w:t>
      </w:r>
      <w:proofErr w:type="spellEnd"/>
    </w:p>
    <w:sectPr w:rsidR="0006063F" w:rsidSect="002908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CA9CF" w14:textId="77777777" w:rsidR="00782119" w:rsidRDefault="00782119" w:rsidP="00BE02C7">
      <w:pPr>
        <w:spacing w:after="0" w:line="240" w:lineRule="auto"/>
      </w:pPr>
      <w:r>
        <w:separator/>
      </w:r>
    </w:p>
  </w:endnote>
  <w:endnote w:type="continuationSeparator" w:id="0">
    <w:p w14:paraId="6303CB32" w14:textId="77777777" w:rsidR="00782119" w:rsidRDefault="00782119" w:rsidP="00BE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A993B" w14:textId="77777777" w:rsidR="00782119" w:rsidRDefault="00782119" w:rsidP="00BE02C7">
      <w:pPr>
        <w:spacing w:after="0" w:line="240" w:lineRule="auto"/>
      </w:pPr>
      <w:r>
        <w:separator/>
      </w:r>
    </w:p>
  </w:footnote>
  <w:footnote w:type="continuationSeparator" w:id="0">
    <w:p w14:paraId="1A4DBF3B" w14:textId="77777777" w:rsidR="00782119" w:rsidRDefault="00782119" w:rsidP="00BE02C7">
      <w:pPr>
        <w:spacing w:after="0" w:line="240" w:lineRule="auto"/>
      </w:pPr>
      <w:r>
        <w:continuationSeparator/>
      </w:r>
    </w:p>
  </w:footnote>
  <w:footnote w:id="1">
    <w:p w14:paraId="148B962B" w14:textId="4EADEE93" w:rsidR="00BE02C7" w:rsidRPr="00BE02C7" w:rsidRDefault="00BE02C7" w:rsidP="00BE02C7">
      <w:pPr>
        <w:jc w:val="left"/>
        <w:rPr>
          <w:lang w:val="en-ES"/>
        </w:rPr>
      </w:pPr>
      <w:r>
        <w:rPr>
          <w:rStyle w:val="FootnoteReference"/>
        </w:rPr>
        <w:footnoteRef/>
      </w:r>
      <w:r>
        <w:t xml:space="preserve"> </w:t>
      </w:r>
      <w:hyperlink r:id="rId1" w:history="1">
        <w:r>
          <w:rPr>
            <w:rStyle w:val="Hyperlink"/>
          </w:rPr>
          <w:t>https://agricola.nal.usda.gov/jia/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E66B3"/>
    <w:multiLevelType w:val="hybridMultilevel"/>
    <w:tmpl w:val="B6125BB8"/>
    <w:lvl w:ilvl="0" w:tplc="998C2A58">
      <w:start w:val="3"/>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A41B43"/>
    <w:multiLevelType w:val="hybridMultilevel"/>
    <w:tmpl w:val="EAF09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516AC"/>
    <w:multiLevelType w:val="hybridMultilevel"/>
    <w:tmpl w:val="022242C6"/>
    <w:lvl w:ilvl="0" w:tplc="18302ACA">
      <w:start w:val="3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3C6702D"/>
    <w:multiLevelType w:val="hybridMultilevel"/>
    <w:tmpl w:val="45B00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FA1C5F"/>
    <w:multiLevelType w:val="hybridMultilevel"/>
    <w:tmpl w:val="22FA12C8"/>
    <w:lvl w:ilvl="0" w:tplc="44B41440">
      <w:start w:val="30"/>
      <w:numFmt w:val="bullet"/>
      <w:lvlText w:val=""/>
      <w:lvlJc w:val="left"/>
      <w:pPr>
        <w:ind w:left="720" w:hanging="360"/>
      </w:pPr>
      <w:rPr>
        <w:rFonts w:ascii="Symbol" w:eastAsiaTheme="minorHAnsi" w:hAnsi="Symbol" w:cstheme="minorBid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40"/>
    <w:rsid w:val="00057BDD"/>
    <w:rsid w:val="0006063F"/>
    <w:rsid w:val="00136D44"/>
    <w:rsid w:val="002908D8"/>
    <w:rsid w:val="002D32AC"/>
    <w:rsid w:val="002E4811"/>
    <w:rsid w:val="00382FFA"/>
    <w:rsid w:val="004419F9"/>
    <w:rsid w:val="004500B8"/>
    <w:rsid w:val="004B3C06"/>
    <w:rsid w:val="004D749E"/>
    <w:rsid w:val="00637E2B"/>
    <w:rsid w:val="007259A1"/>
    <w:rsid w:val="0076606D"/>
    <w:rsid w:val="00782119"/>
    <w:rsid w:val="008526B0"/>
    <w:rsid w:val="00882529"/>
    <w:rsid w:val="008C2740"/>
    <w:rsid w:val="009756BC"/>
    <w:rsid w:val="009A65BB"/>
    <w:rsid w:val="009E5E56"/>
    <w:rsid w:val="009F2E4C"/>
    <w:rsid w:val="009F7F5B"/>
    <w:rsid w:val="00B85FC0"/>
    <w:rsid w:val="00B90548"/>
    <w:rsid w:val="00BE02C7"/>
    <w:rsid w:val="00BF1028"/>
    <w:rsid w:val="00BF205F"/>
    <w:rsid w:val="00C07C84"/>
    <w:rsid w:val="00C64016"/>
    <w:rsid w:val="00F07AB5"/>
    <w:rsid w:val="00F16E85"/>
    <w:rsid w:val="00FC7E57"/>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84D9"/>
  <w15:chartTrackingRefBased/>
  <w15:docId w15:val="{AFA1A3F7-092D-7F46-8B63-20D2BBFF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49E"/>
    <w:pPr>
      <w:jc w:val="both"/>
    </w:pPr>
    <w:rPr>
      <w:sz w:val="20"/>
      <w:szCs w:val="20"/>
      <w:lang w:val="es-ES"/>
    </w:rPr>
  </w:style>
  <w:style w:type="paragraph" w:styleId="Heading1">
    <w:name w:val="heading 1"/>
    <w:basedOn w:val="Normal"/>
    <w:next w:val="Normal"/>
    <w:link w:val="Heading1Char"/>
    <w:uiPriority w:val="9"/>
    <w:qFormat/>
    <w:rsid w:val="004D749E"/>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4D749E"/>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4D749E"/>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4D749E"/>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4D749E"/>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4D749E"/>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4D749E"/>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4D749E"/>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4D749E"/>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9E"/>
    <w:pPr>
      <w:ind w:left="720"/>
      <w:contextualSpacing/>
    </w:pPr>
  </w:style>
  <w:style w:type="character" w:customStyle="1" w:styleId="Heading1Char">
    <w:name w:val="Heading 1 Char"/>
    <w:basedOn w:val="DefaultParagraphFont"/>
    <w:link w:val="Heading1"/>
    <w:uiPriority w:val="9"/>
    <w:rsid w:val="004D749E"/>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4D749E"/>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4D749E"/>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4D749E"/>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4D749E"/>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4D749E"/>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4D749E"/>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4D749E"/>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4D749E"/>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4D749E"/>
    <w:rPr>
      <w:b/>
      <w:bCs/>
      <w:color w:val="C45911" w:themeColor="accent2" w:themeShade="BF"/>
      <w:sz w:val="18"/>
      <w:szCs w:val="18"/>
    </w:rPr>
  </w:style>
  <w:style w:type="paragraph" w:styleId="Title">
    <w:name w:val="Title"/>
    <w:basedOn w:val="Normal"/>
    <w:next w:val="Normal"/>
    <w:link w:val="TitleChar"/>
    <w:uiPriority w:val="10"/>
    <w:qFormat/>
    <w:rsid w:val="004D749E"/>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D749E"/>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4D749E"/>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4D749E"/>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4D749E"/>
    <w:rPr>
      <w:b/>
      <w:bCs/>
      <w:spacing w:val="0"/>
    </w:rPr>
  </w:style>
  <w:style w:type="character" w:styleId="Emphasis">
    <w:name w:val="Emphasis"/>
    <w:uiPriority w:val="20"/>
    <w:qFormat/>
    <w:rsid w:val="004D749E"/>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4D749E"/>
    <w:pPr>
      <w:spacing w:after="0" w:line="240" w:lineRule="auto"/>
    </w:pPr>
  </w:style>
  <w:style w:type="paragraph" w:styleId="Quote">
    <w:name w:val="Quote"/>
    <w:basedOn w:val="Normal"/>
    <w:next w:val="Normal"/>
    <w:link w:val="QuoteChar"/>
    <w:uiPriority w:val="29"/>
    <w:qFormat/>
    <w:rsid w:val="004D749E"/>
    <w:rPr>
      <w:i/>
      <w:iCs/>
      <w:color w:val="C45911" w:themeColor="accent2" w:themeShade="BF"/>
    </w:rPr>
  </w:style>
  <w:style w:type="character" w:customStyle="1" w:styleId="QuoteChar">
    <w:name w:val="Quote Char"/>
    <w:basedOn w:val="DefaultParagraphFont"/>
    <w:link w:val="Quote"/>
    <w:uiPriority w:val="29"/>
    <w:rsid w:val="004D749E"/>
    <w:rPr>
      <w:color w:val="C45911" w:themeColor="accent2" w:themeShade="BF"/>
      <w:sz w:val="20"/>
      <w:szCs w:val="20"/>
    </w:rPr>
  </w:style>
  <w:style w:type="paragraph" w:styleId="IntenseQuote">
    <w:name w:val="Intense Quote"/>
    <w:basedOn w:val="Normal"/>
    <w:next w:val="Normal"/>
    <w:link w:val="IntenseQuoteChar"/>
    <w:uiPriority w:val="30"/>
    <w:qFormat/>
    <w:rsid w:val="004D749E"/>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4D749E"/>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4D749E"/>
    <w:rPr>
      <w:rFonts w:asciiTheme="majorHAnsi" w:eastAsiaTheme="majorEastAsia" w:hAnsiTheme="majorHAnsi" w:cstheme="majorBidi"/>
      <w:i/>
      <w:iCs/>
      <w:color w:val="ED7D31" w:themeColor="accent2"/>
    </w:rPr>
  </w:style>
  <w:style w:type="character" w:styleId="IntenseEmphasis">
    <w:name w:val="Intense Emphasis"/>
    <w:uiPriority w:val="21"/>
    <w:qFormat/>
    <w:rsid w:val="004D749E"/>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4D749E"/>
    <w:rPr>
      <w:i/>
      <w:iCs/>
      <w:smallCaps/>
      <w:color w:val="ED7D31" w:themeColor="accent2"/>
      <w:u w:color="ED7D31" w:themeColor="accent2"/>
    </w:rPr>
  </w:style>
  <w:style w:type="character" w:styleId="IntenseReference">
    <w:name w:val="Intense Reference"/>
    <w:uiPriority w:val="32"/>
    <w:qFormat/>
    <w:rsid w:val="004D749E"/>
    <w:rPr>
      <w:b/>
      <w:bCs/>
      <w:i/>
      <w:iCs/>
      <w:smallCaps/>
      <w:color w:val="ED7D31" w:themeColor="accent2"/>
      <w:sz w:val="22"/>
      <w:szCs w:val="22"/>
      <w:u w:color="ED7D31" w:themeColor="accent2"/>
    </w:rPr>
  </w:style>
  <w:style w:type="character" w:styleId="BookTitle">
    <w:name w:val="Book Title"/>
    <w:uiPriority w:val="33"/>
    <w:qFormat/>
    <w:rsid w:val="004D749E"/>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4D749E"/>
    <w:pPr>
      <w:outlineLvl w:val="9"/>
    </w:pPr>
  </w:style>
  <w:style w:type="character" w:customStyle="1" w:styleId="NoSpacingChar">
    <w:name w:val="No Spacing Char"/>
    <w:basedOn w:val="DefaultParagraphFont"/>
    <w:link w:val="NoSpacing"/>
    <w:uiPriority w:val="1"/>
    <w:rsid w:val="004D749E"/>
    <w:rPr>
      <w:i/>
      <w:iCs/>
      <w:sz w:val="20"/>
      <w:szCs w:val="20"/>
    </w:rPr>
  </w:style>
  <w:style w:type="character" w:styleId="Hyperlink">
    <w:name w:val="Hyperlink"/>
    <w:basedOn w:val="DefaultParagraphFont"/>
    <w:uiPriority w:val="99"/>
    <w:unhideWhenUsed/>
    <w:rsid w:val="004D749E"/>
    <w:rPr>
      <w:color w:val="0563C1" w:themeColor="hyperlink"/>
      <w:u w:val="single"/>
    </w:rPr>
  </w:style>
  <w:style w:type="character" w:styleId="UnresolvedMention">
    <w:name w:val="Unresolved Mention"/>
    <w:basedOn w:val="DefaultParagraphFont"/>
    <w:uiPriority w:val="99"/>
    <w:semiHidden/>
    <w:unhideWhenUsed/>
    <w:rsid w:val="004D749E"/>
    <w:rPr>
      <w:color w:val="605E5C"/>
      <w:shd w:val="clear" w:color="auto" w:fill="E1DFDD"/>
    </w:rPr>
  </w:style>
  <w:style w:type="paragraph" w:styleId="FootnoteText">
    <w:name w:val="footnote text"/>
    <w:basedOn w:val="Normal"/>
    <w:link w:val="FootnoteTextChar"/>
    <w:uiPriority w:val="99"/>
    <w:semiHidden/>
    <w:unhideWhenUsed/>
    <w:rsid w:val="00BE02C7"/>
    <w:pPr>
      <w:spacing w:after="0" w:line="240" w:lineRule="auto"/>
    </w:pPr>
  </w:style>
  <w:style w:type="character" w:customStyle="1" w:styleId="FootnoteTextChar">
    <w:name w:val="Footnote Text Char"/>
    <w:basedOn w:val="DefaultParagraphFont"/>
    <w:link w:val="FootnoteText"/>
    <w:uiPriority w:val="99"/>
    <w:semiHidden/>
    <w:rsid w:val="00BE02C7"/>
    <w:rPr>
      <w:sz w:val="20"/>
      <w:szCs w:val="20"/>
      <w:lang w:val="es-ES"/>
    </w:rPr>
  </w:style>
  <w:style w:type="character" w:styleId="FootnoteReference">
    <w:name w:val="footnote reference"/>
    <w:basedOn w:val="DefaultParagraphFont"/>
    <w:uiPriority w:val="99"/>
    <w:semiHidden/>
    <w:unhideWhenUsed/>
    <w:rsid w:val="00BE02C7"/>
    <w:rPr>
      <w:vertAlign w:val="superscript"/>
    </w:rPr>
  </w:style>
  <w:style w:type="table" w:styleId="TableGrid">
    <w:name w:val="Table Grid"/>
    <w:basedOn w:val="TableNormal"/>
    <w:uiPriority w:val="39"/>
    <w:rsid w:val="0097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756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56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9756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9756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756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2">
    <w:name w:val="Grid Table 3 Accent 2"/>
    <w:basedOn w:val="TableNormal"/>
    <w:uiPriority w:val="48"/>
    <w:rsid w:val="009756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2">
    <w:name w:val="Grid Table 4 Accent 2"/>
    <w:basedOn w:val="TableNormal"/>
    <w:uiPriority w:val="49"/>
    <w:rsid w:val="009756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756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10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utils/idconv/v1.0" TargetMode="Externa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1" Type="http://schemas.openxmlformats.org/officeDocument/2006/relationships/hyperlink" Target="https://agricola.nal.usda.gov/j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8</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Jerónimo ArenasGarcía</dc:creator>
  <cp:keywords/>
  <dc:description/>
  <cp:lastModifiedBy>Jerónimo ArenasGarcía</cp:lastModifiedBy>
  <cp:revision>2</cp:revision>
  <dcterms:created xsi:type="dcterms:W3CDTF">2020-07-13T22:38:00Z</dcterms:created>
  <dcterms:modified xsi:type="dcterms:W3CDTF">2020-07-17T00:47:00Z</dcterms:modified>
</cp:coreProperties>
</file>