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 xml:space="preserve">Plan de Gestión de </w:t>
      </w:r>
    </w:p>
    <w:p w:rsidR="00CA42AF" w:rsidRPr="009743C2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C</w:t>
      </w:r>
      <w:r>
        <w:rPr>
          <w:rFonts w:ascii="Cambria" w:hAnsi="Cambria"/>
          <w:sz w:val="72"/>
          <w:szCs w:val="72"/>
          <w:lang w:val="es-PE"/>
        </w:rPr>
        <w:t>ambios</w:t>
      </w: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>
        <w:rPr>
          <w:rFonts w:ascii="Cambria" w:hAnsi="Cambria"/>
          <w:b/>
          <w:sz w:val="32"/>
          <w:szCs w:val="32"/>
          <w:lang w:val="es-PE"/>
        </w:rPr>
        <w:t xml:space="preserve"> 1.0</w:t>
      </w: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256"/>
        <w:gridCol w:w="3777"/>
        <w:gridCol w:w="2339"/>
      </w:tblGrid>
      <w:tr w:rsidR="00CA42AF" w:rsidRPr="009743C2" w:rsidTr="00DF213F">
        <w:tc>
          <w:tcPr>
            <w:tcW w:w="1122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56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77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39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CA42AF" w:rsidRPr="009743C2" w:rsidTr="00DF213F">
        <w:tc>
          <w:tcPr>
            <w:tcW w:w="1122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06/11</w:t>
            </w: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  <w:tc>
          <w:tcPr>
            <w:tcW w:w="1256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777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339" w:type="dxa"/>
          </w:tcPr>
          <w:p w:rsidR="00CA42AF" w:rsidRPr="009743C2" w:rsidRDefault="00CA42AF" w:rsidP="00BA2D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F213F" w:rsidRPr="009743C2" w:rsidTr="00DF213F">
        <w:tc>
          <w:tcPr>
            <w:tcW w:w="1122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/11</w:t>
            </w: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  <w:tc>
          <w:tcPr>
            <w:tcW w:w="1256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777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Modificación</w:t>
            </w:r>
            <w:bookmarkStart w:id="0" w:name="_GoBack"/>
            <w:bookmarkEnd w:id="0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del documento</w:t>
            </w:r>
          </w:p>
        </w:tc>
        <w:tc>
          <w:tcPr>
            <w:tcW w:w="2339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F213F" w:rsidRPr="009743C2" w:rsidTr="00DF213F">
        <w:tc>
          <w:tcPr>
            <w:tcW w:w="1122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7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9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213F" w:rsidRPr="009743C2" w:rsidTr="00DF213F">
        <w:tc>
          <w:tcPr>
            <w:tcW w:w="1122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7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9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9743C2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A241B5" w:rsidRDefault="00A241B5" w:rsidP="00A241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37322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AF0" w:rsidRPr="005D2AF0" w:rsidRDefault="005D2AF0">
          <w:pPr>
            <w:pStyle w:val="TtuloTDC"/>
            <w:rPr>
              <w:rStyle w:val="Hipervnculo"/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u w:val="none"/>
            </w:rPr>
          </w:pPr>
          <w:r w:rsidRPr="005D2AF0">
            <w:rPr>
              <w:rStyle w:val="Hipervnculo"/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u w:val="none"/>
            </w:rPr>
            <w:t>Contenido</w:t>
          </w:r>
        </w:p>
        <w:p w:rsidR="00DF213F" w:rsidRDefault="005D2AF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402212" w:history="1">
            <w:r w:rsidR="00DF213F" w:rsidRPr="00136B96">
              <w:rPr>
                <w:rStyle w:val="Hipervnculo"/>
                <w:rFonts w:ascii="Times New Roman" w:hAnsi="Times New Roman"/>
                <w:b/>
                <w:noProof/>
              </w:rPr>
              <w:t>1.</w:t>
            </w:r>
            <w:r w:rsidR="00DF213F">
              <w:rPr>
                <w:rFonts w:cstheme="minorBidi"/>
                <w:noProof/>
                <w:lang w:val="en-US" w:eastAsia="en-US"/>
              </w:rPr>
              <w:tab/>
            </w:r>
            <w:r w:rsidR="00DF213F" w:rsidRPr="00136B96">
              <w:rPr>
                <w:rStyle w:val="Hipervnculo"/>
                <w:rFonts w:ascii="Times New Roman" w:hAnsi="Times New Roman"/>
                <w:b/>
                <w:noProof/>
              </w:rPr>
              <w:t>Introducción</w:t>
            </w:r>
            <w:r w:rsidR="00DF213F">
              <w:rPr>
                <w:noProof/>
                <w:webHidden/>
              </w:rPr>
              <w:tab/>
            </w:r>
            <w:r w:rsidR="00DF213F">
              <w:rPr>
                <w:noProof/>
                <w:webHidden/>
              </w:rPr>
              <w:fldChar w:fldCharType="begin"/>
            </w:r>
            <w:r w:rsidR="00DF213F">
              <w:rPr>
                <w:noProof/>
                <w:webHidden/>
              </w:rPr>
              <w:instrText xml:space="preserve"> PAGEREF _Toc529402212 \h </w:instrText>
            </w:r>
            <w:r w:rsidR="00DF213F">
              <w:rPr>
                <w:noProof/>
                <w:webHidden/>
              </w:rPr>
            </w:r>
            <w:r w:rsidR="00DF213F">
              <w:rPr>
                <w:noProof/>
                <w:webHidden/>
              </w:rPr>
              <w:fldChar w:fldCharType="separate"/>
            </w:r>
            <w:r w:rsidR="00DF213F">
              <w:rPr>
                <w:noProof/>
                <w:webHidden/>
              </w:rPr>
              <w:t>4</w:t>
            </w:r>
            <w:r w:rsidR="00DF213F"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13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Formato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14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Tipos de Solicitudes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15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Tipo de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16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Estados de la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17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6.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18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Recibir y Analizar la Petición: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19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Clasificar 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20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Evaluación del Impacto y Riesgo: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21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Aprobación del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22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5.5.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Planificación y Calendarización: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23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5.6.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24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5.7.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Verificación de la 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13F" w:rsidRDefault="00DF213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29402225" w:history="1"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5.8.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136B96">
              <w:rPr>
                <w:rStyle w:val="Hipervnculo"/>
                <w:rFonts w:ascii="Times New Roman" w:hAnsi="Times New Roman"/>
                <w:b/>
                <w:noProof/>
              </w:rPr>
              <w:t>Cierre: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AF0" w:rsidRDefault="005D2AF0">
          <w:r>
            <w:rPr>
              <w:b/>
              <w:bCs/>
              <w:lang w:val="es-ES"/>
            </w:rPr>
            <w:fldChar w:fldCharType="end"/>
          </w:r>
        </w:p>
      </w:sdtContent>
    </w:sdt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0D1641" w:rsidRPr="00CE773D" w:rsidRDefault="00A241B5" w:rsidP="000D1641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29402212"/>
      <w:r w:rsidRPr="000D164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1"/>
    </w:p>
    <w:p w:rsidR="00A241B5" w:rsidRPr="007A397A" w:rsidRDefault="00633356" w:rsidP="000D1641">
      <w:pPr>
        <w:pStyle w:val="Prrafodelista"/>
        <w:jc w:val="both"/>
        <w:rPr>
          <w:rFonts w:ascii="Times New Roman" w:hAnsi="Times New Roman" w:cs="Times New Roman"/>
        </w:rPr>
      </w:pPr>
      <w:r w:rsidRPr="007A397A">
        <w:rPr>
          <w:rFonts w:ascii="Times New Roman" w:hAnsi="Times New Roman" w:cs="Times New Roman"/>
          <w:shd w:val="clear" w:color="auto" w:fill="FFFFFF"/>
        </w:rPr>
        <w:t xml:space="preserve">El presente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documento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tiene por objetivo principal presentar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el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plan de gestión del cambio para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la empresa Everis,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una empresa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internacional, dedicada al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rubro de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consultoría y desarrollo de proyectos de TI</w:t>
      </w:r>
      <w:r w:rsidRPr="007A397A">
        <w:rPr>
          <w:rFonts w:ascii="Times New Roman" w:hAnsi="Times New Roman" w:cs="Times New Roman"/>
          <w:shd w:val="clear" w:color="auto" w:fill="FFFFFF"/>
        </w:rPr>
        <w:t>. Ante la ausencia de una planificación de gestión del cambio hecha por la organización para el proyecto</w:t>
      </w:r>
      <w:r w:rsidR="000D1641" w:rsidRPr="007A397A">
        <w:rPr>
          <w:rFonts w:ascii="Times New Roman" w:hAnsi="Times New Roman" w:cs="Times New Roman"/>
          <w:shd w:val="clear" w:color="auto" w:fill="FFFFFF"/>
        </w:rPr>
        <w:t xml:space="preserve"> de Sistema de Gestión de Matriculas</w:t>
      </w:r>
      <w:r w:rsidRPr="007A397A">
        <w:rPr>
          <w:rFonts w:ascii="Times New Roman" w:hAnsi="Times New Roman" w:cs="Times New Roman"/>
          <w:shd w:val="clear" w:color="auto" w:fill="FFFFFF"/>
        </w:rPr>
        <w:t>, se propone un plan d</w:t>
      </w:r>
      <w:r w:rsidR="000D1641" w:rsidRPr="007A397A">
        <w:rPr>
          <w:rFonts w:ascii="Times New Roman" w:hAnsi="Times New Roman" w:cs="Times New Roman"/>
          <w:shd w:val="clear" w:color="auto" w:fill="FFFFFF"/>
        </w:rPr>
        <w:t>e gestión de cambio enfocado a este proyecto.</w:t>
      </w:r>
      <w:r w:rsidR="00542A55" w:rsidRPr="007A397A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7A397A" w:rsidRDefault="007A397A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29402213"/>
      <w:r>
        <w:rPr>
          <w:rFonts w:ascii="Times New Roman" w:hAnsi="Times New Roman" w:cs="Times New Roman"/>
          <w:b/>
          <w:color w:val="auto"/>
          <w:sz w:val="24"/>
          <w:szCs w:val="24"/>
        </w:rPr>
        <w:t>Formato de Solicitud de Cambio</w:t>
      </w:r>
      <w:bookmarkEnd w:id="2"/>
    </w:p>
    <w:p w:rsidR="007A397A" w:rsidRDefault="007A397A" w:rsidP="007A397A">
      <w:pPr>
        <w:ind w:left="708"/>
        <w:rPr>
          <w:rFonts w:ascii="Times New Roman" w:hAnsi="Times New Roman" w:cs="Times New Roman"/>
          <w:shd w:val="clear" w:color="auto" w:fill="FFFFFF"/>
        </w:rPr>
      </w:pPr>
      <w:r w:rsidRPr="007A397A">
        <w:rPr>
          <w:rFonts w:ascii="Times New Roman" w:hAnsi="Times New Roman" w:cs="Times New Roman"/>
          <w:shd w:val="clear" w:color="auto" w:fill="FFFFFF"/>
        </w:rPr>
        <w:t>A continuación, se describe los campos necesarios para la realización del formato de solicitud de cambio.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380"/>
      </w:tblGrid>
      <w:tr w:rsidR="007A397A" w:rsidTr="003B4620">
        <w:tc>
          <w:tcPr>
            <w:tcW w:w="2406" w:type="dxa"/>
            <w:shd w:val="clear" w:color="auto" w:fill="D9D9D9" w:themeFill="background1" w:themeFillShade="D9"/>
          </w:tcPr>
          <w:p w:rsidR="007A397A" w:rsidRPr="003B4620" w:rsidRDefault="007A397A" w:rsidP="003B4620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3B4620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Nombre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7A397A" w:rsidRPr="003B4620" w:rsidRDefault="007A397A" w:rsidP="003B4620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3B4620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Descripción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ID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código de la solicitud de cambio, este debe ser único por cada nueva solicitud y estará compuesto por un formato alfa numérico.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Nombre del Sistema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nombre del sistema al cual se está realizando la solicitud de cambio, este puede ser el nombre completo o puede ingresar las siglas del sistema.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Fecha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fecha de registro de la solicitud de cambio, está dado en el siguiente formato: DD/MM/YYYY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Fuente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 usuario que realiza la petición de solicitud de cambio, aquí debe ir tanto su nombre como su rol.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Autor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 usuario responsable del sistema y que debe aprobar la solicitud del cambio, aquí debe ir tanto su nombre como su rol.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Descripción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una descripción general del cambio que se está proponiendo, es aconsejable que contemple las siguientes pautas: El motivo, propósito, recomendación, entre otros que especifique o aclare la solicitud.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Justificación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justificación del cambio, ventajas y/o posibles fallos en el sistema.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Estado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estado en el que se encuentra la solicitud de cambio.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Clasificación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tipo de clasificación asignada a la solicitud de cambio.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Prioridad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tipo de prioridad asignada a la solicitud de cambio.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Comité Control Cambio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 los usuarios responsables de integrar el comité de control de cambio que aprueba la solicitud, aquí debe ir tanto sus nombres como sus roles.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Responsable de atención del cambio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 usuario encargado de atender los cambios solicitados, aquí debe ir tanto su nombre como su rol.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Impacto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impacto que puede acarrear el cambio solicitado, esto se traduce en tiempos, costo o esfuerzo.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Riesgo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riesgo que puede acarrear el cambio solicitado.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CE773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Fecha Inicio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fecha de inicio del proceso de solicitud de cambio una vez aprobada dicha solicitud, está dado en el siguiente formato: DD/MM/YYYY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CE773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Fecha Fin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fecha de fin del proceso de solicitud de cambio una vez termina dicha solicitud, está dado en el siguiente formato: DD/MM/YYYY</w:t>
            </w:r>
          </w:p>
        </w:tc>
      </w:tr>
      <w:tr w:rsidR="003B4620" w:rsidTr="007A397A">
        <w:tc>
          <w:tcPr>
            <w:tcW w:w="2406" w:type="dxa"/>
          </w:tcPr>
          <w:p w:rsidR="003B4620" w:rsidRDefault="003B4620" w:rsidP="00CE773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Antecedentes (ID)</w:t>
            </w:r>
          </w:p>
        </w:tc>
        <w:tc>
          <w:tcPr>
            <w:tcW w:w="5380" w:type="dxa"/>
          </w:tcPr>
          <w:p w:rsidR="003B4620" w:rsidRDefault="003B4620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algún antecedente similar a la solicitud del cambio. Esta dada por el ID de la solicitud anterior.</w:t>
            </w:r>
          </w:p>
        </w:tc>
      </w:tr>
    </w:tbl>
    <w:p w:rsidR="007A397A" w:rsidRPr="007A397A" w:rsidRDefault="007A397A" w:rsidP="007A397A">
      <w:pPr>
        <w:ind w:left="708"/>
        <w:rPr>
          <w:rFonts w:ascii="Times New Roman" w:hAnsi="Times New Roman" w:cs="Times New Roman"/>
          <w:shd w:val="clear" w:color="auto" w:fill="FFFFFF"/>
        </w:rPr>
      </w:pPr>
    </w:p>
    <w:p w:rsidR="00A241B5" w:rsidRPr="000D1641" w:rsidRDefault="00A241B5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29402214"/>
      <w:r w:rsidRPr="000D164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Tipos de Solicitudes de Cambio</w:t>
      </w:r>
      <w:bookmarkEnd w:id="3"/>
    </w:p>
    <w:p w:rsidR="00A241B5" w:rsidRDefault="00A241B5" w:rsidP="00A241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394"/>
      </w:tblGrid>
      <w:tr w:rsidR="00A241B5" w:rsidTr="000857ED">
        <w:tc>
          <w:tcPr>
            <w:tcW w:w="1827" w:type="dxa"/>
            <w:shd w:val="clear" w:color="auto" w:fill="D9D9D9" w:themeFill="background1" w:themeFillShade="D9"/>
          </w:tcPr>
          <w:p w:rsidR="00A241B5" w:rsidRPr="000857ED" w:rsidRDefault="00A241B5" w:rsidP="000857ED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Tipo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241B5" w:rsidRPr="000857ED" w:rsidRDefault="00A241B5" w:rsidP="000857ED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0857ED" w:rsidTr="00997A7C">
        <w:tc>
          <w:tcPr>
            <w:tcW w:w="1827" w:type="dxa"/>
          </w:tcPr>
          <w:p w:rsidR="000857ED" w:rsidRDefault="000857ED" w:rsidP="000857ED">
            <w:pPr>
              <w:pStyle w:val="Prrafodelista"/>
              <w:ind w:left="0"/>
            </w:pPr>
            <w:r>
              <w:t>Baja</w:t>
            </w:r>
          </w:p>
        </w:tc>
        <w:tc>
          <w:tcPr>
            <w:tcW w:w="4394" w:type="dxa"/>
          </w:tcPr>
          <w:p w:rsidR="000857ED" w:rsidRDefault="00086AE8" w:rsidP="00086AE8">
            <w:pPr>
              <w:pStyle w:val="Prrafodelista"/>
              <w:ind w:left="0"/>
            </w:pPr>
            <w:r>
              <w:t>Sigue el proceso completo de la solicitud de cambio, pero puede esperar en sus distintas fases.</w:t>
            </w:r>
          </w:p>
        </w:tc>
      </w:tr>
      <w:tr w:rsidR="00086AE8" w:rsidTr="00997A7C">
        <w:tc>
          <w:tcPr>
            <w:tcW w:w="1827" w:type="dxa"/>
          </w:tcPr>
          <w:p w:rsidR="00086AE8" w:rsidRDefault="00086AE8" w:rsidP="00086AE8">
            <w:pPr>
              <w:pStyle w:val="Prrafodelista"/>
              <w:ind w:left="0"/>
            </w:pPr>
            <w:r>
              <w:t>Media</w:t>
            </w:r>
          </w:p>
        </w:tc>
        <w:tc>
          <w:tcPr>
            <w:tcW w:w="4394" w:type="dxa"/>
          </w:tcPr>
          <w:p w:rsidR="00086AE8" w:rsidRDefault="00086AE8" w:rsidP="00086AE8">
            <w:pPr>
              <w:pStyle w:val="Prrafodelista"/>
              <w:ind w:left="0"/>
            </w:pPr>
            <w:r>
              <w:t>Sigue el proceso completo de la solicitud de Cambio de forma normal.</w:t>
            </w:r>
          </w:p>
        </w:tc>
      </w:tr>
      <w:tr w:rsidR="00086AE8" w:rsidTr="00997A7C">
        <w:tc>
          <w:tcPr>
            <w:tcW w:w="1827" w:type="dxa"/>
          </w:tcPr>
          <w:p w:rsidR="00086AE8" w:rsidRDefault="00086AE8" w:rsidP="00086AE8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4394" w:type="dxa"/>
          </w:tcPr>
          <w:p w:rsidR="00086AE8" w:rsidRDefault="00086AE8" w:rsidP="00086AE8">
            <w:pPr>
              <w:pStyle w:val="Prrafodelista"/>
              <w:ind w:left="0"/>
            </w:pPr>
            <w:r>
              <w:t>Sigue el proceso completo de la solicitud de Cambio pero se pide atender de forma rápida en cada fase.</w:t>
            </w:r>
          </w:p>
        </w:tc>
      </w:tr>
      <w:tr w:rsidR="00086AE8" w:rsidTr="00997A7C">
        <w:tc>
          <w:tcPr>
            <w:tcW w:w="1827" w:type="dxa"/>
          </w:tcPr>
          <w:p w:rsidR="00086AE8" w:rsidRDefault="00086AE8" w:rsidP="00086AE8">
            <w:pPr>
              <w:pStyle w:val="Prrafodelista"/>
              <w:ind w:left="0"/>
            </w:pPr>
            <w:r>
              <w:t>Urgente</w:t>
            </w:r>
          </w:p>
        </w:tc>
        <w:tc>
          <w:tcPr>
            <w:tcW w:w="4394" w:type="dxa"/>
          </w:tcPr>
          <w:p w:rsidR="00086AE8" w:rsidRDefault="00086AE8" w:rsidP="00086AE8">
            <w:pPr>
              <w:pStyle w:val="Prrafodelista"/>
              <w:ind w:left="0"/>
            </w:pPr>
            <w:r>
              <w:t>Puede saltarse algunas fases del proceso de solicitud de cambio.</w:t>
            </w:r>
          </w:p>
        </w:tc>
      </w:tr>
    </w:tbl>
    <w:p w:rsidR="00776C82" w:rsidRPr="00BF5C20" w:rsidRDefault="00776C82" w:rsidP="00776C82">
      <w:pPr>
        <w:pStyle w:val="Prrafodelista"/>
        <w:rPr>
          <w:b/>
        </w:rPr>
      </w:pPr>
    </w:p>
    <w:p w:rsidR="00A241B5" w:rsidRPr="00BF5C20" w:rsidRDefault="00776C82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29402215"/>
      <w:r w:rsidRPr="00BF5C20">
        <w:rPr>
          <w:rFonts w:ascii="Times New Roman" w:hAnsi="Times New Roman" w:cs="Times New Roman"/>
          <w:b/>
          <w:color w:val="auto"/>
          <w:sz w:val="24"/>
          <w:szCs w:val="24"/>
        </w:rPr>
        <w:t>Tipo</w:t>
      </w:r>
      <w:r w:rsidR="00A241B5" w:rsidRPr="00BF5C2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F5C20" w:rsidRPr="00BF5C20">
        <w:rPr>
          <w:rFonts w:ascii="Times New Roman" w:hAnsi="Times New Roman" w:cs="Times New Roman"/>
          <w:b/>
          <w:color w:val="auto"/>
          <w:sz w:val="24"/>
          <w:szCs w:val="24"/>
        </w:rPr>
        <w:t>de Requerimiento</w:t>
      </w:r>
      <w:bookmarkEnd w:id="4"/>
    </w:p>
    <w:p w:rsidR="00A241B5" w:rsidRDefault="00A241B5" w:rsidP="00A241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238"/>
      </w:tblGrid>
      <w:tr w:rsidR="00776C82" w:rsidTr="00BF20E4">
        <w:tc>
          <w:tcPr>
            <w:tcW w:w="2536" w:type="dxa"/>
            <w:shd w:val="clear" w:color="auto" w:fill="D9D9D9" w:themeFill="background1" w:themeFillShade="D9"/>
          </w:tcPr>
          <w:p w:rsidR="00776C82" w:rsidRPr="000857ED" w:rsidRDefault="00776C82" w:rsidP="000857ED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Tipo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="00776C82" w:rsidRPr="000857ED" w:rsidRDefault="00776C82" w:rsidP="000857ED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776C82" w:rsidTr="00BF20E4">
        <w:tc>
          <w:tcPr>
            <w:tcW w:w="2536" w:type="dxa"/>
          </w:tcPr>
          <w:p w:rsidR="00776C82" w:rsidRDefault="000857ED" w:rsidP="00997A7C">
            <w:pPr>
              <w:pStyle w:val="Prrafodelista"/>
              <w:ind w:left="0"/>
            </w:pPr>
            <w:r>
              <w:t>Aprobada</w:t>
            </w:r>
          </w:p>
        </w:tc>
        <w:tc>
          <w:tcPr>
            <w:tcW w:w="5238" w:type="dxa"/>
          </w:tcPr>
          <w:p w:rsidR="00776C82" w:rsidRDefault="00BF20E4" w:rsidP="00997A7C">
            <w:pPr>
              <w:pStyle w:val="Prrafodelista"/>
              <w:ind w:left="0"/>
            </w:pPr>
            <w:r>
              <w:t>El cambio en la solicitud es aprobada para iniciar el proceso de gestión de cambio.</w:t>
            </w:r>
          </w:p>
        </w:tc>
      </w:tr>
      <w:tr w:rsidR="00BF20E4" w:rsidTr="00BF20E4">
        <w:tc>
          <w:tcPr>
            <w:tcW w:w="2536" w:type="dxa"/>
          </w:tcPr>
          <w:p w:rsidR="00BF20E4" w:rsidRDefault="00BF20E4" w:rsidP="00BF20E4">
            <w:pPr>
              <w:pStyle w:val="Prrafodelista"/>
              <w:ind w:left="0"/>
            </w:pPr>
            <w:r>
              <w:t>Rechazada</w:t>
            </w:r>
          </w:p>
        </w:tc>
        <w:tc>
          <w:tcPr>
            <w:tcW w:w="5238" w:type="dxa"/>
          </w:tcPr>
          <w:p w:rsidR="00BF20E4" w:rsidRDefault="00BF20E4" w:rsidP="00BF20E4">
            <w:pPr>
              <w:pStyle w:val="Prrafodelista"/>
              <w:ind w:left="0"/>
            </w:pPr>
            <w:r>
              <w:t>El cambio en la solicitud es rechazada para iniciar el proceso de gestión de cambio.</w:t>
            </w:r>
          </w:p>
        </w:tc>
      </w:tr>
      <w:tr w:rsidR="00BF20E4" w:rsidTr="00BF20E4">
        <w:tc>
          <w:tcPr>
            <w:tcW w:w="2536" w:type="dxa"/>
          </w:tcPr>
          <w:p w:rsidR="00BF20E4" w:rsidRDefault="00BF20E4" w:rsidP="00BF20E4">
            <w:pPr>
              <w:pStyle w:val="Prrafodelista"/>
              <w:ind w:left="0"/>
            </w:pPr>
            <w:r>
              <w:t>Espera Modificación</w:t>
            </w:r>
          </w:p>
        </w:tc>
        <w:tc>
          <w:tcPr>
            <w:tcW w:w="5238" w:type="dxa"/>
          </w:tcPr>
          <w:p w:rsidR="00BF20E4" w:rsidRDefault="00BF20E4" w:rsidP="00BF20E4">
            <w:pPr>
              <w:pStyle w:val="Prrafodelista"/>
              <w:ind w:left="0"/>
            </w:pPr>
            <w:r>
              <w:t>El cambio en la solicitud es aprobada pero necesita algunas correcciones ya sea en tiempo, esfuerzo o alcance para iniciar el proceso de gestión de cambio.</w:t>
            </w:r>
          </w:p>
        </w:tc>
      </w:tr>
    </w:tbl>
    <w:p w:rsidR="00A241B5" w:rsidRDefault="00A241B5" w:rsidP="000857ED"/>
    <w:p w:rsidR="00A241B5" w:rsidRPr="00BF5C20" w:rsidRDefault="00A241B5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29402216"/>
      <w:r w:rsidRPr="00BF5C20">
        <w:rPr>
          <w:rFonts w:ascii="Times New Roman" w:hAnsi="Times New Roman" w:cs="Times New Roman"/>
          <w:b/>
          <w:color w:val="auto"/>
          <w:sz w:val="24"/>
          <w:szCs w:val="24"/>
        </w:rPr>
        <w:t>Estados de la Solicitud de cambio</w:t>
      </w:r>
      <w:bookmarkEnd w:id="5"/>
    </w:p>
    <w:p w:rsidR="00A241B5" w:rsidRDefault="00A241B5" w:rsidP="00A241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394"/>
      </w:tblGrid>
      <w:tr w:rsidR="00A241B5" w:rsidTr="000857ED">
        <w:tc>
          <w:tcPr>
            <w:tcW w:w="1827" w:type="dxa"/>
            <w:shd w:val="clear" w:color="auto" w:fill="D9D9D9" w:themeFill="background1" w:themeFillShade="D9"/>
          </w:tcPr>
          <w:p w:rsidR="00A241B5" w:rsidRPr="000857ED" w:rsidRDefault="00A241B5" w:rsidP="000857ED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Estado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241B5" w:rsidRPr="000857ED" w:rsidRDefault="00A241B5" w:rsidP="000857ED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A241B5" w:rsidTr="00A241B5">
        <w:tc>
          <w:tcPr>
            <w:tcW w:w="1827" w:type="dxa"/>
          </w:tcPr>
          <w:p w:rsidR="00A241B5" w:rsidRDefault="000857ED" w:rsidP="00A241B5">
            <w:pPr>
              <w:pStyle w:val="Prrafodelista"/>
              <w:ind w:left="0"/>
            </w:pPr>
            <w:r>
              <w:t>Recibida</w:t>
            </w:r>
          </w:p>
        </w:tc>
        <w:tc>
          <w:tcPr>
            <w:tcW w:w="4394" w:type="dxa"/>
          </w:tcPr>
          <w:p w:rsidR="00A241B5" w:rsidRDefault="009E4FEA" w:rsidP="00A241B5">
            <w:pPr>
              <w:pStyle w:val="Prrafodelista"/>
              <w:ind w:left="0"/>
            </w:pPr>
            <w:r>
              <w:t>La solicitud es aceptada dentro del proceso de gestión de cambio</w:t>
            </w:r>
          </w:p>
        </w:tc>
      </w:tr>
      <w:tr w:rsidR="00A241B5" w:rsidTr="00A241B5">
        <w:tc>
          <w:tcPr>
            <w:tcW w:w="1827" w:type="dxa"/>
          </w:tcPr>
          <w:p w:rsidR="00A241B5" w:rsidRDefault="000857ED" w:rsidP="00A241B5">
            <w:pPr>
              <w:pStyle w:val="Prrafodelista"/>
              <w:ind w:left="0"/>
            </w:pPr>
            <w:r>
              <w:t>Clasificada</w:t>
            </w:r>
          </w:p>
        </w:tc>
        <w:tc>
          <w:tcPr>
            <w:tcW w:w="4394" w:type="dxa"/>
          </w:tcPr>
          <w:p w:rsidR="00A241B5" w:rsidRDefault="009E4FEA" w:rsidP="00A241B5">
            <w:pPr>
              <w:pStyle w:val="Prrafodelista"/>
              <w:ind w:left="0"/>
            </w:pPr>
            <w:r>
              <w:t>La solicitud está siendo clasificada de acuerdo a la decisión que tome el CCC.</w:t>
            </w:r>
          </w:p>
        </w:tc>
      </w:tr>
      <w:tr w:rsidR="00A241B5" w:rsidTr="00A241B5">
        <w:tc>
          <w:tcPr>
            <w:tcW w:w="1827" w:type="dxa"/>
          </w:tcPr>
          <w:p w:rsidR="00A241B5" w:rsidRDefault="000857ED" w:rsidP="00A241B5">
            <w:pPr>
              <w:pStyle w:val="Prrafodelista"/>
              <w:ind w:left="0"/>
            </w:pPr>
            <w:r>
              <w:t>Evaluada</w:t>
            </w:r>
          </w:p>
        </w:tc>
        <w:tc>
          <w:tcPr>
            <w:tcW w:w="4394" w:type="dxa"/>
          </w:tcPr>
          <w:p w:rsidR="00A241B5" w:rsidRDefault="009E4FEA" w:rsidP="009E4FEA">
            <w:pPr>
              <w:pStyle w:val="Prrafodelista"/>
              <w:ind w:left="0"/>
            </w:pPr>
            <w:r>
              <w:t>La solicitud está siendo evaluada de acuerdo al criterio del CCC.</w:t>
            </w:r>
          </w:p>
        </w:tc>
      </w:tr>
      <w:tr w:rsidR="000857ED" w:rsidTr="00A241B5">
        <w:tc>
          <w:tcPr>
            <w:tcW w:w="1827" w:type="dxa"/>
          </w:tcPr>
          <w:p w:rsidR="000857ED" w:rsidRDefault="000857ED" w:rsidP="00A241B5">
            <w:pPr>
              <w:pStyle w:val="Prrafodelista"/>
              <w:ind w:left="0"/>
            </w:pPr>
            <w:r>
              <w:t>Aprobada</w:t>
            </w:r>
          </w:p>
        </w:tc>
        <w:tc>
          <w:tcPr>
            <w:tcW w:w="4394" w:type="dxa"/>
          </w:tcPr>
          <w:p w:rsidR="000857ED" w:rsidRDefault="009E4FEA" w:rsidP="00A241B5">
            <w:pPr>
              <w:pStyle w:val="Prrafodelista"/>
              <w:ind w:left="0"/>
            </w:pPr>
            <w:r>
              <w:t>La solicitud está aprobada para iniciar el cambio en el sistema.</w:t>
            </w:r>
          </w:p>
        </w:tc>
      </w:tr>
      <w:tr w:rsidR="000857ED" w:rsidTr="00A241B5">
        <w:tc>
          <w:tcPr>
            <w:tcW w:w="1827" w:type="dxa"/>
          </w:tcPr>
          <w:p w:rsidR="000857ED" w:rsidRDefault="000857ED" w:rsidP="00A241B5">
            <w:pPr>
              <w:pStyle w:val="Prrafodelista"/>
              <w:ind w:left="0"/>
            </w:pPr>
            <w:r>
              <w:t>Planificada</w:t>
            </w:r>
          </w:p>
        </w:tc>
        <w:tc>
          <w:tcPr>
            <w:tcW w:w="4394" w:type="dxa"/>
          </w:tcPr>
          <w:p w:rsidR="000857ED" w:rsidRDefault="009E4FEA" w:rsidP="00A241B5">
            <w:pPr>
              <w:pStyle w:val="Prrafodelista"/>
              <w:ind w:left="0"/>
            </w:pPr>
            <w:r>
              <w:t>La solicitud viene siendo planificada para estimar tiempo, alcance y costo.</w:t>
            </w:r>
          </w:p>
        </w:tc>
      </w:tr>
      <w:tr w:rsidR="00A241B5" w:rsidTr="00A241B5">
        <w:tc>
          <w:tcPr>
            <w:tcW w:w="1827" w:type="dxa"/>
          </w:tcPr>
          <w:p w:rsidR="00A241B5" w:rsidRDefault="000857ED" w:rsidP="00A241B5">
            <w:pPr>
              <w:pStyle w:val="Prrafodelista"/>
              <w:ind w:left="0"/>
            </w:pPr>
            <w:r>
              <w:t>Implementada</w:t>
            </w:r>
          </w:p>
        </w:tc>
        <w:tc>
          <w:tcPr>
            <w:tcW w:w="4394" w:type="dxa"/>
          </w:tcPr>
          <w:p w:rsidR="00A241B5" w:rsidRDefault="009E4FEA" w:rsidP="00A241B5">
            <w:pPr>
              <w:pStyle w:val="Prrafodelista"/>
              <w:ind w:left="0"/>
            </w:pPr>
            <w:r>
              <w:t>La solicitud está en la etapa de implementación o desarrollo.</w:t>
            </w:r>
          </w:p>
        </w:tc>
      </w:tr>
      <w:tr w:rsidR="000857ED" w:rsidTr="00A241B5">
        <w:tc>
          <w:tcPr>
            <w:tcW w:w="1827" w:type="dxa"/>
          </w:tcPr>
          <w:p w:rsidR="000857ED" w:rsidRDefault="000857ED" w:rsidP="00A241B5">
            <w:pPr>
              <w:pStyle w:val="Prrafodelista"/>
              <w:ind w:left="0"/>
            </w:pPr>
            <w:r>
              <w:t>Verificada</w:t>
            </w:r>
          </w:p>
        </w:tc>
        <w:tc>
          <w:tcPr>
            <w:tcW w:w="4394" w:type="dxa"/>
          </w:tcPr>
          <w:p w:rsidR="000857ED" w:rsidRDefault="009E4FEA" w:rsidP="00A241B5">
            <w:pPr>
              <w:pStyle w:val="Prrafodelista"/>
              <w:ind w:left="0"/>
            </w:pPr>
            <w:r>
              <w:t>La solicitud esta puesta en producción a la espera de la verificación de los usuarios.</w:t>
            </w:r>
          </w:p>
        </w:tc>
      </w:tr>
      <w:tr w:rsidR="000857ED" w:rsidTr="00A241B5">
        <w:tc>
          <w:tcPr>
            <w:tcW w:w="1827" w:type="dxa"/>
          </w:tcPr>
          <w:p w:rsidR="000857ED" w:rsidRDefault="000857ED" w:rsidP="00A241B5">
            <w:pPr>
              <w:pStyle w:val="Prrafodelista"/>
              <w:ind w:left="0"/>
            </w:pPr>
            <w:r>
              <w:t>Cerrada</w:t>
            </w:r>
          </w:p>
        </w:tc>
        <w:tc>
          <w:tcPr>
            <w:tcW w:w="4394" w:type="dxa"/>
          </w:tcPr>
          <w:p w:rsidR="000857ED" w:rsidRDefault="009E4FEA" w:rsidP="00A241B5">
            <w:pPr>
              <w:pStyle w:val="Prrafodelista"/>
              <w:ind w:left="0"/>
            </w:pPr>
            <w:r>
              <w:t>La solicitud es concluida.</w:t>
            </w:r>
          </w:p>
        </w:tc>
      </w:tr>
    </w:tbl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</w:pPr>
    </w:p>
    <w:p w:rsidR="00A241B5" w:rsidRDefault="00A241B5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29402217"/>
      <w:r w:rsidRPr="00BF5C2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Proceso de gestión de cambios</w:t>
      </w:r>
      <w:bookmarkEnd w:id="6"/>
    </w:p>
    <w:p w:rsidR="00BF20E4" w:rsidRPr="00BF20E4" w:rsidRDefault="00BF20E4" w:rsidP="00BF20E4"/>
    <w:p w:rsidR="00A241B5" w:rsidRDefault="00BF20E4" w:rsidP="00BF20E4">
      <w:pPr>
        <w:pStyle w:val="Prrafodelista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FE4DC5" wp14:editId="2CFA6059">
            <wp:extent cx="3000375" cy="2077679"/>
            <wp:effectExtent l="76200" t="76200" r="123825" b="132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52" cy="208285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0E4" w:rsidRDefault="00BF20E4" w:rsidP="00A241B5">
      <w:pPr>
        <w:pStyle w:val="Prrafodelista"/>
      </w:pPr>
    </w:p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29402218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Recibir y Analizar la Petición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7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4506B4" w:rsidTr="004506B4">
        <w:tc>
          <w:tcPr>
            <w:tcW w:w="1980" w:type="dxa"/>
          </w:tcPr>
          <w:p w:rsidR="004506B4" w:rsidRDefault="004506B4" w:rsidP="004506B4">
            <w:r>
              <w:t>Actividades</w:t>
            </w:r>
          </w:p>
        </w:tc>
        <w:tc>
          <w:tcPr>
            <w:tcW w:w="5812" w:type="dxa"/>
          </w:tcPr>
          <w:p w:rsidR="004506B4" w:rsidRDefault="009F4B63" w:rsidP="009F4B63">
            <w:pPr>
              <w:pStyle w:val="Prrafodelista"/>
              <w:numPr>
                <w:ilvl w:val="0"/>
                <w:numId w:val="9"/>
              </w:numPr>
            </w:pPr>
            <w:r>
              <w:t>Crear la petición de cambio y asignación al grupo de gestión de cambio.</w:t>
            </w:r>
          </w:p>
          <w:p w:rsidR="009F4B63" w:rsidRDefault="009F4B63" w:rsidP="009F4B63">
            <w:pPr>
              <w:pStyle w:val="Prrafodelista"/>
              <w:numPr>
                <w:ilvl w:val="0"/>
                <w:numId w:val="9"/>
              </w:numPr>
            </w:pPr>
            <w:r>
              <w:t>Verificar la petición de cambio</w:t>
            </w:r>
          </w:p>
        </w:tc>
      </w:tr>
      <w:tr w:rsidR="004506B4" w:rsidTr="004506B4">
        <w:tc>
          <w:tcPr>
            <w:tcW w:w="1980" w:type="dxa"/>
          </w:tcPr>
          <w:p w:rsidR="004506B4" w:rsidRDefault="004506B4" w:rsidP="004506B4">
            <w:r>
              <w:t>Documentación</w:t>
            </w:r>
          </w:p>
        </w:tc>
        <w:tc>
          <w:tcPr>
            <w:tcW w:w="5812" w:type="dxa"/>
          </w:tcPr>
          <w:p w:rsidR="004506B4" w:rsidRDefault="009F4B63" w:rsidP="009F4B63">
            <w:pPr>
              <w:pStyle w:val="Prrafodelista"/>
              <w:numPr>
                <w:ilvl w:val="0"/>
                <w:numId w:val="10"/>
              </w:numPr>
            </w:pPr>
            <w:r>
              <w:t>RFC de Service Manager</w:t>
            </w:r>
          </w:p>
          <w:p w:rsidR="009F4B63" w:rsidRDefault="009F4B63" w:rsidP="009F4B63">
            <w:pPr>
              <w:pStyle w:val="Prrafodelista"/>
              <w:numPr>
                <w:ilvl w:val="0"/>
                <w:numId w:val="10"/>
              </w:numPr>
            </w:pPr>
            <w:r>
              <w:t>Formato CMDB</w:t>
            </w:r>
          </w:p>
          <w:p w:rsidR="009F4B63" w:rsidRDefault="009F4B63" w:rsidP="009F4B63">
            <w:pPr>
              <w:pStyle w:val="Prrafodelista"/>
              <w:numPr>
                <w:ilvl w:val="0"/>
                <w:numId w:val="10"/>
              </w:numPr>
            </w:pPr>
            <w:r>
              <w:t>Formato RFC Liviano Usuarios Finales ETB (Grandes Clientes)</w:t>
            </w:r>
          </w:p>
        </w:tc>
      </w:tr>
      <w:tr w:rsidR="004506B4" w:rsidTr="004506B4">
        <w:tc>
          <w:tcPr>
            <w:tcW w:w="1980" w:type="dxa"/>
          </w:tcPr>
          <w:p w:rsidR="004506B4" w:rsidRDefault="004506B4" w:rsidP="004506B4">
            <w:r>
              <w:t>Políticas</w:t>
            </w:r>
          </w:p>
        </w:tc>
        <w:tc>
          <w:tcPr>
            <w:tcW w:w="5812" w:type="dxa"/>
          </w:tcPr>
          <w:p w:rsidR="004506B4" w:rsidRDefault="009F4B63" w:rsidP="009F4B63">
            <w:pPr>
              <w:pStyle w:val="Prrafodelista"/>
              <w:numPr>
                <w:ilvl w:val="0"/>
                <w:numId w:val="11"/>
              </w:numPr>
            </w:pPr>
            <w:r>
              <w:t>El analista solo registrar el cambio en el momento en que el líder del proceso proporcione la autorización del mismo.</w:t>
            </w:r>
          </w:p>
          <w:p w:rsidR="009F4B63" w:rsidRDefault="009F4B63" w:rsidP="009F4B63">
            <w:pPr>
              <w:pStyle w:val="Prrafodelista"/>
              <w:numPr>
                <w:ilvl w:val="0"/>
                <w:numId w:val="11"/>
              </w:numPr>
            </w:pPr>
            <w:r>
              <w:t xml:space="preserve">Esta autorización tiene un máximo de 3 </w:t>
            </w:r>
            <w:r w:rsidR="004F0B6F">
              <w:t>días</w:t>
            </w:r>
            <w:r>
              <w:t xml:space="preserve"> para generarse y el escalamiento que se realiza es el siguiente:</w:t>
            </w:r>
          </w:p>
          <w:p w:rsidR="009F4B63" w:rsidRDefault="009F4B63" w:rsidP="009F4B63">
            <w:pPr>
              <w:pStyle w:val="Prrafodelista"/>
              <w:numPr>
                <w:ilvl w:val="1"/>
                <w:numId w:val="11"/>
              </w:numPr>
            </w:pPr>
            <w:r>
              <w:t>Análisis de Cambios: 1 día.</w:t>
            </w:r>
          </w:p>
          <w:p w:rsidR="009F4B63" w:rsidRDefault="009F4B63" w:rsidP="009F4B63">
            <w:pPr>
              <w:pStyle w:val="Prrafodelista"/>
              <w:numPr>
                <w:ilvl w:val="1"/>
                <w:numId w:val="11"/>
              </w:numPr>
            </w:pPr>
            <w:r>
              <w:t>Coordinador Técnico: 1 día.</w:t>
            </w:r>
          </w:p>
          <w:p w:rsidR="009F4B63" w:rsidRDefault="009F4B63" w:rsidP="009F4B63">
            <w:pPr>
              <w:pStyle w:val="Prrafodelista"/>
              <w:numPr>
                <w:ilvl w:val="1"/>
                <w:numId w:val="11"/>
              </w:numPr>
            </w:pPr>
            <w:r>
              <w:t>Gestor de Cambios ETB: 1 día.</w:t>
            </w:r>
          </w:p>
          <w:p w:rsidR="009F4B63" w:rsidRDefault="009F4B63" w:rsidP="009F4B63">
            <w:pPr>
              <w:pStyle w:val="Prrafodelista"/>
              <w:numPr>
                <w:ilvl w:val="0"/>
                <w:numId w:val="11"/>
              </w:numPr>
            </w:pPr>
            <w:r>
              <w:t>Pasados estos 3 días sin observarse la autorización del RFC, se rechazará y se dará por cerrado el proceso.</w:t>
            </w:r>
          </w:p>
          <w:p w:rsidR="009F4B63" w:rsidRDefault="009F4B63" w:rsidP="009F4B63">
            <w:pPr>
              <w:pStyle w:val="Prrafodelista"/>
              <w:numPr>
                <w:ilvl w:val="0"/>
                <w:numId w:val="11"/>
              </w:numPr>
            </w:pPr>
            <w:r>
              <w:t>Todas las actividades durante el proceso de registro se deben documentar en la herramienta suministrada para la gestión de RFC.</w:t>
            </w:r>
          </w:p>
        </w:tc>
      </w:tr>
    </w:tbl>
    <w:p w:rsidR="004506B4" w:rsidRDefault="004506B4" w:rsidP="004506B4"/>
    <w:p w:rsidR="004506B4" w:rsidRDefault="004506B4" w:rsidP="004506B4"/>
    <w:p w:rsidR="004506B4" w:rsidRPr="004506B4" w:rsidRDefault="004506B4" w:rsidP="004506B4"/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29402219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Clasificar el Cambio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8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FC5D54">
        <w:tc>
          <w:tcPr>
            <w:tcW w:w="1980" w:type="dxa"/>
          </w:tcPr>
          <w:p w:rsidR="005A1B02" w:rsidRDefault="005A1B02" w:rsidP="00FC5D5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2"/>
              </w:numPr>
            </w:pPr>
            <w:r>
              <w:t>Análisis inicial del cambio (tipo y prioridad)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2"/>
              </w:numPr>
            </w:pPr>
            <w:r>
              <w:t>Analizar el cambio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Documentación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3"/>
              </w:numPr>
            </w:pPr>
            <w:r>
              <w:t>RFC de Service Manager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3"/>
              </w:numPr>
            </w:pPr>
            <w:r>
              <w:t>La información del RFC debe estar completa y consistente.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Todas las actividades durante el proceso de clasificación se deben documentar en la herramienta suministrada para la gestión de RFC.</w:t>
            </w:r>
          </w:p>
        </w:tc>
      </w:tr>
    </w:tbl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Default="005A1B02" w:rsidP="005A1B02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29402220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Evaluación del Impacto y Riesgo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9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FC5D54">
        <w:tc>
          <w:tcPr>
            <w:tcW w:w="1980" w:type="dxa"/>
          </w:tcPr>
          <w:p w:rsidR="005A1B02" w:rsidRDefault="005A1B02" w:rsidP="00FC5D5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Identificación y análisis del impacto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Analizar riesgos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Verificar modificación al alcance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Ajustar el plan de trabajo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Analizar el impacto sobre los cambios en curso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Documentación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5"/>
              </w:numPr>
            </w:pPr>
            <w:r>
              <w:t>RFC de Service Manager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5"/>
              </w:numPr>
            </w:pPr>
            <w:r>
              <w:t>Formato MOP (ventana de mantenimiento usuarios externos)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5"/>
              </w:numPr>
            </w:pPr>
            <w:r>
              <w:t>Formato CMDB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6"/>
              </w:numPr>
            </w:pPr>
            <w:r>
              <w:t>Los escalamientos definidos en esta etapa del proceso cuando se cumplen los tiempos pactados son: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16"/>
              </w:numPr>
            </w:pPr>
            <w:r>
              <w:t>Analista de Cambios: 1 día.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16"/>
              </w:numPr>
            </w:pPr>
            <w:r>
              <w:t>Coordinador Técnico: 1 día.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16"/>
              </w:numPr>
            </w:pPr>
            <w:r>
              <w:t>Gestor de Cambios ETB: 1dia.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6"/>
              </w:numPr>
            </w:pPr>
            <w:r>
              <w:t>Cuando los cambios impacten a clientes del negocio o de manera general a la organización ETB (redes, agenda, internet, etc.) se deberá presentar ante el comité de cambios corporativos (donde asiste el gestor de cambios como representante de la vicepresidencia informática) para evaluar y aprobar con ellos estos tipos de cambios.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6"/>
              </w:numPr>
            </w:pPr>
            <w:r>
              <w:t>Para finalizar el análisis para los cambios en curso, en el caso de proyectos debe existir el dimensionamiento de pruebas realizado por el gestor de entrega y el diseño aprobado por parte de arquitectura.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6"/>
              </w:numPr>
            </w:pPr>
            <w:r>
              <w:t>Todo cambio que genere un cambio de versión sobre cualquier componente de TI, debe adjuntar el Reléase Note y su correspondiente explicación frente al impacto sobre las aplicaciones, servidores o BD para poder adelantar el análisis de riesgo aprobado.</w:t>
            </w:r>
          </w:p>
        </w:tc>
      </w:tr>
    </w:tbl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Pr="005A1B02" w:rsidRDefault="005A1B02" w:rsidP="005A1B02"/>
    <w:p w:rsidR="00A241B5" w:rsidRDefault="009E4FEA" w:rsidP="005A1B02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29402221"/>
      <w:r w:rsidRPr="005A1B02">
        <w:rPr>
          <w:rFonts w:ascii="Times New Roman" w:hAnsi="Times New Roman" w:cs="Times New Roman"/>
          <w:b/>
          <w:color w:val="auto"/>
          <w:sz w:val="24"/>
          <w:szCs w:val="24"/>
        </w:rPr>
        <w:t>Aprobación del Cambio</w:t>
      </w:r>
      <w:r w:rsidR="00A241B5" w:rsidRPr="005A1B02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0"/>
      <w:r w:rsidR="00A241B5" w:rsidRPr="005A1B0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FC5D54">
        <w:tc>
          <w:tcPr>
            <w:tcW w:w="1980" w:type="dxa"/>
          </w:tcPr>
          <w:p w:rsidR="005A1B02" w:rsidRDefault="005A1B02" w:rsidP="00FC5D5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7"/>
              </w:numPr>
            </w:pPr>
            <w:r>
              <w:t>Consulta de clasificación realizada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7"/>
              </w:numPr>
            </w:pPr>
            <w:r>
              <w:t>Decidir aprobación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7"/>
              </w:numPr>
            </w:pPr>
            <w:r>
              <w:t>Agendar comité de Cambios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7"/>
              </w:numPr>
            </w:pPr>
            <w:r>
              <w:t>Analizar Relaciones con otros cambios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7"/>
              </w:numPr>
            </w:pPr>
            <w:r>
              <w:t>Agrupar Cambios en entregas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Documentación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8"/>
              </w:numPr>
            </w:pPr>
            <w:r>
              <w:t>RFC Service Manager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8"/>
              </w:numPr>
            </w:pPr>
            <w:r>
              <w:t>Formato MOP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8"/>
              </w:numPr>
            </w:pPr>
            <w:r>
              <w:t>Tique service desk aprobado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9"/>
              </w:numPr>
            </w:pPr>
            <w:r>
              <w:t>El gestor de Cambio es quien aprueba las solicitudes, a excepción de los cambios de categoría Mayor.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9"/>
              </w:numPr>
            </w:pPr>
            <w:r>
              <w:lastRenderedPageBreak/>
              <w:t>Todo cambio mayor o critico debe ser aprobado por el comité de cambios, y los cambios urgentes son aprobados por el comité de urgencias.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9"/>
              </w:numPr>
            </w:pPr>
            <w:r>
              <w:t>Los cambios corporativos, son aprobados por el comité de cambios corporativo.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9"/>
              </w:numPr>
            </w:pPr>
            <w:r>
              <w:t>Todas las actividades durante este procedimiento se deben documentar en la herramienta suministrada para la gestión de RFC.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9"/>
              </w:numPr>
            </w:pPr>
            <w:r>
              <w:t>Se realiza la notificación de los cambios a los organismos o miembros involucrados en el proceso de cambios por medio de correo electrónico a través de la cuenta pertinente.</w:t>
            </w:r>
          </w:p>
        </w:tc>
      </w:tr>
    </w:tbl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Default="005A1B02" w:rsidP="005A1B02"/>
    <w:p w:rsidR="005A1B02" w:rsidRPr="005A1B02" w:rsidRDefault="005A1B02" w:rsidP="005A1B02"/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29402222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Planificación y Calendarización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1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FC5D54">
        <w:tc>
          <w:tcPr>
            <w:tcW w:w="1980" w:type="dxa"/>
          </w:tcPr>
          <w:p w:rsidR="005A1B02" w:rsidRDefault="005A1B02" w:rsidP="00FC5D5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0"/>
              </w:numPr>
            </w:pPr>
            <w:r>
              <w:t>Definir fechas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0"/>
              </w:numPr>
            </w:pPr>
            <w:r>
              <w:t>Re planificar cambios afectados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0"/>
              </w:numPr>
            </w:pPr>
            <w:r>
              <w:t>Informar a los implicados del cambio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Documentación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1"/>
              </w:numPr>
            </w:pPr>
            <w:r>
              <w:t>RFC Service Manager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1"/>
              </w:numPr>
            </w:pPr>
            <w:r>
              <w:t>Calendario de Cambios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1"/>
              </w:numPr>
            </w:pPr>
            <w:r>
              <w:t>El grupo de gestión de cambios, realizara en forma conjunta con el proceso de Gestión de entrega, la planificación del cambio en el tiempo, coordinando la inter-relación y el efecto sobre los cambios que estén en marcha.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1"/>
              </w:numPr>
            </w:pPr>
            <w:r>
              <w:t>Las solicitudes de cambio que hayan cumplido con el ciclo del proceso hasta la fase de aprobación, tendrán un seguimiento continuo a la puesta en marcha de los planes de trabajo y cuando se requiera se re-planificara las fechas estimadas de puesta en producción, en función de las necesidades de negocio, las prioridades y las categorías de los mismos.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1"/>
              </w:numPr>
            </w:pPr>
            <w:r>
              <w:t>Se realizara la oficialización de las fechas estimadas de puesta en producción y de los cambios que se puedan presentar en el calendario, mediante la cuenta correspondiente.</w:t>
            </w:r>
          </w:p>
        </w:tc>
      </w:tr>
    </w:tbl>
    <w:p w:rsidR="005A1B02" w:rsidRPr="005A1B02" w:rsidRDefault="005A1B02" w:rsidP="005A1B02"/>
    <w:p w:rsidR="00A241B5" w:rsidRDefault="009E4FEA" w:rsidP="00A13ED6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29402223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Implementación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2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FC5D54">
        <w:tc>
          <w:tcPr>
            <w:tcW w:w="1980" w:type="dxa"/>
          </w:tcPr>
          <w:p w:rsidR="005A1B02" w:rsidRDefault="005A1B02" w:rsidP="00FC5D5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Asignación de tareas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Verificar la correcta preparación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Verificar procedimientos de marcha atrás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Verificar la realización de pruebas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Implementación del cambio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Documentación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3"/>
              </w:numPr>
            </w:pPr>
            <w:r>
              <w:t>RFC Service Manager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3"/>
              </w:numPr>
            </w:pPr>
            <w:r>
              <w:t>Formato Seguimiento a Planes de Trabajo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3"/>
              </w:numPr>
            </w:pPr>
            <w:r>
              <w:t>Calendario de Cambios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4"/>
              </w:numPr>
            </w:pPr>
            <w:r>
              <w:t>Seguimiento a Planes de Trabajo: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25"/>
              </w:numPr>
            </w:pPr>
            <w:r>
              <w:t>Analista de cambios: 2 días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25"/>
              </w:numPr>
            </w:pPr>
            <w:r>
              <w:t>Coordinador Técnico: 2 días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25"/>
              </w:numPr>
            </w:pPr>
            <w:r>
              <w:t>Gestor de Cambios ETB: 1 día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4"/>
              </w:numPr>
            </w:pPr>
            <w:r w:rsidRPr="00A11E49">
              <w:rPr>
                <w:b/>
              </w:rPr>
              <w:lastRenderedPageBreak/>
              <w:t>Pnp Cambios Infraestructura:</w:t>
            </w:r>
            <w:r>
              <w:t xml:space="preserve"> Gestión del cambio realizara el seguimiento, de acuerdo a lo establecido en las reuniones de implementación. El líder de implementación es el responsable de ejecutar las actividades del cambio.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4"/>
              </w:numPr>
            </w:pPr>
            <w:proofErr w:type="spellStart"/>
            <w:r w:rsidRPr="00A11E49">
              <w:rPr>
                <w:b/>
              </w:rPr>
              <w:t>PnP</w:t>
            </w:r>
            <w:proofErr w:type="spellEnd"/>
            <w:r w:rsidRPr="00A11E49">
              <w:rPr>
                <w:b/>
              </w:rPr>
              <w:t xml:space="preserve"> Cambios de Aplicación (reléase):</w:t>
            </w:r>
            <w:r>
              <w:t xml:space="preserve"> Se realiza una llamada al iniciar el despliegue y espera la llamada de la persona de gestión de entrega confirmando la finalización de las prueba en producción para coordinar los recursos que deben ejecutar correspondientes (soporte aplicaciones, call center).</w:t>
            </w:r>
          </w:p>
        </w:tc>
      </w:tr>
    </w:tbl>
    <w:p w:rsidR="005A1B02" w:rsidRDefault="005A1B02" w:rsidP="005A1B02"/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Pr="005A1B02" w:rsidRDefault="005A1B02" w:rsidP="005A1B02"/>
    <w:p w:rsidR="009E4FEA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29402224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Verificación de la Implementación:</w:t>
      </w:r>
      <w:bookmarkEnd w:id="13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FC5D54">
        <w:tc>
          <w:tcPr>
            <w:tcW w:w="1980" w:type="dxa"/>
          </w:tcPr>
          <w:p w:rsidR="005A1B02" w:rsidRDefault="005A1B02" w:rsidP="00FC5D5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7"/>
              </w:numPr>
            </w:pPr>
            <w:r>
              <w:t>Revisar efectos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7"/>
              </w:numPr>
            </w:pPr>
            <w:r>
              <w:t>Identificar la satisfacción de usuarios/clientes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Documentación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RFC Service Manager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Calendario Cambios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Reporte de maniobras ejecutadas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Reporte de Reléase implementados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Matriz de Control.</w:t>
            </w:r>
          </w:p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9"/>
              </w:numPr>
            </w:pPr>
            <w:r>
              <w:t>Plazo de Ejecución: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30"/>
              </w:numPr>
            </w:pPr>
            <w:r>
              <w:t>Infraestructura: 1 día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30"/>
              </w:numPr>
            </w:pPr>
            <w:r>
              <w:t>Aplicaciones: 5 días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9"/>
              </w:numPr>
            </w:pPr>
            <w:r>
              <w:t>La encuesta de satisfacción debe realizarse a los directores de proyecto y líderes de mantenimiento.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9"/>
              </w:numPr>
            </w:pPr>
            <w:r>
              <w:t>El análisis de seguimiento debe realizar mínimo dos llamadas diarias para asegurar la encuesta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9"/>
              </w:numPr>
            </w:pPr>
            <w:r>
              <w:t>Efectos no esperados: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29"/>
              </w:numPr>
            </w:pPr>
            <w:r>
              <w:t>RFC Urgentes</w:t>
            </w:r>
          </w:p>
          <w:p w:rsidR="00A11E49" w:rsidRDefault="00A11E49" w:rsidP="00A11E49">
            <w:pPr>
              <w:pStyle w:val="Prrafodelista"/>
              <w:numPr>
                <w:ilvl w:val="1"/>
                <w:numId w:val="29"/>
              </w:numPr>
            </w:pPr>
            <w:r>
              <w:t>Incidentes Relacionados</w:t>
            </w:r>
          </w:p>
        </w:tc>
      </w:tr>
    </w:tbl>
    <w:p w:rsidR="005A1B02" w:rsidRDefault="005A1B02" w:rsidP="005A1B02"/>
    <w:p w:rsidR="005A1B02" w:rsidRDefault="005A1B02" w:rsidP="005A1B02"/>
    <w:p w:rsidR="005A1B02" w:rsidRPr="005A1B02" w:rsidRDefault="005A1B02" w:rsidP="005A1B02"/>
    <w:p w:rsidR="009E4FEA" w:rsidRPr="009E4FEA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29402225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Cierre:</w:t>
      </w:r>
      <w:bookmarkEnd w:id="14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FC5D54">
        <w:tc>
          <w:tcPr>
            <w:tcW w:w="1980" w:type="dxa"/>
          </w:tcPr>
          <w:p w:rsidR="005A1B02" w:rsidRDefault="005A1B02" w:rsidP="00FC5D54">
            <w:r>
              <w:t>Actividades</w:t>
            </w:r>
          </w:p>
        </w:tc>
        <w:tc>
          <w:tcPr>
            <w:tcW w:w="5812" w:type="dxa"/>
          </w:tcPr>
          <w:p w:rsidR="005A1B02" w:rsidRDefault="005A1B02" w:rsidP="00FC5D54"/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Documentación</w:t>
            </w:r>
          </w:p>
        </w:tc>
        <w:tc>
          <w:tcPr>
            <w:tcW w:w="5812" w:type="dxa"/>
          </w:tcPr>
          <w:p w:rsidR="005A1B02" w:rsidRDefault="005A1B02" w:rsidP="00FC5D54"/>
        </w:tc>
      </w:tr>
      <w:tr w:rsidR="005A1B02" w:rsidTr="00FC5D54">
        <w:tc>
          <w:tcPr>
            <w:tcW w:w="1980" w:type="dxa"/>
          </w:tcPr>
          <w:p w:rsidR="005A1B02" w:rsidRDefault="005A1B02" w:rsidP="00FC5D5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31"/>
              </w:numPr>
            </w:pPr>
            <w:r>
              <w:t>Se dará cierre a los RFC´s cuya etapa de verificación post-implementación se haya culminado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31"/>
              </w:numPr>
            </w:pPr>
            <w:r>
              <w:t>Se dará cierre a los RFC´s cuya verificación de actualización en al CMDB se haya completado de acuerdo al procedimiento establecido en Gestión de Configuraciones, validado y aprobado por la Gerencia de Proyectos de TI.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31"/>
              </w:numPr>
            </w:pPr>
            <w:r>
              <w:t>Se dará cierre a los  RFC´s cuya proceso de licenciamiento se haya culminado de acuerdo a los procedimientos establecidos por Gestión de la Entrega.</w:t>
            </w:r>
          </w:p>
        </w:tc>
      </w:tr>
    </w:tbl>
    <w:p w:rsidR="009E4FEA" w:rsidRPr="009E4FEA" w:rsidRDefault="009E4FEA" w:rsidP="009E4FEA"/>
    <w:p w:rsidR="009E4FEA" w:rsidRPr="009E4FEA" w:rsidRDefault="009E4FEA" w:rsidP="009E4FEA"/>
    <w:p w:rsidR="00A241B5" w:rsidRDefault="00A241B5" w:rsidP="00A241B5">
      <w:pPr>
        <w:pStyle w:val="Prrafodelista"/>
      </w:pPr>
    </w:p>
    <w:p w:rsidR="00A241B5" w:rsidRDefault="00A241B5" w:rsidP="00A241B5">
      <w:pPr>
        <w:ind w:left="360"/>
      </w:pPr>
    </w:p>
    <w:p w:rsidR="00A241B5" w:rsidRDefault="00A241B5"/>
    <w:sectPr w:rsidR="00A241B5" w:rsidSect="0045734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A0" w:rsidRDefault="001760A0" w:rsidP="00457344">
      <w:pPr>
        <w:spacing w:after="0" w:line="240" w:lineRule="auto"/>
      </w:pPr>
      <w:r>
        <w:separator/>
      </w:r>
    </w:p>
  </w:endnote>
  <w:endnote w:type="continuationSeparator" w:id="0">
    <w:p w:rsidR="001760A0" w:rsidRDefault="001760A0" w:rsidP="0045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011774"/>
      <w:docPartObj>
        <w:docPartGallery w:val="Page Numbers (Bottom of Page)"/>
        <w:docPartUnique/>
      </w:docPartObj>
    </w:sdtPr>
    <w:sdtEndPr/>
    <w:sdtContent>
      <w:p w:rsidR="00457344" w:rsidRDefault="004573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13F" w:rsidRPr="00DF213F">
          <w:rPr>
            <w:noProof/>
            <w:lang w:val="es-ES"/>
          </w:rPr>
          <w:t>9</w:t>
        </w:r>
        <w:r>
          <w:fldChar w:fldCharType="end"/>
        </w:r>
      </w:p>
    </w:sdtContent>
  </w:sdt>
  <w:p w:rsidR="00457344" w:rsidRDefault="004573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A0" w:rsidRDefault="001760A0" w:rsidP="00457344">
      <w:pPr>
        <w:spacing w:after="0" w:line="240" w:lineRule="auto"/>
      </w:pPr>
      <w:r>
        <w:separator/>
      </w:r>
    </w:p>
  </w:footnote>
  <w:footnote w:type="continuationSeparator" w:id="0">
    <w:p w:rsidR="001760A0" w:rsidRDefault="001760A0" w:rsidP="00457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3D4F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BF"/>
    <w:multiLevelType w:val="hybridMultilevel"/>
    <w:tmpl w:val="D724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37D"/>
    <w:multiLevelType w:val="hybridMultilevel"/>
    <w:tmpl w:val="B21A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57EF"/>
    <w:multiLevelType w:val="hybridMultilevel"/>
    <w:tmpl w:val="6DD6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0FCC"/>
    <w:multiLevelType w:val="hybridMultilevel"/>
    <w:tmpl w:val="4AE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3009C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0415"/>
    <w:multiLevelType w:val="hybridMultilevel"/>
    <w:tmpl w:val="72605AC2"/>
    <w:lvl w:ilvl="0" w:tplc="3C8C2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72F8"/>
    <w:multiLevelType w:val="hybridMultilevel"/>
    <w:tmpl w:val="D868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A5EC2"/>
    <w:multiLevelType w:val="hybridMultilevel"/>
    <w:tmpl w:val="E17C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64C0"/>
    <w:multiLevelType w:val="hybridMultilevel"/>
    <w:tmpl w:val="E2D23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A1A4E"/>
    <w:multiLevelType w:val="hybridMultilevel"/>
    <w:tmpl w:val="D0CA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956F0"/>
    <w:multiLevelType w:val="multilevel"/>
    <w:tmpl w:val="D902CC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841162"/>
    <w:multiLevelType w:val="hybridMultilevel"/>
    <w:tmpl w:val="BC38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B03E5"/>
    <w:multiLevelType w:val="hybridMultilevel"/>
    <w:tmpl w:val="1EF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E60DC"/>
    <w:multiLevelType w:val="hybridMultilevel"/>
    <w:tmpl w:val="CFF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A7A8B"/>
    <w:multiLevelType w:val="hybridMultilevel"/>
    <w:tmpl w:val="15DE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56858"/>
    <w:multiLevelType w:val="hybridMultilevel"/>
    <w:tmpl w:val="71AE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B690E"/>
    <w:multiLevelType w:val="hybridMultilevel"/>
    <w:tmpl w:val="1B1696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E6EB3"/>
    <w:multiLevelType w:val="hybridMultilevel"/>
    <w:tmpl w:val="CBB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43E3C"/>
    <w:multiLevelType w:val="hybridMultilevel"/>
    <w:tmpl w:val="4F4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B0A7D"/>
    <w:multiLevelType w:val="hybridMultilevel"/>
    <w:tmpl w:val="1D2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C3BA5"/>
    <w:multiLevelType w:val="hybridMultilevel"/>
    <w:tmpl w:val="DC68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134FC"/>
    <w:multiLevelType w:val="hybridMultilevel"/>
    <w:tmpl w:val="EBD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44C8D"/>
    <w:multiLevelType w:val="hybridMultilevel"/>
    <w:tmpl w:val="EEF2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B402D"/>
    <w:multiLevelType w:val="hybridMultilevel"/>
    <w:tmpl w:val="7AE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3444B"/>
    <w:multiLevelType w:val="hybridMultilevel"/>
    <w:tmpl w:val="5620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30226"/>
    <w:multiLevelType w:val="hybridMultilevel"/>
    <w:tmpl w:val="2C08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02B27"/>
    <w:multiLevelType w:val="multilevel"/>
    <w:tmpl w:val="4F248EF4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7985F6D"/>
    <w:multiLevelType w:val="multilevel"/>
    <w:tmpl w:val="36EEA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7D46213"/>
    <w:multiLevelType w:val="hybridMultilevel"/>
    <w:tmpl w:val="7DA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30DD6"/>
    <w:multiLevelType w:val="hybridMultilevel"/>
    <w:tmpl w:val="0F2C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28"/>
  </w:num>
  <w:num w:numId="6">
    <w:abstractNumId w:val="6"/>
  </w:num>
  <w:num w:numId="7">
    <w:abstractNumId w:val="17"/>
  </w:num>
  <w:num w:numId="8">
    <w:abstractNumId w:val="27"/>
  </w:num>
  <w:num w:numId="9">
    <w:abstractNumId w:val="23"/>
  </w:num>
  <w:num w:numId="10">
    <w:abstractNumId w:val="8"/>
  </w:num>
  <w:num w:numId="11">
    <w:abstractNumId w:val="18"/>
  </w:num>
  <w:num w:numId="12">
    <w:abstractNumId w:val="2"/>
  </w:num>
  <w:num w:numId="13">
    <w:abstractNumId w:val="19"/>
  </w:num>
  <w:num w:numId="14">
    <w:abstractNumId w:val="26"/>
  </w:num>
  <w:num w:numId="15">
    <w:abstractNumId w:val="25"/>
  </w:num>
  <w:num w:numId="16">
    <w:abstractNumId w:val="12"/>
  </w:num>
  <w:num w:numId="17">
    <w:abstractNumId w:val="21"/>
  </w:num>
  <w:num w:numId="18">
    <w:abstractNumId w:val="10"/>
  </w:num>
  <w:num w:numId="19">
    <w:abstractNumId w:val="29"/>
  </w:num>
  <w:num w:numId="20">
    <w:abstractNumId w:val="4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5"/>
  </w:num>
  <w:num w:numId="26">
    <w:abstractNumId w:val="13"/>
  </w:num>
  <w:num w:numId="27">
    <w:abstractNumId w:val="16"/>
  </w:num>
  <w:num w:numId="28">
    <w:abstractNumId w:val="30"/>
  </w:num>
  <w:num w:numId="29">
    <w:abstractNumId w:val="1"/>
  </w:num>
  <w:num w:numId="30">
    <w:abstractNumId w:val="7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B5"/>
    <w:rsid w:val="000857ED"/>
    <w:rsid w:val="00086AE8"/>
    <w:rsid w:val="000D1641"/>
    <w:rsid w:val="001760A0"/>
    <w:rsid w:val="00336818"/>
    <w:rsid w:val="003B4620"/>
    <w:rsid w:val="004506B4"/>
    <w:rsid w:val="00457344"/>
    <w:rsid w:val="004F0B6F"/>
    <w:rsid w:val="00542A55"/>
    <w:rsid w:val="005A1B02"/>
    <w:rsid w:val="005D2AF0"/>
    <w:rsid w:val="00633356"/>
    <w:rsid w:val="00776C82"/>
    <w:rsid w:val="007A397A"/>
    <w:rsid w:val="007F2351"/>
    <w:rsid w:val="009E4FEA"/>
    <w:rsid w:val="009F4B63"/>
    <w:rsid w:val="00A11E49"/>
    <w:rsid w:val="00A13ED6"/>
    <w:rsid w:val="00A241B5"/>
    <w:rsid w:val="00A73C2E"/>
    <w:rsid w:val="00B82D23"/>
    <w:rsid w:val="00BB69DB"/>
    <w:rsid w:val="00BF20E4"/>
    <w:rsid w:val="00BF5C20"/>
    <w:rsid w:val="00CA42AF"/>
    <w:rsid w:val="00CE773D"/>
    <w:rsid w:val="00D26AF0"/>
    <w:rsid w:val="00D6569A"/>
    <w:rsid w:val="00D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E065"/>
  <w15:chartTrackingRefBased/>
  <w15:docId w15:val="{BBC3406C-87CA-4738-831E-43B4C43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1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A42AF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CA42AF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13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3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D2AF0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5D2AF0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D2AF0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5D2AF0"/>
    <w:pPr>
      <w:spacing w:after="100"/>
      <w:ind w:left="440"/>
    </w:pPr>
    <w:rPr>
      <w:rFonts w:eastAsiaTheme="minorEastAsia" w:cs="Times New Roman"/>
      <w:lang w:eastAsia="es-PE"/>
    </w:rPr>
  </w:style>
  <w:style w:type="character" w:styleId="Hipervnculo">
    <w:name w:val="Hyperlink"/>
    <w:basedOn w:val="Fuentedeprrafopredeter"/>
    <w:uiPriority w:val="99"/>
    <w:unhideWhenUsed/>
    <w:rsid w:val="005D2AF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7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344"/>
  </w:style>
  <w:style w:type="paragraph" w:styleId="Piedepgina">
    <w:name w:val="footer"/>
    <w:basedOn w:val="Normal"/>
    <w:link w:val="PiedepginaCar"/>
    <w:uiPriority w:val="99"/>
    <w:unhideWhenUsed/>
    <w:rsid w:val="00457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E987E-3B14-4170-B41D-CBC59CD7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9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Jhosep Jeiner Meléndez Varas</cp:lastModifiedBy>
  <cp:revision>24</cp:revision>
  <dcterms:created xsi:type="dcterms:W3CDTF">2018-10-27T19:21:00Z</dcterms:created>
  <dcterms:modified xsi:type="dcterms:W3CDTF">2018-11-08T06:02:00Z</dcterms:modified>
</cp:coreProperties>
</file>