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F4E78"/>
          <w:sz w:val="44"/>
        </w:rPr>
        <w:t xml:space="preserve">Turni  </w:t>
      </w:r>
      <w:r>
        <w:rPr>
          <w:rFonts w:ascii="Calibri" w:hAnsi="Calibri"/>
          <w:b w:val="0"/>
          <w:i w:val="0"/>
          <w:color w:val="666666"/>
          <w:sz w:val="44"/>
        </w:rPr>
        <w:t>|  BR Growth Advisory</w:t>
      </w:r>
    </w:p>
    <w:p>
      <w:r>
        <w:rPr>
          <w:rFonts w:ascii="Calibri" w:hAnsi="Calibri"/>
          <w:b w:val="0"/>
          <w:i/>
          <w:color w:val="666666"/>
          <w:sz w:val="24"/>
        </w:rPr>
        <w:t>Scoping options for engagement</w:t>
      </w:r>
    </w:p>
    <w:p>
      <w:pPr>
        <w:pBdr>
          <w:bottom w:val="single" w:sz="12" w:space="1" w:color="1F4E7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66666"/>
                <w:sz w:val="20"/>
              </w:rPr>
              <w:t>From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Everton Paula  |  Plenor Group LLC  |  Tampa, FL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66666"/>
                <w:sz w:val="20"/>
              </w:rPr>
              <w:t>To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Dima Yakovlev  |  Co-Founder, Turni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66666"/>
                <w:sz w:val="20"/>
              </w:rPr>
              <w:t>Date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July 8, 2026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66666"/>
                <w:sz w:val="20"/>
              </w:rPr>
              <w:t>Subject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Scoping options following our discovery call</w:t>
            </w:r>
          </w:p>
        </w:tc>
      </w:tr>
    </w:tbl>
    <w:p/>
    <w:p>
      <w:r>
        <w:rPr>
          <w:rFonts w:ascii="Calibri" w:hAnsi="Calibri"/>
          <w:b/>
          <w:i w:val="0"/>
          <w:color w:val="1F4E78"/>
          <w:sz w:val="28"/>
        </w:rPr>
        <w:t>1. What I heard</w:t>
      </w:r>
    </w:p>
    <w:p>
      <w:r>
        <w:rPr>
          <w:rFonts w:ascii="Calibri" w:hAnsi="Calibri"/>
          <w:b w:val="0"/>
          <w:i w:val="0"/>
          <w:color w:val="222222"/>
          <w:sz w:val="22"/>
        </w:rPr>
        <w:t>Thanks for the honest, unhurried conversation yesterday. A few things stood out that shape the way I'd think about contributing: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Stage. </w:t>
      </w:r>
      <w:r>
        <w:rPr>
          <w:rFonts w:ascii="Calibri" w:hAnsi="Calibri"/>
          <w:b w:val="0"/>
          <w:i w:val="0"/>
          <w:color w:val="222222"/>
          <w:sz w:val="22"/>
        </w:rPr>
        <w:t>Turni is bootstrapped and revenue-positive, with a separate Brazil build running in parallel to the Russian operation. Fundraising window targeted around September or October.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Blocker you named. </w:t>
      </w:r>
      <w:r>
        <w:rPr>
          <w:rFonts w:ascii="Calibri" w:hAnsi="Calibri"/>
          <w:b w:val="0"/>
          <w:i w:val="0"/>
          <w:color w:val="222222"/>
          <w:sz w:val="22"/>
        </w:rPr>
        <w:t>A Portuguese-speaking senior BD leader for Brazil. All current C-levels operate in English, which limits reach to roughly 20% of the market.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ICP direction. </w:t>
      </w:r>
      <w:r>
        <w:rPr>
          <w:rFonts w:ascii="Calibri" w:hAnsi="Calibri"/>
          <w:b w:val="0"/>
          <w:i w:val="0"/>
          <w:color w:val="222222"/>
          <w:sz w:val="22"/>
        </w:rPr>
        <w:t>Retail chains (Pão de Açúcar, Carrefour, Zara, H&amp;M) as anchor, kick-sharing (Jet) as active proof point, adjacent expansions into agriculture and platform peaks (Shopee/Shein/Mercado Livre).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Team shape. </w:t>
      </w:r>
      <w:r>
        <w:rPr>
          <w:rFonts w:ascii="Calibri" w:hAnsi="Calibri"/>
          <w:b w:val="0"/>
          <w:i w:val="0"/>
          <w:color w:val="222222"/>
          <w:sz w:val="22"/>
        </w:rPr>
        <w:t>Jorge covering BD + translation, fractional CMO active, fractional COO joining, CTO on product. Physical presence in São Paulo scaling — visits in June, again in October, full move next spring.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What you asked for. </w:t>
      </w:r>
      <w:r>
        <w:rPr>
          <w:rFonts w:ascii="Calibri" w:hAnsi="Calibri"/>
          <w:b w:val="0"/>
          <w:i w:val="0"/>
          <w:color w:val="222222"/>
          <w:sz w:val="22"/>
        </w:rPr>
        <w:t>A short document from me showing where I see myself contributing, so your team can review internally and align on shape and scope.</w:t>
      </w:r>
    </w:p>
    <w:p/>
    <w:p>
      <w:r>
        <w:rPr>
          <w:rFonts w:ascii="Calibri" w:hAnsi="Calibri"/>
          <w:b/>
          <w:i w:val="0"/>
          <w:color w:val="1F4E78"/>
          <w:sz w:val="28"/>
        </w:rPr>
        <w:t>2. Where I see immediate value</w:t>
      </w:r>
    </w:p>
    <w:p>
      <w:r>
        <w:rPr>
          <w:rFonts w:ascii="Calibri" w:hAnsi="Calibri"/>
          <w:b w:val="0"/>
          <w:i w:val="0"/>
          <w:color w:val="222222"/>
          <w:sz w:val="22"/>
        </w:rPr>
        <w:t>Five areas where my background maps directly to what Turni needs in the next 6 to 12 months: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BR-native BD leadership (Portuguese-first). </w:t>
      </w:r>
      <w:r>
        <w:rPr>
          <w:rFonts w:ascii="Calibri" w:hAnsi="Calibri"/>
          <w:b w:val="0"/>
          <w:i w:val="0"/>
          <w:color w:val="222222"/>
          <w:sz w:val="22"/>
        </w:rPr>
        <w:t>Closing the language gap you named. Direct client conversations with retailers, kick-sharing operators, and marketplace peak clients — no translator in the loop.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ICP tier matrix and prioritization. </w:t>
      </w:r>
      <w:r>
        <w:rPr>
          <w:rFonts w:ascii="Calibri" w:hAnsi="Calibri"/>
          <w:b w:val="0"/>
          <w:i w:val="0"/>
          <w:color w:val="222222"/>
          <w:sz w:val="22"/>
        </w:rPr>
        <w:t>Rank the addressable segments by revenue potential vs sales cycle length. Retail chain, kick-sharing, food deliveries, agriculture, marketplace peaks — each has a different close mechanic. Pick the two that move fastest.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Sales playbook for the Brazilian market. </w:t>
      </w:r>
      <w:r>
        <w:rPr>
          <w:rFonts w:ascii="Calibri" w:hAnsi="Calibri"/>
          <w:b w:val="0"/>
          <w:i w:val="0"/>
          <w:color w:val="222222"/>
          <w:sz w:val="22"/>
        </w:rPr>
        <w:t>Discovery script, objection handling for the CLT-lawsuit anxiety, pricing anchors, and proof-point library. Anchored in patterns that worked at inDrive, Rappi, and Shopee.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Executive coaching for Jorge. </w:t>
      </w:r>
      <w:r>
        <w:rPr>
          <w:rFonts w:ascii="Calibri" w:hAnsi="Calibri"/>
          <w:b w:val="0"/>
          <w:i w:val="0"/>
          <w:color w:val="222222"/>
          <w:sz w:val="22"/>
        </w:rPr>
        <w:t>Jorge is your first BR salesperson. Sharpen his methodology so he closes cleaner while carrying the translator load — and so you can scale him into a founding sales lead when the funding round lands.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222222"/>
          <w:sz w:val="22"/>
        </w:rPr>
        <w:t xml:space="preserve">Network activation in São Paulo. </w:t>
      </w:r>
      <w:r>
        <w:rPr>
          <w:rFonts w:ascii="Calibri" w:hAnsi="Calibri"/>
          <w:b w:val="0"/>
          <w:i w:val="0"/>
          <w:color w:val="222222"/>
          <w:sz w:val="22"/>
        </w:rPr>
        <w:t>Direct intros into operations leadership at retail chains, kick-sharing, and adjacent marketplaces. Ex-inDrive, ex-Shopee, ex-Rappi network is active and Brazil-based.</w:t>
      </w:r>
    </w:p>
    <w:p/>
    <w:p>
      <w:r>
        <w:br w:type="page"/>
      </w:r>
    </w:p>
    <w:p>
      <w:r>
        <w:rPr>
          <w:rFonts w:ascii="Calibri" w:hAnsi="Calibri"/>
          <w:b/>
          <w:i w:val="0"/>
          <w:color w:val="1F4E78"/>
          <w:sz w:val="28"/>
        </w:rPr>
        <w:t>3. Two engagement shapes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Both structured as monthly retainers so we can build compounding context over time, not one-off deliverables. Rates in USD, invoiced monthly via Plenor Group LLC (Florida). </w:t>
      </w:r>
      <w:r>
        <w:rPr>
          <w:rFonts w:ascii="Calibri" w:hAnsi="Calibri"/>
          <w:b w:val="0"/>
          <w:i/>
          <w:color w:val="222222"/>
          <w:sz w:val="22"/>
        </w:rPr>
        <w:t>I'm flexible on structure and payment cadence to fit a bootstrapped stage — less flexible on hourly economics. Open to a hybrid shape if none of these fits cleanly.</w:t>
      </w:r>
    </w:p>
    <w:p>
      <w:r>
        <w:rPr>
          <w:rFonts w:ascii="Calibri" w:hAnsi="Calibri"/>
          <w:b/>
          <w:i w:val="0"/>
          <w:color w:val="C85A2C"/>
          <w:sz w:val="26"/>
        </w:rPr>
        <w:t xml:space="preserve">Option A  </w:t>
      </w:r>
      <w:r>
        <w:rPr>
          <w:rFonts w:ascii="Calibri" w:hAnsi="Calibri"/>
          <w:b/>
          <w:i w:val="0"/>
          <w:color w:val="1F4E78"/>
          <w:sz w:val="26"/>
        </w:rPr>
        <w:t>|  Fractional Strategic Advisor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986"/>
            <w:shd w:val="clear" w:color="auto" w:fill="F2F5F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Retainer</w:t>
            </w:r>
          </w:p>
        </w:tc>
        <w:tc>
          <w:tcPr>
            <w:tcW w:type="dxa" w:w="4986"/>
            <w:shd w:val="clear" w:color="auto" w:fill="F2F5F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USD 6,000 to 10,000 per month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Time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15 to 18 hours per month, allocated across strategy and execution as we agree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Scope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BR strategy calibration, ICP tier matrix, sales playbook draft, coaching sessions with Jorge, targeted network intros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Commitment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3-month minimum, month-to-month after that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Best fit if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Turni wants ongoing strategic weight without a full-time hire, and Jorge continues to own execution day-to-day</w:t>
            </w:r>
          </w:p>
        </w:tc>
      </w:tr>
    </w:tbl>
    <w:p/>
    <w:p>
      <w:r>
        <w:rPr>
          <w:rFonts w:ascii="Calibri" w:hAnsi="Calibri"/>
          <w:b/>
          <w:i w:val="0"/>
          <w:color w:val="C85A2C"/>
          <w:sz w:val="26"/>
        </w:rPr>
        <w:t xml:space="preserve">Option B  </w:t>
      </w:r>
      <w:r>
        <w:rPr>
          <w:rFonts w:ascii="Calibri" w:hAnsi="Calibri"/>
          <w:b/>
          <w:i w:val="0"/>
          <w:color w:val="1F4E78"/>
          <w:sz w:val="26"/>
        </w:rPr>
        <w:t>|  Interim BR Growth Lead (bridge)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986"/>
            <w:shd w:val="clear" w:color="auto" w:fill="F2F5F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Retainer</w:t>
            </w:r>
          </w:p>
        </w:tc>
        <w:tc>
          <w:tcPr>
            <w:tcW w:type="dxa" w:w="4986"/>
            <w:shd w:val="clear" w:color="auto" w:fill="F2F5F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USD 15,000 to 20,000 per month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Time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20 to 25 hours per week (roughly 80 to 100 hours per month)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Scope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Own BR pipeline velocity end-to-end, fill the Portuguese-speaking C-level seat while you recruit the permanent hire, represent Turni in São Paulo meetings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Commitment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3-month minimum with a clear handoff protocol to the permanent hire, subject to advance scheduling of São Paulo travel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E78"/>
                <w:sz w:val="20"/>
              </w:rPr>
              <w:t>Best fit if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Turni needs immediate weight in the market — closing deals in Portuguese now — while the search for a permanent BR BD Lead runs in parallel</w:t>
            </w:r>
          </w:p>
        </w:tc>
      </w:tr>
    </w:tbl>
    <w:p/>
    <w:p>
      <w:r>
        <w:rPr>
          <w:rFonts w:ascii="Calibri" w:hAnsi="Calibri"/>
          <w:b/>
          <w:i/>
          <w:color w:val="C85A2C"/>
          <w:sz w:val="22"/>
        </w:rPr>
        <w:t xml:space="preserve">A note on hybrid structures.  </w:t>
      </w:r>
      <w:r>
        <w:rPr>
          <w:rFonts w:ascii="Calibri" w:hAnsi="Calibri"/>
          <w:b w:val="0"/>
          <w:i/>
          <w:color w:val="222222"/>
          <w:sz w:val="22"/>
        </w:rPr>
        <w:t>For pre-funding stages, I've done reduced cash + milestone-based bonus structures — for example, a lower monthly base with milestone triggers on deal count or pipeline signed. Happy to design something similar if that helps preserve runway while we ramp.</w:t>
      </w:r>
    </w:p>
    <w:p/>
    <w:p>
      <w:r>
        <w:rPr>
          <w:rFonts w:ascii="Calibri" w:hAnsi="Calibri"/>
          <w:b/>
          <w:i w:val="0"/>
          <w:color w:val="1F4E78"/>
          <w:sz w:val="28"/>
        </w:rPr>
        <w:t>4. What I'd suggest next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2"/>
        </w:rPr>
        <w:t>Review internally with your co-founder and Jorge to see which shape aligns with where Turni's budget and priorities sit today.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2"/>
        </w:rPr>
        <w:t>If neither of the two fits cleanly, tell me what's off — I'm open to a hybrid design.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2"/>
        </w:rPr>
        <w:t>Once we align on shape, a 20-minute call to lock the scope statement and start date. I can begin within 30 days of a signed engagement.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22222"/>
          <w:sz w:val="22"/>
        </w:rPr>
        <w:t>São Paulo trips: I need one week of notice to arrange tickets. Happy to plan two to three visits in the first 90 days if that helps the engagement.</w:t>
      </w:r>
    </w:p>
    <w:p/>
    <w:p>
      <w:r>
        <w:rPr>
          <w:rFonts w:ascii="Calibri" w:hAnsi="Calibri"/>
          <w:b/>
          <w:i w:val="0"/>
          <w:color w:val="1F4E78"/>
          <w:sz w:val="28"/>
        </w:rPr>
        <w:t>5. About Plenor Group LLC</w:t>
      </w:r>
    </w:p>
    <w:p>
      <w:r>
        <w:rPr>
          <w:rFonts w:ascii="Calibri" w:hAnsi="Calibri"/>
          <w:b w:val="0"/>
          <w:i w:val="0"/>
          <w:color w:val="222222"/>
          <w:sz w:val="22"/>
        </w:rPr>
        <w:t>Plenor Group LLC is a Florida-based advisory entity through which I engage on marketplace operations and go-to-market work with founders in Latin America and the US. Formal invoicing runs monthly in USD via ACH or wire. Contracts are simple, standard MSAs — happy to send a template alongside a signed engagement.</w:t>
      </w:r>
    </w:p>
    <w:p/>
    <w:p>
      <w:r>
        <w:rPr>
          <w:rFonts w:ascii="Calibri" w:hAnsi="Calibri"/>
          <w:b w:val="0"/>
          <w:i/>
          <w:color w:val="222222"/>
          <w:sz w:val="22"/>
        </w:rPr>
        <w:t>Looking forward to your team's read.</w:t>
      </w:r>
    </w:p>
    <w:p>
      <w:r>
        <w:rPr>
          <w:rFonts w:ascii="Calibri" w:hAnsi="Calibri"/>
          <w:b/>
          <w:i w:val="0"/>
          <w:color w:val="222222"/>
          <w:sz w:val="22"/>
        </w:rPr>
        <w:t>Everton Paula</w:t>
      </w:r>
    </w:p>
    <w:p>
      <w:pPr>
        <w:spacing w:before="0"/>
      </w:pPr>
      <w:r>
        <w:rPr>
          <w:rFonts w:ascii="Calibri" w:hAnsi="Calibri"/>
          <w:b w:val="0"/>
          <w:i w:val="0"/>
          <w:color w:val="666666"/>
          <w:sz w:val="20"/>
        </w:rPr>
        <w:t>Managing Advisor  |  Plenor Group LLC</w:t>
      </w:r>
    </w:p>
    <w:p>
      <w:pPr>
        <w:spacing w:before="0"/>
      </w:pPr>
      <w:r>
        <w:rPr>
          <w:rFonts w:ascii="Calibri" w:hAnsi="Calibri"/>
          <w:b w:val="0"/>
          <w:i w:val="0"/>
          <w:color w:val="666666"/>
          <w:sz w:val="20"/>
        </w:rPr>
        <w:t>evertonsilvapaula@gmail.com  |  Tampa, FL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