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684289F9" w:rsidR="00A7611A" w:rsidRPr="003625D1" w:rsidRDefault="00657A62" w:rsidP="00860F38">
      <w:pPr>
        <w:spacing w:line="240" w:lineRule="auto"/>
        <w:jc w:val="center"/>
        <w:rPr>
          <w:b/>
        </w:rPr>
      </w:pPr>
      <w:r>
        <w:rPr>
          <w:b/>
          <w:bCs/>
          <w:color w:val="000000"/>
        </w:rPr>
        <w:t>Como uma legislação inclusiva contribui para uma maior integração de refugiados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2E0374EF" w:rsidR="001E108A" w:rsidRPr="006F0623" w:rsidRDefault="00657A62" w:rsidP="00CE617C">
      <w:pPr>
        <w:spacing w:line="240" w:lineRule="auto"/>
        <w:jc w:val="center"/>
        <w:rPr>
          <w:b/>
          <w:color w:val="FF0000"/>
          <w:sz w:val="18"/>
        </w:rPr>
      </w:pPr>
      <w:r>
        <w:rPr>
          <w:color w:val="000000"/>
        </w:rPr>
        <w:t>Everson Veríssimo da Silva</w:t>
      </w:r>
      <w:r w:rsidRPr="006F0623">
        <w:t xml:space="preserve"> </w:t>
      </w:r>
      <w:r w:rsidR="00A7611A" w:rsidRPr="006F0623">
        <w:t>¹</w:t>
      </w:r>
      <w:r w:rsidR="009E3D42" w:rsidRPr="006F0623">
        <w:t>*</w:t>
      </w:r>
      <w:r w:rsidR="00EF1F11" w:rsidRPr="006F0623">
        <w:t>;</w:t>
      </w:r>
      <w:r w:rsidR="00C64E7D" w:rsidRPr="006F0623">
        <w:rPr>
          <w:vertAlign w:val="superscript"/>
        </w:rPr>
        <w:t xml:space="preserve"> </w:t>
      </w:r>
      <w:r>
        <w:rPr>
          <w:color w:val="000000"/>
        </w:rPr>
        <w:t>Henrique Gioia</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35FA041"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A811B6">
        <w:rPr>
          <w:color w:val="000000"/>
          <w:sz w:val="18"/>
          <w:szCs w:val="18"/>
        </w:rPr>
        <w:t>Mestrado em Ciência da Computação. Rua Abraham Lincoln, n. 189 – Parnamirim; 52060-190    Recife, Pernambuco, 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2ECFAC7B" w14:textId="0A9F2245" w:rsidR="000A46BE" w:rsidRDefault="00657A62" w:rsidP="000A46BE">
      <w:pPr>
        <w:spacing w:line="240" w:lineRule="auto"/>
        <w:jc w:val="center"/>
        <w:rPr>
          <w:b/>
        </w:rPr>
      </w:pPr>
      <w:r w:rsidRPr="00657A62">
        <w:rPr>
          <w:b/>
        </w:rPr>
        <w:lastRenderedPageBreak/>
        <w:t>Como uma legislação inclusiva contribui para uma maior integração de refugiados</w:t>
      </w:r>
    </w:p>
    <w:p w14:paraId="7018C7F7" w14:textId="77777777" w:rsidR="000A46BE" w:rsidRPr="003625D1" w:rsidRDefault="000A46BE" w:rsidP="000A46BE">
      <w:pPr>
        <w:spacing w:line="240" w:lineRule="auto"/>
        <w:jc w:val="center"/>
        <w:rPr>
          <w:b/>
        </w:rPr>
      </w:pPr>
    </w:p>
    <w:p w14:paraId="01BC5468" w14:textId="429E831C"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403F72C1" w14:textId="77777777" w:rsidR="00A811B6" w:rsidRPr="00A811B6" w:rsidRDefault="000A46BE" w:rsidP="00A811B6">
      <w:pPr>
        <w:pStyle w:val="NormalWeb"/>
        <w:spacing w:before="0" w:beforeAutospacing="0" w:after="0" w:afterAutospacing="0"/>
        <w:jc w:val="both"/>
        <w:rPr>
          <w:lang w:val="pt-BR"/>
        </w:rPr>
      </w:pPr>
      <w:r w:rsidRPr="0085779D">
        <w:rPr>
          <w:lang w:val="pt-BR"/>
        </w:rPr>
        <w:tab/>
      </w:r>
      <w:r w:rsidR="00A811B6" w:rsidRPr="00A811B6">
        <w:rPr>
          <w:rFonts w:ascii="Arial" w:hAnsi="Arial" w:cs="Arial"/>
          <w:color w:val="000000"/>
          <w:sz w:val="22"/>
          <w:szCs w:val="22"/>
          <w:lang w:val="pt-BR"/>
        </w:rPr>
        <w:t xml:space="preserve">A sociedade globalizada apresenta diversos desafios, alguns dos quais inéditos na </w:t>
      </w:r>
      <w:proofErr w:type="gramStart"/>
      <w:r w:rsidR="00A811B6" w:rsidRPr="00A811B6">
        <w:rPr>
          <w:rFonts w:ascii="Arial" w:hAnsi="Arial" w:cs="Arial"/>
          <w:color w:val="000000"/>
          <w:sz w:val="22"/>
          <w:szCs w:val="22"/>
          <w:lang w:val="pt-BR"/>
        </w:rPr>
        <w:t>história da humanidade</w:t>
      </w:r>
      <w:proofErr w:type="gramEnd"/>
      <w:r w:rsidR="00A811B6" w:rsidRPr="00A811B6">
        <w:rPr>
          <w:rFonts w:ascii="Arial" w:hAnsi="Arial" w:cs="Arial"/>
          <w:color w:val="000000"/>
          <w:sz w:val="22"/>
          <w:szCs w:val="22"/>
          <w:lang w:val="pt-BR"/>
        </w:rPr>
        <w:t>, mas também adota uma abordagem mais humana e complexa sobre os mesmos. Um dos desafios mais dramáticos é a situação de refugiados, que, seja por motivos econômicos, religiosos, políticos ou ambientais, são forçados a emigrar para outro país. Devido ao caráter humanitário, muitos países possuem uma legislação específica para esse grupo de imigrantes, mais receptiva, porém, as diferenças entre a legislação dos países fazem com que alguns recebam mais refugiados e garantam uma vida mais fácil para eles. Este estudo visa categorizar os países de acordo com sua legislação com relação aos refugiados para demonstrar a importância do tema como política pública voltada para esse grupo. A base de dados é pública, criada a partir de um projeto conduzido pela KNOMAD, e contém dados categóricos, de forma que o estudo utilizará técnicas voltadas para esse tipo de dados.</w:t>
      </w:r>
    </w:p>
    <w:p w14:paraId="30457413" w14:textId="5D22375E" w:rsidR="000A46BE" w:rsidRPr="00F2528F" w:rsidRDefault="00A811B6" w:rsidP="00A811B6">
      <w:pPr>
        <w:spacing w:line="240" w:lineRule="auto"/>
        <w:rPr>
          <w:b/>
          <w:color w:val="000000"/>
        </w:rPr>
      </w:pPr>
      <w:r w:rsidRPr="00A811B6">
        <w:rPr>
          <w:rFonts w:eastAsia="Times New Roman"/>
          <w:b/>
          <w:bCs/>
          <w:color w:val="000000"/>
        </w:rPr>
        <w:t xml:space="preserve">Palavras-chave: </w:t>
      </w:r>
      <w:r w:rsidRPr="00A811B6">
        <w:rPr>
          <w:rFonts w:eastAsia="Times New Roman"/>
          <w:color w:val="000000"/>
        </w:rPr>
        <w:t>refugiados; legislação; dados categóricos.</w:t>
      </w:r>
    </w:p>
    <w:p w14:paraId="7382CB0D" w14:textId="77777777" w:rsidR="000A46BE" w:rsidRPr="00F2528F" w:rsidRDefault="000A46BE" w:rsidP="000A46BE">
      <w:pPr>
        <w:spacing w:line="240" w:lineRule="auto"/>
        <w:rPr>
          <w:b/>
          <w:color w:val="000000"/>
        </w:rPr>
      </w:pPr>
    </w:p>
    <w:p w14:paraId="7BB49CDE" w14:textId="77777777" w:rsidR="000A46BE" w:rsidRPr="00F2528F" w:rsidRDefault="000A46BE" w:rsidP="000A46BE">
      <w:pPr>
        <w:spacing w:line="240" w:lineRule="auto"/>
        <w:jc w:val="center"/>
        <w:rPr>
          <w:color w:val="000000"/>
        </w:rPr>
      </w:pPr>
      <w:r w:rsidRPr="00F2528F">
        <w:rPr>
          <w:b/>
          <w:color w:val="000000"/>
        </w:rPr>
        <w:t>Título em inglês</w:t>
      </w:r>
      <w:r w:rsidRPr="00F2528F">
        <w:rPr>
          <w:color w:val="000000"/>
        </w:rPr>
        <w:t xml:space="preserve"> </w:t>
      </w:r>
      <w:r w:rsidRPr="00F2528F">
        <w:rPr>
          <w:b/>
          <w:color w:val="000000"/>
        </w:rPr>
        <w:t>ou espanhol</w:t>
      </w:r>
      <w:r w:rsidRPr="00F2528F">
        <w:rPr>
          <w:color w:val="000000"/>
        </w:rPr>
        <w:t xml:space="preserve"> (opcional)</w:t>
      </w:r>
    </w:p>
    <w:p w14:paraId="5AF2E742" w14:textId="77777777" w:rsidR="000A46BE" w:rsidRPr="00F2528F" w:rsidRDefault="000A46BE" w:rsidP="000A46BE">
      <w:pPr>
        <w:spacing w:line="240" w:lineRule="auto"/>
        <w:rPr>
          <w:b/>
          <w:color w:val="000000"/>
        </w:rPr>
      </w:pPr>
    </w:p>
    <w:p w14:paraId="339EBD7F" w14:textId="77777777" w:rsidR="000A46BE" w:rsidRPr="00F2528F" w:rsidRDefault="000A46BE" w:rsidP="000A46BE">
      <w:pPr>
        <w:spacing w:line="240" w:lineRule="auto"/>
        <w:jc w:val="left"/>
        <w:rPr>
          <w:color w:val="000000"/>
        </w:rPr>
      </w:pPr>
      <w:r w:rsidRPr="00F2528F">
        <w:rPr>
          <w:b/>
          <w:color w:val="000000"/>
        </w:rPr>
        <w:t xml:space="preserve">Abstract </w:t>
      </w:r>
      <w:r w:rsidRPr="00F2528F">
        <w:rPr>
          <w:color w:val="000000"/>
        </w:rPr>
        <w:t>ou</w:t>
      </w:r>
      <w:r w:rsidRPr="00F2528F">
        <w:rPr>
          <w:b/>
          <w:color w:val="000000"/>
        </w:rPr>
        <w:t xml:space="preserve"> </w:t>
      </w:r>
      <w:proofErr w:type="spellStart"/>
      <w:r w:rsidRPr="00F2528F">
        <w:rPr>
          <w:b/>
          <w:color w:val="000000"/>
        </w:rPr>
        <w:t>Resumen</w:t>
      </w:r>
      <w:proofErr w:type="spellEnd"/>
      <w:r w:rsidRPr="00F2528F">
        <w:rPr>
          <w:color w:val="000000"/>
        </w:rPr>
        <w:t xml:space="preserve"> (opcional)</w:t>
      </w:r>
    </w:p>
    <w:p w14:paraId="6BD887E7" w14:textId="77777777" w:rsidR="000A46BE" w:rsidRDefault="000A46BE" w:rsidP="000A46BE">
      <w:pPr>
        <w:spacing w:line="240" w:lineRule="auto"/>
      </w:pPr>
    </w:p>
    <w:p w14:paraId="6CE28FCB" w14:textId="20EB6603" w:rsidR="000A46BE" w:rsidRPr="00715294" w:rsidRDefault="000A46BE" w:rsidP="000A46BE">
      <w:pPr>
        <w:spacing w:line="240" w:lineRule="auto"/>
        <w:ind w:firstLine="709"/>
      </w:pPr>
      <w:r>
        <w:t>....................................................................................................................................................................................................................................................................................................................................................................................................................................................................................................................................................................................................................................................................................................................................................................................................................................................................................................................................................................................................................................................................................................................................................................................................................</w:t>
      </w:r>
    </w:p>
    <w:p w14:paraId="4AB347B8" w14:textId="77777777" w:rsidR="000A46BE" w:rsidRDefault="000A46BE" w:rsidP="000A46BE">
      <w:pPr>
        <w:spacing w:line="240" w:lineRule="auto"/>
        <w:jc w:val="left"/>
        <w:rPr>
          <w:b/>
        </w:rPr>
      </w:pPr>
      <w:r>
        <w:rPr>
          <w:b/>
        </w:rPr>
        <w:t>Key</w:t>
      </w:r>
      <w:r w:rsidRPr="007F4591">
        <w:rPr>
          <w:b/>
        </w:rPr>
        <w:t>words</w:t>
      </w:r>
      <w:r>
        <w:rPr>
          <w:b/>
        </w:rPr>
        <w:t xml:space="preserve"> </w:t>
      </w:r>
      <w:r w:rsidRPr="00EA275D">
        <w:t>ou</w:t>
      </w:r>
      <w:r>
        <w:rPr>
          <w:b/>
        </w:rPr>
        <w:t xml:space="preserve"> </w:t>
      </w:r>
      <w:proofErr w:type="spellStart"/>
      <w:r w:rsidRPr="00EA275D">
        <w:rPr>
          <w:b/>
        </w:rPr>
        <w:t>Palabras</w:t>
      </w:r>
      <w:proofErr w:type="spellEnd"/>
      <w:r w:rsidRPr="00EA275D">
        <w:rPr>
          <w:b/>
        </w:rPr>
        <w:t xml:space="preserve"> Clave</w:t>
      </w:r>
      <w:r w:rsidRPr="007F4591">
        <w:rPr>
          <w:b/>
        </w:rPr>
        <w:t>:</w:t>
      </w:r>
      <w:r>
        <w:t xml:space="preserve"> (opcional)</w:t>
      </w:r>
    </w:p>
    <w:p w14:paraId="5AD34A1D" w14:textId="77777777" w:rsidR="000A46BE" w:rsidRDefault="000A46BE" w:rsidP="000A46BE">
      <w:pPr>
        <w:spacing w:line="360" w:lineRule="auto"/>
        <w:rPr>
          <w:b/>
        </w:rPr>
      </w:pPr>
    </w:p>
    <w:p w14:paraId="76CF266E" w14:textId="77777777" w:rsidR="000A46BE" w:rsidRDefault="000A46BE" w:rsidP="000A46BE">
      <w:pPr>
        <w:pStyle w:val="ListParagraph"/>
        <w:spacing w:line="360" w:lineRule="auto"/>
        <w:ind w:left="0"/>
        <w:jc w:val="left"/>
        <w:rPr>
          <w:b/>
        </w:rPr>
      </w:pPr>
      <w:r w:rsidRPr="009629EB">
        <w:rPr>
          <w:b/>
        </w:rPr>
        <w:t>Introdução</w:t>
      </w:r>
    </w:p>
    <w:p w14:paraId="04023962" w14:textId="77777777" w:rsidR="000A46BE" w:rsidRPr="00A811B6" w:rsidRDefault="000A46BE" w:rsidP="00A811B6">
      <w:pPr>
        <w:spacing w:line="360" w:lineRule="auto"/>
        <w:ind w:firstLine="709"/>
        <w:rPr>
          <w:color w:val="000000"/>
        </w:rPr>
      </w:pPr>
    </w:p>
    <w:p w14:paraId="0B1335CF" w14:textId="18A00D8C" w:rsidR="00A811B6" w:rsidRPr="00A811B6" w:rsidRDefault="00A811B6" w:rsidP="00A811B6">
      <w:pPr>
        <w:spacing w:line="360" w:lineRule="auto"/>
        <w:ind w:firstLine="709"/>
        <w:rPr>
          <w:color w:val="000000"/>
        </w:rPr>
      </w:pPr>
      <w:r w:rsidRPr="00A811B6">
        <w:rPr>
          <w:color w:val="000000"/>
        </w:rPr>
        <w:t>A história sempre foi marcada por movimentos migratórios, desde a colonização, ou seja, ocupação de terras inabitadas, a migrações para comunidades já existentes. O movimento migratório foi essencial para o progresso da humanidade ao longo da história; mesmo um pequeno número de imigrantes poderia gerar um forte impacto na cultura, organização social e tecnologia da comunidade (Manning, 2013), e na economia local e global (Clemens, 2011).</w:t>
      </w:r>
    </w:p>
    <w:p w14:paraId="7B03EE0F" w14:textId="77777777" w:rsidR="00A811B6" w:rsidRPr="00A811B6" w:rsidRDefault="00A811B6" w:rsidP="00A811B6">
      <w:pPr>
        <w:spacing w:line="360" w:lineRule="auto"/>
        <w:ind w:firstLine="709"/>
        <w:rPr>
          <w:color w:val="000000"/>
        </w:rPr>
      </w:pPr>
      <w:r w:rsidRPr="00A811B6">
        <w:rPr>
          <w:color w:val="000000"/>
        </w:rPr>
        <w:t xml:space="preserve">No entanto, nem todas essas migrações aconteceram de forma natural ou voluntária, muitos migrantes foram forçados a fugir de seus países em busca de refúgio, como foi o caso da Diáspora Judaica (Fonda, 1969), e mais recentemente durante as guerras mundiais. Foi inclusive após a Segunda Guerra Mundial, em 1950, que a United </w:t>
      </w:r>
      <w:proofErr w:type="spellStart"/>
      <w:r w:rsidRPr="00A811B6">
        <w:rPr>
          <w:color w:val="000000"/>
        </w:rPr>
        <w:t>Nations</w:t>
      </w:r>
      <w:proofErr w:type="spellEnd"/>
      <w:r w:rsidRPr="00A811B6">
        <w:rPr>
          <w:color w:val="000000"/>
        </w:rPr>
        <w:t xml:space="preserve"> High </w:t>
      </w:r>
      <w:proofErr w:type="spellStart"/>
      <w:r w:rsidRPr="00A811B6">
        <w:rPr>
          <w:color w:val="000000"/>
        </w:rPr>
        <w:t>Commissioner</w:t>
      </w:r>
      <w:proofErr w:type="spellEnd"/>
      <w:r w:rsidRPr="00A811B6">
        <w:rPr>
          <w:color w:val="000000"/>
        </w:rPr>
        <w:t xml:space="preserve"> for </w:t>
      </w:r>
      <w:proofErr w:type="spellStart"/>
      <w:r w:rsidRPr="00A811B6">
        <w:rPr>
          <w:color w:val="000000"/>
        </w:rPr>
        <w:t>Refugees</w:t>
      </w:r>
      <w:proofErr w:type="spellEnd"/>
      <w:r w:rsidRPr="00A811B6">
        <w:rPr>
          <w:color w:val="000000"/>
        </w:rPr>
        <w:t xml:space="preserve"> [UNHCR], órgão das Nações Unidas voltado para a questão dos refugiados, foi criada (</w:t>
      </w:r>
      <w:proofErr w:type="spellStart"/>
      <w:r w:rsidRPr="00A811B6">
        <w:rPr>
          <w:color w:val="000000"/>
        </w:rPr>
        <w:t>Fiddian-Qasmiyeh</w:t>
      </w:r>
      <w:proofErr w:type="spellEnd"/>
      <w:r w:rsidRPr="00A811B6">
        <w:rPr>
          <w:color w:val="000000"/>
        </w:rPr>
        <w:t xml:space="preserve"> et al., 2014). E durante a Convenção de Genebra em 1951, </w:t>
      </w:r>
      <w:r w:rsidRPr="00A811B6">
        <w:rPr>
          <w:color w:val="000000"/>
        </w:rPr>
        <w:lastRenderedPageBreak/>
        <w:t>formalmente se definiu o status de refugiados e se adicionou na lei internacional asilo garantido por governos nacionais (</w:t>
      </w:r>
      <w:proofErr w:type="spellStart"/>
      <w:r w:rsidRPr="00A811B6">
        <w:rPr>
          <w:color w:val="000000"/>
        </w:rPr>
        <w:t>Marfleet</w:t>
      </w:r>
      <w:proofErr w:type="spellEnd"/>
      <w:r w:rsidRPr="00A811B6">
        <w:rPr>
          <w:color w:val="000000"/>
        </w:rPr>
        <w:t>, 2007).</w:t>
      </w:r>
    </w:p>
    <w:p w14:paraId="60D0A790" w14:textId="77777777" w:rsidR="00A811B6" w:rsidRPr="00A811B6" w:rsidRDefault="00A811B6" w:rsidP="00A811B6">
      <w:pPr>
        <w:spacing w:line="360" w:lineRule="auto"/>
        <w:ind w:firstLine="709"/>
        <w:rPr>
          <w:color w:val="000000"/>
        </w:rPr>
      </w:pPr>
      <w:r w:rsidRPr="00A811B6">
        <w:rPr>
          <w:color w:val="000000"/>
        </w:rPr>
        <w:t>Apesar de ser um avanço relativamente recente, a tradição de garantir refúgio para estes imigrantes vulneráveis é bem mais antiga. Na era pré-moderna, havia lugares em que não eram permitidas guerras nem ações punitivas contra refugiados, em geral associada a lugares religiosos, como templos e lugares de adoração. Havia uma crença em algumas culturas que se um povo cuida de outros, esse povo cuida de si próprio (</w:t>
      </w:r>
      <w:proofErr w:type="spellStart"/>
      <w:r w:rsidRPr="00A811B6">
        <w:rPr>
          <w:color w:val="000000"/>
        </w:rPr>
        <w:t>Marfleet</w:t>
      </w:r>
      <w:proofErr w:type="spellEnd"/>
      <w:r w:rsidRPr="00A811B6">
        <w:rPr>
          <w:color w:val="000000"/>
        </w:rPr>
        <w:t>, 2007).</w:t>
      </w:r>
    </w:p>
    <w:p w14:paraId="3FB931BA" w14:textId="77777777" w:rsidR="00A811B6" w:rsidRPr="00A811B6" w:rsidRDefault="00A811B6" w:rsidP="00A811B6">
      <w:pPr>
        <w:spacing w:line="360" w:lineRule="auto"/>
        <w:ind w:firstLine="709"/>
        <w:rPr>
          <w:color w:val="000000"/>
        </w:rPr>
      </w:pPr>
      <w:r w:rsidRPr="00A811B6">
        <w:rPr>
          <w:color w:val="000000"/>
        </w:rPr>
        <w:t>Nos dias atuais, a proteção garantida na legislação representa um grande avanço para os direitos dos refugiados, porém, cada país tem legislação própria, e essas diferenças fazem com que seja mais ou menos fácil para o imigrante se integrar dependendo do país de destino. Também é relevante citar a diferença da quantidade de dados sobre imigrantes e refugiados entre países de maior e menor renda. Apesar de alguns países de menor renda média receberem anualmente uma grande quantidade de imigrantes, a falta ou insuficiência de dados possui impacto na formulação dessas políticas públicas (KNOMAD, 2020).</w:t>
      </w:r>
    </w:p>
    <w:p w14:paraId="3EB5946C" w14:textId="77777777" w:rsidR="00A811B6" w:rsidRPr="00A811B6" w:rsidRDefault="00A811B6" w:rsidP="00A811B6">
      <w:pPr>
        <w:spacing w:line="360" w:lineRule="auto"/>
        <w:ind w:firstLine="709"/>
        <w:rPr>
          <w:color w:val="000000"/>
        </w:rPr>
      </w:pPr>
      <w:r w:rsidRPr="00A811B6">
        <w:rPr>
          <w:color w:val="000000"/>
        </w:rPr>
        <w:t>Este tema tem se mostrado bastante relevante nos últimos anos devido à crise migratória, intensificada com a crise econômica e humanitária na Venezuela, no Haiti e na África e as guerras na Síria, levando a um recorde de refugiados nos últimos anos (</w:t>
      </w:r>
      <w:proofErr w:type="spellStart"/>
      <w:r w:rsidRPr="00A811B6">
        <w:rPr>
          <w:color w:val="000000"/>
        </w:rPr>
        <w:t>Fiddian-Qasmiyeh</w:t>
      </w:r>
      <w:proofErr w:type="spellEnd"/>
      <w:r w:rsidRPr="00A811B6">
        <w:rPr>
          <w:color w:val="000000"/>
        </w:rPr>
        <w:t xml:space="preserve"> et al., 2014). Portanto, uma maior compreensão se faz necessária, através de uma análise de dados sobre a questão.</w:t>
      </w:r>
    </w:p>
    <w:p w14:paraId="570BC3A2" w14:textId="77777777" w:rsidR="00A811B6" w:rsidRPr="00A811B6" w:rsidRDefault="00A811B6" w:rsidP="00A811B6">
      <w:pPr>
        <w:spacing w:line="360" w:lineRule="auto"/>
        <w:ind w:firstLine="709"/>
        <w:rPr>
          <w:color w:val="000000"/>
        </w:rPr>
      </w:pPr>
      <w:r w:rsidRPr="00A811B6">
        <w:rPr>
          <w:color w:val="000000"/>
        </w:rPr>
        <w:t>O objetivo deste trabalho é fazer uma análise exploratória de forma a melhor entender como políticas públicas podem se tornar eficientes neste processo de integração através do estudo das diferenças das legislações entre os diversos países, e assim incentivar mais políticas públicas voltadas para esta questão. Também se propõe classificar os países em inclusivo, pouco inclusivo ou não inclusivo para refugiados de forma a encontrar quais políticas mais influenciam na classificação do país. Também se visa verificar se há relação entre essas políticas, já que muitas delas, mesmo em um mesmo país, são contraditórias entre si, uma vez que foram concebidas em épocas distintas e por legisladores distintos (KNOMAD, 2020).</w:t>
      </w:r>
    </w:p>
    <w:p w14:paraId="00BE44CE" w14:textId="77777777" w:rsidR="00551EA4" w:rsidRPr="000A46BE" w:rsidRDefault="00551EA4" w:rsidP="00A811B6">
      <w:pPr>
        <w:spacing w:line="360" w:lineRule="auto"/>
        <w:rPr>
          <w:color w:val="000000"/>
        </w:rPr>
      </w:pPr>
    </w:p>
    <w:p w14:paraId="5847BAE4" w14:textId="77777777" w:rsidR="000A46BE" w:rsidRDefault="000A46BE" w:rsidP="000A46BE">
      <w:pPr>
        <w:pStyle w:val="ListParagraph"/>
        <w:spacing w:line="360" w:lineRule="auto"/>
        <w:ind w:left="0"/>
        <w:rPr>
          <w:b/>
        </w:rPr>
      </w:pPr>
      <w:r w:rsidRPr="009629EB">
        <w:rPr>
          <w:b/>
        </w:rPr>
        <w:t>Material e Métodos</w:t>
      </w:r>
    </w:p>
    <w:p w14:paraId="52D99E89" w14:textId="77777777" w:rsidR="000A46BE" w:rsidRDefault="000A46BE" w:rsidP="000A46BE">
      <w:pPr>
        <w:pStyle w:val="ListParagraph"/>
        <w:spacing w:line="360" w:lineRule="auto"/>
        <w:ind w:left="0"/>
      </w:pPr>
      <w:r w:rsidRPr="00715294">
        <w:tab/>
      </w:r>
    </w:p>
    <w:p w14:paraId="46169403" w14:textId="77777777" w:rsidR="00A811B6" w:rsidRPr="0085779D" w:rsidRDefault="00A811B6" w:rsidP="00A811B6">
      <w:pPr>
        <w:pStyle w:val="ListParagraph"/>
        <w:spacing w:line="360" w:lineRule="auto"/>
        <w:ind w:left="0" w:firstLine="709"/>
        <w:rPr>
          <w:lang w:val="en-US"/>
        </w:rPr>
      </w:pPr>
      <w:r w:rsidRPr="00A811B6">
        <w:t xml:space="preserve">Os dados do presente estudo são do KNOMAD, coletados por cerca de 700 especialistas, entre advogados, acadêmicos, especialistas em imigração, agências, centros e organizações, sobre legislação em 134 países referentes ao ano de 2016, comparando os regulamentos entre nativos e refugiados em vinte diferentes indicadores, divididos em quatro dimensões: Oportunidades econômicas, Saúde, Moradia e Integração Política. </w:t>
      </w:r>
      <w:r w:rsidRPr="0085779D">
        <w:rPr>
          <w:lang w:val="en-US"/>
        </w:rPr>
        <w:t xml:space="preserve">Estes dados </w:t>
      </w:r>
      <w:proofErr w:type="spellStart"/>
      <w:r w:rsidRPr="0085779D">
        <w:rPr>
          <w:lang w:val="en-US"/>
        </w:rPr>
        <w:t>foram</w:t>
      </w:r>
      <w:proofErr w:type="spellEnd"/>
      <w:r w:rsidRPr="0085779D">
        <w:rPr>
          <w:lang w:val="en-US"/>
        </w:rPr>
        <w:t xml:space="preserve"> </w:t>
      </w:r>
      <w:proofErr w:type="spellStart"/>
      <w:r w:rsidRPr="0085779D">
        <w:rPr>
          <w:lang w:val="en-US"/>
        </w:rPr>
        <w:t>conduzidos</w:t>
      </w:r>
      <w:proofErr w:type="spellEnd"/>
      <w:r w:rsidRPr="0085779D">
        <w:rPr>
          <w:lang w:val="en-US"/>
        </w:rPr>
        <w:t xml:space="preserve"> </w:t>
      </w:r>
      <w:proofErr w:type="spellStart"/>
      <w:r w:rsidRPr="0085779D">
        <w:rPr>
          <w:lang w:val="en-US"/>
        </w:rPr>
        <w:t>pelo</w:t>
      </w:r>
      <w:proofErr w:type="spellEnd"/>
      <w:r w:rsidRPr="0085779D">
        <w:rPr>
          <w:lang w:val="en-US"/>
        </w:rPr>
        <w:t xml:space="preserve"> </w:t>
      </w:r>
      <w:proofErr w:type="spellStart"/>
      <w:r w:rsidRPr="0085779D">
        <w:rPr>
          <w:lang w:val="en-US"/>
        </w:rPr>
        <w:t>projeto</w:t>
      </w:r>
      <w:proofErr w:type="spellEnd"/>
      <w:r w:rsidRPr="0085779D">
        <w:rPr>
          <w:lang w:val="en-US"/>
        </w:rPr>
        <w:t xml:space="preserve"> Migration and the Law, e </w:t>
      </w:r>
      <w:proofErr w:type="spellStart"/>
      <w:r w:rsidRPr="0085779D">
        <w:rPr>
          <w:lang w:val="en-US"/>
        </w:rPr>
        <w:t>financiados</w:t>
      </w:r>
      <w:proofErr w:type="spellEnd"/>
      <w:r w:rsidRPr="0085779D">
        <w:rPr>
          <w:lang w:val="en-US"/>
        </w:rPr>
        <w:t xml:space="preserve"> </w:t>
      </w:r>
      <w:proofErr w:type="spellStart"/>
      <w:r w:rsidRPr="0085779D">
        <w:rPr>
          <w:lang w:val="en-US"/>
        </w:rPr>
        <w:t>pelo</w:t>
      </w:r>
      <w:proofErr w:type="spellEnd"/>
      <w:r w:rsidRPr="0085779D">
        <w:rPr>
          <w:lang w:val="en-US"/>
        </w:rPr>
        <w:t xml:space="preserve"> Global Knowledge </w:t>
      </w:r>
      <w:r w:rsidRPr="0085779D">
        <w:rPr>
          <w:lang w:val="en-US"/>
        </w:rPr>
        <w:lastRenderedPageBreak/>
        <w:t>Partnership for Migration and Development [KNOMAD], Knowledge for Change [KCP], e o Research Support Budget [RSB] (KNOMAD, 2020).</w:t>
      </w:r>
    </w:p>
    <w:p w14:paraId="6B391A71" w14:textId="77777777" w:rsidR="00A811B6" w:rsidRPr="00A811B6" w:rsidRDefault="00A811B6" w:rsidP="00A811B6">
      <w:pPr>
        <w:pStyle w:val="ListParagraph"/>
        <w:spacing w:line="360" w:lineRule="auto"/>
        <w:ind w:left="0" w:firstLine="709"/>
      </w:pPr>
      <w:r w:rsidRPr="00A811B6">
        <w:t>Também há uma variável Renda, em que se classifica o país em Baixa Renda (</w:t>
      </w:r>
      <w:proofErr w:type="spellStart"/>
      <w:r w:rsidRPr="00A811B6">
        <w:t>Low</w:t>
      </w:r>
      <w:proofErr w:type="spellEnd"/>
      <w:r w:rsidRPr="00A811B6">
        <w:t xml:space="preserve"> income), Renda Média Baixa (Lower </w:t>
      </w:r>
      <w:proofErr w:type="spellStart"/>
      <w:r w:rsidRPr="00A811B6">
        <w:t>middle</w:t>
      </w:r>
      <w:proofErr w:type="spellEnd"/>
      <w:r w:rsidRPr="00A811B6">
        <w:t xml:space="preserve"> income), Renda Média Alta (Upper </w:t>
      </w:r>
      <w:proofErr w:type="spellStart"/>
      <w:r w:rsidRPr="00A811B6">
        <w:t>middle</w:t>
      </w:r>
      <w:proofErr w:type="spellEnd"/>
      <w:r w:rsidRPr="00A811B6">
        <w:t xml:space="preserve"> income) e Renda Alta (High income). E dentro da variável Região (</w:t>
      </w:r>
      <w:proofErr w:type="spellStart"/>
      <w:r w:rsidRPr="00A811B6">
        <w:t>Region</w:t>
      </w:r>
      <w:proofErr w:type="spellEnd"/>
      <w:r w:rsidRPr="00A811B6">
        <w:t>), há uma informação sobre se o país pertence ou não à Organização para a Cooperação e Desenvolvimento Econômico [OCDE].</w:t>
      </w:r>
    </w:p>
    <w:p w14:paraId="08B85BB6" w14:textId="6B769981" w:rsidR="00A811B6" w:rsidRDefault="00A811B6" w:rsidP="00A811B6">
      <w:pPr>
        <w:pStyle w:val="ListParagraph"/>
        <w:spacing w:line="360" w:lineRule="auto"/>
        <w:ind w:left="0" w:firstLine="709"/>
      </w:pPr>
      <w:r w:rsidRPr="00A811B6">
        <w:t xml:space="preserve">O trabalho de coleta conduzido pelos pesquisadores envolve tanto imigrantes econômicos, ou seja, os que voluntariamente saíram de seus respectivos países em busca de melhores oportunidades, quanto imigrantes refugiados, os que por algum motivo foram forçados a saírem de suas terras. Estes dados classificam o imigrante como refugiado aquele que legalmente recebeu status de refugiado. Dada a vulnerabilidade dos últimos, a legislação para este grupo é mais permissiva do que para os primeiros (KNOMAD, 2020). O foco deste trabalho </w:t>
      </w:r>
      <w:r>
        <w:t xml:space="preserve">foi </w:t>
      </w:r>
      <w:r w:rsidRPr="00A811B6">
        <w:t>com a base de refugiados.</w:t>
      </w:r>
    </w:p>
    <w:p w14:paraId="64DD76D2" w14:textId="77777777" w:rsidR="00AF4DD9" w:rsidRDefault="00A811B6" w:rsidP="00A811B6">
      <w:pPr>
        <w:pStyle w:val="ListParagraph"/>
        <w:spacing w:line="360" w:lineRule="auto"/>
        <w:ind w:left="0" w:firstLine="709"/>
        <w:rPr>
          <w:color w:val="000000"/>
        </w:rPr>
      </w:pPr>
      <w:r>
        <w:rPr>
          <w:color w:val="000000"/>
        </w:rPr>
        <w:t>Os indicadores são variáveis qualitativas - perguntas feitas para os especialistas, cujas respostas variam entre Sim (Yes), Não (No), Condicionais (</w:t>
      </w:r>
      <w:proofErr w:type="spellStart"/>
      <w:r>
        <w:rPr>
          <w:color w:val="000000"/>
        </w:rPr>
        <w:t>Conditions</w:t>
      </w:r>
      <w:proofErr w:type="spellEnd"/>
      <w:r>
        <w:rPr>
          <w:color w:val="000000"/>
        </w:rPr>
        <w:t>), Não Permitido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 e Não Disponível (N/A) - nem todas as perguntas possuem as cinco categorias. Exemplos de perguntas são: os refugiados podem trabalhar no setor público? Podem comprar uma propriedade? Podem ter acesso a serviços de saúde públicos?</w:t>
      </w:r>
    </w:p>
    <w:p w14:paraId="3EEAE23D" w14:textId="705ED032" w:rsidR="00AF4DD9" w:rsidRDefault="00AF4DD9" w:rsidP="00A811B6">
      <w:pPr>
        <w:pStyle w:val="ListParagraph"/>
        <w:spacing w:line="360" w:lineRule="auto"/>
        <w:ind w:left="0" w:firstLine="709"/>
        <w:rPr>
          <w:color w:val="000000"/>
        </w:rPr>
      </w:pPr>
      <w:r>
        <w:rPr>
          <w:color w:val="000000"/>
        </w:rPr>
        <w:t xml:space="preserve">Neste trabalho, tratou-se </w:t>
      </w:r>
      <w:r w:rsidR="00A811B6">
        <w:rPr>
          <w:color w:val="000000"/>
        </w:rPr>
        <w:t>o Não Disponível</w:t>
      </w:r>
      <w:r>
        <w:rPr>
          <w:color w:val="000000"/>
        </w:rPr>
        <w:t xml:space="preserve"> como uma categoria válida e nenhum tratamento foi feito em cima desses dados</w:t>
      </w:r>
      <w:r w:rsidR="00A811B6">
        <w:rPr>
          <w:color w:val="000000"/>
        </w:rPr>
        <w:t xml:space="preserve">. Como dito anteriormente, países de renda inferior possuem uma deficiência de informações, então a ausência de dados (N/A) por si só </w:t>
      </w:r>
      <w:r>
        <w:rPr>
          <w:color w:val="000000"/>
        </w:rPr>
        <w:t>apresentou-se</w:t>
      </w:r>
      <w:r w:rsidR="00A811B6">
        <w:rPr>
          <w:color w:val="000000"/>
        </w:rPr>
        <w:t xml:space="preserve"> ser uma informação relevante para o estudo.</w:t>
      </w:r>
    </w:p>
    <w:p w14:paraId="3FEBE74B" w14:textId="525C66C6" w:rsidR="00A811B6" w:rsidRDefault="00A811B6" w:rsidP="00A811B6">
      <w:pPr>
        <w:pStyle w:val="ListParagraph"/>
        <w:spacing w:line="360" w:lineRule="auto"/>
        <w:ind w:left="0" w:firstLine="709"/>
        <w:rPr>
          <w:color w:val="000000"/>
        </w:rPr>
      </w:pPr>
      <w:r>
        <w:rPr>
          <w:color w:val="000000"/>
        </w:rPr>
        <w:t xml:space="preserve">Dada a natureza qualitativa dos dados, </w:t>
      </w:r>
      <w:r w:rsidR="00691E95">
        <w:rPr>
          <w:color w:val="000000"/>
        </w:rPr>
        <w:t>usou-se</w:t>
      </w:r>
      <w:r>
        <w:rPr>
          <w:color w:val="000000"/>
        </w:rPr>
        <w:t xml:space="preserve"> a Análise de Correspondência </w:t>
      </w:r>
      <w:r w:rsidR="00691E95">
        <w:rPr>
          <w:color w:val="000000"/>
        </w:rPr>
        <w:t>Simples</w:t>
      </w:r>
      <w:r>
        <w:rPr>
          <w:color w:val="000000"/>
        </w:rPr>
        <w:t xml:space="preserve"> (Fávero e </w:t>
      </w:r>
      <w:proofErr w:type="spellStart"/>
      <w:r>
        <w:rPr>
          <w:color w:val="000000"/>
        </w:rPr>
        <w:t>Belfiore</w:t>
      </w:r>
      <w:proofErr w:type="spellEnd"/>
      <w:r>
        <w:rPr>
          <w:color w:val="000000"/>
        </w:rPr>
        <w:t>, 2021), para encontrar a relação entre as variáveis</w:t>
      </w:r>
      <w:r w:rsidR="00691E95">
        <w:rPr>
          <w:color w:val="000000"/>
        </w:rPr>
        <w:t xml:space="preserve"> e se havia correlação estatisticamente significativa entre elas</w:t>
      </w:r>
      <w:r>
        <w:rPr>
          <w:color w:val="000000"/>
        </w:rPr>
        <w:t>.</w:t>
      </w:r>
    </w:p>
    <w:p w14:paraId="42E5B79C" w14:textId="10D14FDA" w:rsidR="00025A81" w:rsidRDefault="00DF3D0C" w:rsidP="00A811B6">
      <w:pPr>
        <w:pStyle w:val="ListParagraph"/>
        <w:spacing w:line="360" w:lineRule="auto"/>
        <w:ind w:left="0" w:firstLine="709"/>
        <w:rPr>
          <w:color w:val="000000"/>
        </w:rPr>
      </w:pPr>
      <w:r>
        <w:rPr>
          <w:color w:val="000000"/>
        </w:rPr>
        <w:t xml:space="preserve">Além das variáveis originais, foram criadas variáveis derivadas para auxiliar o estudo. </w:t>
      </w:r>
      <w:r w:rsidR="00436A5A">
        <w:rPr>
          <w:color w:val="000000"/>
        </w:rPr>
        <w:t xml:space="preserve">Da variável </w:t>
      </w:r>
      <w:proofErr w:type="spellStart"/>
      <w:r w:rsidR="00436A5A">
        <w:rPr>
          <w:color w:val="000000"/>
        </w:rPr>
        <w:t>Region</w:t>
      </w:r>
      <w:proofErr w:type="spellEnd"/>
      <w:r w:rsidR="00436A5A">
        <w:rPr>
          <w:color w:val="000000"/>
        </w:rPr>
        <w:t>, extraiu-se uma variável binária OECD, sendo 1 caso pertença à OECD</w:t>
      </w:r>
      <w:r w:rsidR="005731F8">
        <w:rPr>
          <w:color w:val="000000"/>
        </w:rPr>
        <w:t xml:space="preserve"> [</w:t>
      </w:r>
      <w:r w:rsidR="005731F8" w:rsidRPr="005731F8">
        <w:rPr>
          <w:color w:val="000000"/>
        </w:rPr>
        <w:t>Organização para a Cooperação e Desenvolvimento Econômico</w:t>
      </w:r>
      <w:r w:rsidR="005731F8">
        <w:rPr>
          <w:color w:val="000000"/>
        </w:rPr>
        <w:t>]</w:t>
      </w:r>
      <w:r w:rsidR="00436A5A">
        <w:rPr>
          <w:color w:val="000000"/>
        </w:rPr>
        <w:t xml:space="preserve"> e 0 caso contrário. Também se converteu a variável Income em quatro novas variáveis binárias: </w:t>
      </w:r>
      <w:proofErr w:type="spellStart"/>
      <w:r w:rsidR="00436A5A">
        <w:rPr>
          <w:color w:val="000000"/>
        </w:rPr>
        <w:t>LowIncome</w:t>
      </w:r>
      <w:proofErr w:type="spellEnd"/>
      <w:r w:rsidR="00436A5A">
        <w:rPr>
          <w:color w:val="000000"/>
        </w:rPr>
        <w:t xml:space="preserve">, </w:t>
      </w:r>
      <w:proofErr w:type="spellStart"/>
      <w:r w:rsidR="00436A5A">
        <w:rPr>
          <w:color w:val="000000"/>
        </w:rPr>
        <w:t>LowerMiddleIncome</w:t>
      </w:r>
      <w:proofErr w:type="spellEnd"/>
      <w:r w:rsidR="00436A5A">
        <w:rPr>
          <w:color w:val="000000"/>
        </w:rPr>
        <w:t xml:space="preserve">, </w:t>
      </w:r>
      <w:proofErr w:type="spellStart"/>
      <w:r w:rsidR="00436A5A">
        <w:rPr>
          <w:color w:val="000000"/>
        </w:rPr>
        <w:t>UpperMiddleIncome</w:t>
      </w:r>
      <w:proofErr w:type="spellEnd"/>
      <w:r w:rsidR="00436A5A">
        <w:rPr>
          <w:color w:val="000000"/>
        </w:rPr>
        <w:t xml:space="preserve"> e </w:t>
      </w:r>
      <w:proofErr w:type="spellStart"/>
      <w:r w:rsidR="00436A5A">
        <w:rPr>
          <w:color w:val="000000"/>
        </w:rPr>
        <w:t>HighIncome</w:t>
      </w:r>
      <w:proofErr w:type="spellEnd"/>
      <w:r w:rsidR="00436A5A">
        <w:rPr>
          <w:color w:val="000000"/>
        </w:rPr>
        <w:t>.</w:t>
      </w:r>
    </w:p>
    <w:p w14:paraId="2D48E4D8" w14:textId="48F1259A" w:rsidR="005154B6" w:rsidRPr="005731F8" w:rsidRDefault="00436A5A" w:rsidP="005731F8">
      <w:pPr>
        <w:pStyle w:val="ListParagraph"/>
        <w:spacing w:line="360" w:lineRule="auto"/>
        <w:ind w:left="0" w:firstLine="709"/>
      </w:pPr>
      <w:r>
        <w:rPr>
          <w:color w:val="000000"/>
        </w:rPr>
        <w:t xml:space="preserve">Quatro novas variáveis de contagem foram criadas para cada observação: </w:t>
      </w:r>
      <w:proofErr w:type="spellStart"/>
      <w:r>
        <w:rPr>
          <w:color w:val="000000"/>
        </w:rPr>
        <w:t>CountNAs</w:t>
      </w:r>
      <w:proofErr w:type="spellEnd"/>
      <w:r>
        <w:rPr>
          <w:color w:val="000000"/>
        </w:rPr>
        <w:t xml:space="preserve">, </w:t>
      </w:r>
      <w:proofErr w:type="spellStart"/>
      <w:r>
        <w:rPr>
          <w:color w:val="000000"/>
        </w:rPr>
        <w:t>CountYes</w:t>
      </w:r>
      <w:proofErr w:type="spellEnd"/>
      <w:r>
        <w:rPr>
          <w:color w:val="000000"/>
        </w:rPr>
        <w:t xml:space="preserve">, </w:t>
      </w:r>
      <w:proofErr w:type="spellStart"/>
      <w:r>
        <w:rPr>
          <w:color w:val="000000"/>
        </w:rPr>
        <w:t>CountNo</w:t>
      </w:r>
      <w:proofErr w:type="spellEnd"/>
      <w:r>
        <w:rPr>
          <w:color w:val="000000"/>
        </w:rPr>
        <w:t xml:space="preserve"> e </w:t>
      </w:r>
      <w:proofErr w:type="spellStart"/>
      <w:r>
        <w:rPr>
          <w:color w:val="000000"/>
        </w:rPr>
        <w:t>CountConditions</w:t>
      </w:r>
      <w:proofErr w:type="spellEnd"/>
      <w:r>
        <w:rPr>
          <w:color w:val="000000"/>
        </w:rPr>
        <w:t>. Essas variáveis de contagem contabi</w:t>
      </w:r>
      <w:r w:rsidR="007C7440">
        <w:t xml:space="preserve">lizaram a quantidade de N/As, Yes, No e </w:t>
      </w:r>
      <w:proofErr w:type="spellStart"/>
      <w:r w:rsidR="007C7440">
        <w:t>Conditions</w:t>
      </w:r>
      <w:proofErr w:type="spellEnd"/>
      <w:r w:rsidR="007C7440">
        <w:t xml:space="preserve"> de todas as perguntas. Uma ressalva é que isso consiste em uma ponderação arbitrária, uma vez que se assume uma ponderação uniforme, </w:t>
      </w:r>
      <w:r w:rsidR="007C7440">
        <w:lastRenderedPageBreak/>
        <w:t>ou seja, mesmo peso</w:t>
      </w:r>
      <w:r w:rsidR="00025A81">
        <w:t xml:space="preserve"> para cada pergunta. Portanto, a análise de tais variáveis serve mais como um direcionamento do estudo do que conclusões sobre os dados.</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ListParagraph"/>
        <w:spacing w:line="360" w:lineRule="auto"/>
        <w:ind w:left="0"/>
        <w:jc w:val="left"/>
        <w:rPr>
          <w:b/>
        </w:rPr>
      </w:pPr>
      <w:r w:rsidRPr="009629EB">
        <w:rPr>
          <w:b/>
        </w:rPr>
        <w:t>Resultados e Discussão</w:t>
      </w:r>
    </w:p>
    <w:p w14:paraId="2FA1D4E4" w14:textId="77777777" w:rsidR="000A46BE" w:rsidRPr="009629EB" w:rsidRDefault="000A46BE" w:rsidP="000A46BE">
      <w:pPr>
        <w:pStyle w:val="ListParagraph"/>
        <w:spacing w:line="360" w:lineRule="auto"/>
        <w:ind w:left="0"/>
        <w:jc w:val="left"/>
        <w:rPr>
          <w:b/>
        </w:rPr>
      </w:pPr>
    </w:p>
    <w:p w14:paraId="235A3FFE" w14:textId="65DA3180" w:rsidR="00B62F88" w:rsidRDefault="00B62F88" w:rsidP="005154B6">
      <w:pPr>
        <w:pStyle w:val="ListParagraph"/>
        <w:spacing w:line="360" w:lineRule="auto"/>
        <w:ind w:left="0" w:firstLine="709"/>
      </w:pPr>
      <w:r>
        <w:t xml:space="preserve">O estudo foi feito utilizando a linguagem R e o programa </w:t>
      </w:r>
      <w:proofErr w:type="spellStart"/>
      <w:r>
        <w:t>RStudio</w:t>
      </w:r>
      <w:proofErr w:type="spellEnd"/>
      <w:r>
        <w:t xml:space="preserve">. Utilizou-se as seguintes bibliotecas: </w:t>
      </w:r>
      <w:proofErr w:type="spellStart"/>
      <w:r w:rsidRPr="00B62F88">
        <w:t>readxl</w:t>
      </w:r>
      <w:proofErr w:type="spellEnd"/>
      <w:r>
        <w:t xml:space="preserve">, </w:t>
      </w:r>
      <w:r w:rsidRPr="00B62F88">
        <w:t>ggplot2</w:t>
      </w:r>
      <w:r>
        <w:t xml:space="preserve">, </w:t>
      </w:r>
      <w:proofErr w:type="spellStart"/>
      <w:r w:rsidRPr="00B62F88">
        <w:t>anacor</w:t>
      </w:r>
      <w:proofErr w:type="spellEnd"/>
      <w:r>
        <w:t xml:space="preserve">, </w:t>
      </w:r>
      <w:proofErr w:type="spellStart"/>
      <w:r w:rsidRPr="00B62F88">
        <w:t>sjPlot</w:t>
      </w:r>
      <w:proofErr w:type="spellEnd"/>
      <w:r>
        <w:t xml:space="preserve">, </w:t>
      </w:r>
      <w:proofErr w:type="spellStart"/>
      <w:r w:rsidRPr="00B62F88">
        <w:t>dplyr</w:t>
      </w:r>
      <w:proofErr w:type="spellEnd"/>
      <w:r>
        <w:t xml:space="preserve">, </w:t>
      </w:r>
      <w:proofErr w:type="spellStart"/>
      <w:r w:rsidRPr="00B62F88">
        <w:t>stringr</w:t>
      </w:r>
      <w:proofErr w:type="spellEnd"/>
      <w:r>
        <w:t xml:space="preserve"> e </w:t>
      </w:r>
      <w:proofErr w:type="spellStart"/>
      <w:r w:rsidRPr="00B62F88">
        <w:t>PerformanceAnalytics</w:t>
      </w:r>
      <w:proofErr w:type="spellEnd"/>
      <w:r>
        <w:t xml:space="preserve">. Os scripts bem como as imagens geradas e a base de dados estão disponíveis em um repositório do </w:t>
      </w:r>
      <w:proofErr w:type="spellStart"/>
      <w:r>
        <w:t>github</w:t>
      </w:r>
      <w:proofErr w:type="spellEnd"/>
      <w:r>
        <w:t xml:space="preserve"> (</w:t>
      </w:r>
      <w:proofErr w:type="spellStart"/>
      <w:r>
        <w:fldChar w:fldCharType="begin"/>
      </w:r>
      <w:r>
        <w:instrText xml:space="preserve"> HYPERLINK "https://github.com/eversonverissimo/ds-immigration" </w:instrText>
      </w:r>
      <w:r>
        <w:fldChar w:fldCharType="separate"/>
      </w:r>
      <w:r>
        <w:rPr>
          <w:rStyle w:val="Hyperlink"/>
        </w:rPr>
        <w:t>eversonverissimo</w:t>
      </w:r>
      <w:proofErr w:type="spellEnd"/>
      <w:r>
        <w:rPr>
          <w:rStyle w:val="Hyperlink"/>
        </w:rPr>
        <w:t>/</w:t>
      </w:r>
      <w:proofErr w:type="spellStart"/>
      <w:r>
        <w:rPr>
          <w:rStyle w:val="Hyperlink"/>
        </w:rPr>
        <w:t>ds-immigration</w:t>
      </w:r>
      <w:proofErr w:type="spellEnd"/>
      <w:r>
        <w:rPr>
          <w:rStyle w:val="Hyperlink"/>
        </w:rPr>
        <w:t xml:space="preserve"> (github.com)</w:t>
      </w:r>
      <w:r>
        <w:fldChar w:fldCharType="end"/>
      </w:r>
      <w:r>
        <w:t>).</w:t>
      </w:r>
    </w:p>
    <w:p w14:paraId="59C7BF97" w14:textId="2B34CAF1" w:rsidR="0089638E" w:rsidRDefault="00025A81" w:rsidP="005154B6">
      <w:pPr>
        <w:pStyle w:val="ListParagraph"/>
        <w:spacing w:line="360" w:lineRule="auto"/>
        <w:ind w:left="0" w:firstLine="709"/>
      </w:pPr>
      <w:r>
        <w:t xml:space="preserve">O estudo inicial foi feito a partir das variáveis derivadas, que são categóricas, porém binárias, </w:t>
      </w:r>
      <w:r w:rsidR="00E64C48">
        <w:t>e, portanto,</w:t>
      </w:r>
      <w:r>
        <w:t xml:space="preserve"> é possível calcular a Correlação de Pearson.</w:t>
      </w:r>
      <w:r w:rsidR="00E64C48">
        <w:t xml:space="preserve"> Foi calculada a relação entre as variáveis de Income (Renda) e </w:t>
      </w:r>
      <w:r w:rsidR="00096B42">
        <w:t xml:space="preserve">OECD </w:t>
      </w:r>
      <w:r w:rsidR="005731F8">
        <w:t>com</w:t>
      </w:r>
      <w:r w:rsidR="00096B42">
        <w:t xml:space="preserve"> as variáveis de contagem</w:t>
      </w:r>
      <w:r w:rsidR="00E64C48">
        <w:t>.</w:t>
      </w:r>
      <w:r w:rsidR="00096B42">
        <w:t xml:space="preserve"> O resultado é um indicativo da relação das legislações (representadas pelas variáveis de contagem) e as variáveis de Income e OECD.</w:t>
      </w:r>
    </w:p>
    <w:p w14:paraId="3B27411A" w14:textId="77777777" w:rsidR="00096B42" w:rsidRDefault="00096B42" w:rsidP="005154B6">
      <w:pPr>
        <w:pStyle w:val="ListParagraph"/>
        <w:spacing w:line="360" w:lineRule="auto"/>
        <w:ind w:left="0" w:firstLine="709"/>
      </w:pPr>
    </w:p>
    <w:tbl>
      <w:tblPr>
        <w:tblStyle w:val="TableGrid"/>
        <w:tblW w:w="0" w:type="auto"/>
        <w:tblLook w:val="04A0" w:firstRow="1" w:lastRow="0" w:firstColumn="1" w:lastColumn="0" w:noHBand="0" w:noVBand="1"/>
      </w:tblPr>
      <w:tblGrid>
        <w:gridCol w:w="2185"/>
        <w:gridCol w:w="1682"/>
        <w:gridCol w:w="1661"/>
        <w:gridCol w:w="1843"/>
        <w:gridCol w:w="1689"/>
      </w:tblGrid>
      <w:tr w:rsidR="00E64C48" w14:paraId="68C17AE2" w14:textId="77777777" w:rsidTr="00E64C48">
        <w:tc>
          <w:tcPr>
            <w:tcW w:w="1812" w:type="dxa"/>
          </w:tcPr>
          <w:p w14:paraId="1F60984F" w14:textId="77777777" w:rsidR="00E64C48" w:rsidRDefault="00E64C48" w:rsidP="00E64C48">
            <w:pPr>
              <w:spacing w:line="360" w:lineRule="auto"/>
            </w:pPr>
          </w:p>
        </w:tc>
        <w:tc>
          <w:tcPr>
            <w:tcW w:w="1812" w:type="dxa"/>
          </w:tcPr>
          <w:p w14:paraId="57BFBF07" w14:textId="7C23179D" w:rsidR="00E64C48" w:rsidRDefault="00E64C48" w:rsidP="00E64C48">
            <w:pPr>
              <w:spacing w:line="360" w:lineRule="auto"/>
            </w:pPr>
            <w:proofErr w:type="spellStart"/>
            <w:r>
              <w:t>CountYes</w:t>
            </w:r>
            <w:proofErr w:type="spellEnd"/>
          </w:p>
        </w:tc>
        <w:tc>
          <w:tcPr>
            <w:tcW w:w="1812" w:type="dxa"/>
          </w:tcPr>
          <w:p w14:paraId="72104F73" w14:textId="6C2D99B1" w:rsidR="00E64C48" w:rsidRDefault="00E64C48" w:rsidP="00E64C48">
            <w:pPr>
              <w:spacing w:line="360" w:lineRule="auto"/>
            </w:pPr>
            <w:proofErr w:type="spellStart"/>
            <w:r>
              <w:t>CountNo</w:t>
            </w:r>
            <w:proofErr w:type="spellEnd"/>
          </w:p>
        </w:tc>
        <w:tc>
          <w:tcPr>
            <w:tcW w:w="1812" w:type="dxa"/>
          </w:tcPr>
          <w:p w14:paraId="76C4DBCC" w14:textId="09EBE1FE" w:rsidR="00E64C48" w:rsidRDefault="00E64C48" w:rsidP="00E64C48">
            <w:pPr>
              <w:spacing w:line="360" w:lineRule="auto"/>
            </w:pPr>
            <w:proofErr w:type="spellStart"/>
            <w:r>
              <w:t>CountConditions</w:t>
            </w:r>
            <w:proofErr w:type="spellEnd"/>
          </w:p>
        </w:tc>
        <w:tc>
          <w:tcPr>
            <w:tcW w:w="1812" w:type="dxa"/>
          </w:tcPr>
          <w:p w14:paraId="79310609" w14:textId="221E0155" w:rsidR="00E64C48" w:rsidRDefault="00E64C48" w:rsidP="00E64C48">
            <w:pPr>
              <w:spacing w:line="360" w:lineRule="auto"/>
            </w:pPr>
            <w:proofErr w:type="spellStart"/>
            <w:r>
              <w:t>CountNAs</w:t>
            </w:r>
            <w:proofErr w:type="spellEnd"/>
          </w:p>
        </w:tc>
      </w:tr>
      <w:tr w:rsidR="00E64C48" w14:paraId="7570BC04" w14:textId="77777777" w:rsidTr="00E64C48">
        <w:tc>
          <w:tcPr>
            <w:tcW w:w="1812" w:type="dxa"/>
          </w:tcPr>
          <w:p w14:paraId="6194146E" w14:textId="5C52B2C3" w:rsidR="00E64C48" w:rsidRDefault="008111C1" w:rsidP="00E64C48">
            <w:pPr>
              <w:spacing w:line="360" w:lineRule="auto"/>
            </w:pPr>
            <w:proofErr w:type="spellStart"/>
            <w:r>
              <w:t>LowIncome</w:t>
            </w:r>
            <w:proofErr w:type="spellEnd"/>
          </w:p>
        </w:tc>
        <w:tc>
          <w:tcPr>
            <w:tcW w:w="1812" w:type="dxa"/>
          </w:tcPr>
          <w:p w14:paraId="08E0A21F" w14:textId="72835715" w:rsidR="00E64C48" w:rsidRDefault="008111C1" w:rsidP="00E64C48">
            <w:pPr>
              <w:spacing w:line="360" w:lineRule="auto"/>
            </w:pPr>
            <w:r w:rsidRPr="008111C1">
              <w:t>-0.109</w:t>
            </w:r>
            <w:r w:rsidR="00A2667C">
              <w:br/>
              <w:t>(</w:t>
            </w:r>
            <w:r w:rsidR="00A2667C" w:rsidRPr="00A2667C">
              <w:t>0.2</w:t>
            </w:r>
            <w:r w:rsidR="00A2667C">
              <w:t>1)</w:t>
            </w:r>
          </w:p>
        </w:tc>
        <w:tc>
          <w:tcPr>
            <w:tcW w:w="1812" w:type="dxa"/>
          </w:tcPr>
          <w:p w14:paraId="2CB830CA" w14:textId="7C73B30A" w:rsidR="00E64C48" w:rsidRDefault="008111C1" w:rsidP="00E64C48">
            <w:pPr>
              <w:spacing w:line="360" w:lineRule="auto"/>
            </w:pPr>
            <w:r w:rsidRPr="008111C1">
              <w:t>0.065</w:t>
            </w:r>
            <w:r w:rsidR="00A2667C">
              <w:br/>
              <w:t>(</w:t>
            </w:r>
            <w:r w:rsidR="00A2667C" w:rsidRPr="00A2667C">
              <w:t>0.4</w:t>
            </w:r>
            <w:r w:rsidR="00A2667C">
              <w:t>6)</w:t>
            </w:r>
          </w:p>
        </w:tc>
        <w:tc>
          <w:tcPr>
            <w:tcW w:w="1812" w:type="dxa"/>
          </w:tcPr>
          <w:p w14:paraId="2E83E5CC" w14:textId="3F360A97" w:rsidR="00E64C48" w:rsidRDefault="008111C1" w:rsidP="00E64C48">
            <w:pPr>
              <w:spacing w:line="360" w:lineRule="auto"/>
            </w:pPr>
            <w:r w:rsidRPr="008111C1">
              <w:t>-0.041</w:t>
            </w:r>
          </w:p>
          <w:p w14:paraId="313491B2" w14:textId="593E3FAB" w:rsidR="00E1532A" w:rsidRDefault="00E1532A" w:rsidP="00E64C48">
            <w:pPr>
              <w:spacing w:line="360" w:lineRule="auto"/>
            </w:pPr>
            <w:r>
              <w:t>(</w:t>
            </w:r>
            <w:r w:rsidRPr="00E1532A">
              <w:t>0.63</w:t>
            </w:r>
            <w:r>
              <w:t>6)</w:t>
            </w:r>
          </w:p>
        </w:tc>
        <w:tc>
          <w:tcPr>
            <w:tcW w:w="1812" w:type="dxa"/>
          </w:tcPr>
          <w:p w14:paraId="06A8F5EB" w14:textId="7C840849" w:rsidR="00E64C48" w:rsidRDefault="008111C1" w:rsidP="00E64C48">
            <w:pPr>
              <w:spacing w:line="360" w:lineRule="auto"/>
            </w:pPr>
            <w:r w:rsidRPr="008111C1">
              <w:t>0.193</w:t>
            </w:r>
            <w:r>
              <w:t>*</w:t>
            </w:r>
          </w:p>
          <w:p w14:paraId="48C62B1C" w14:textId="41E9FF7B" w:rsidR="00E1532A" w:rsidRDefault="00E1532A" w:rsidP="00E64C48">
            <w:pPr>
              <w:spacing w:line="360" w:lineRule="auto"/>
            </w:pPr>
            <w:r>
              <w:t>(</w:t>
            </w:r>
            <w:r w:rsidRPr="00E1532A">
              <w:t>0.025</w:t>
            </w:r>
            <w:r>
              <w:t>)</w:t>
            </w:r>
          </w:p>
        </w:tc>
      </w:tr>
      <w:tr w:rsidR="00E64C48" w14:paraId="3494E426" w14:textId="77777777" w:rsidTr="00E64C48">
        <w:tc>
          <w:tcPr>
            <w:tcW w:w="1812" w:type="dxa"/>
          </w:tcPr>
          <w:p w14:paraId="00E9E669" w14:textId="7C507712" w:rsidR="00E64C48" w:rsidRDefault="008111C1" w:rsidP="00E64C48">
            <w:pPr>
              <w:spacing w:line="360" w:lineRule="auto"/>
            </w:pPr>
            <w:proofErr w:type="spellStart"/>
            <w:r w:rsidRPr="008111C1">
              <w:t>LowerMiddleIncome</w:t>
            </w:r>
            <w:proofErr w:type="spellEnd"/>
          </w:p>
        </w:tc>
        <w:tc>
          <w:tcPr>
            <w:tcW w:w="1812" w:type="dxa"/>
          </w:tcPr>
          <w:p w14:paraId="2838EE7D" w14:textId="33B0BA63" w:rsidR="00E64C48" w:rsidRDefault="008111C1" w:rsidP="00E64C48">
            <w:pPr>
              <w:spacing w:line="360" w:lineRule="auto"/>
            </w:pPr>
            <w:r w:rsidRPr="008111C1">
              <w:t>-0.25</w:t>
            </w:r>
            <w:r>
              <w:t>8**</w:t>
            </w:r>
            <w:r w:rsidR="00A2667C">
              <w:t xml:space="preserve"> </w:t>
            </w:r>
            <w:r w:rsidR="00A2667C">
              <w:br/>
              <w:t>(</w:t>
            </w:r>
            <w:r w:rsidR="00A2667C" w:rsidRPr="00A2667C">
              <w:t>0.00</w:t>
            </w:r>
            <w:r w:rsidR="00A2667C">
              <w:t>3)</w:t>
            </w:r>
          </w:p>
        </w:tc>
        <w:tc>
          <w:tcPr>
            <w:tcW w:w="1812" w:type="dxa"/>
          </w:tcPr>
          <w:p w14:paraId="419A2322" w14:textId="77777777" w:rsidR="00E64C48" w:rsidRDefault="008111C1" w:rsidP="00E64C48">
            <w:pPr>
              <w:spacing w:line="360" w:lineRule="auto"/>
            </w:pPr>
            <w:r w:rsidRPr="008111C1">
              <w:t>0.228</w:t>
            </w:r>
            <w:r>
              <w:t>**</w:t>
            </w:r>
          </w:p>
          <w:p w14:paraId="2B21E88F" w14:textId="53735664" w:rsidR="00E1532A" w:rsidRDefault="00E1532A" w:rsidP="00E64C48">
            <w:pPr>
              <w:spacing w:line="360" w:lineRule="auto"/>
            </w:pPr>
            <w:r>
              <w:t>(</w:t>
            </w:r>
            <w:r w:rsidRPr="00E1532A">
              <w:t>0.00</w:t>
            </w:r>
            <w:r>
              <w:t>8)</w:t>
            </w:r>
          </w:p>
        </w:tc>
        <w:tc>
          <w:tcPr>
            <w:tcW w:w="1812" w:type="dxa"/>
          </w:tcPr>
          <w:p w14:paraId="35AC593B" w14:textId="77777777" w:rsidR="00E64C48" w:rsidRDefault="008111C1" w:rsidP="00E64C48">
            <w:pPr>
              <w:spacing w:line="360" w:lineRule="auto"/>
            </w:pPr>
            <w:r w:rsidRPr="008111C1">
              <w:t>-0.0</w:t>
            </w:r>
            <w:r>
              <w:t>1</w:t>
            </w:r>
          </w:p>
          <w:p w14:paraId="4EE38F4D" w14:textId="3D2C5E4D" w:rsidR="00E1532A" w:rsidRDefault="00E1532A" w:rsidP="00E64C48">
            <w:pPr>
              <w:spacing w:line="360" w:lineRule="auto"/>
            </w:pPr>
            <w:r>
              <w:t>(</w:t>
            </w:r>
            <w:r w:rsidRPr="00E1532A">
              <w:t>0.909</w:t>
            </w:r>
            <w:r>
              <w:t>)</w:t>
            </w:r>
          </w:p>
        </w:tc>
        <w:tc>
          <w:tcPr>
            <w:tcW w:w="1812" w:type="dxa"/>
          </w:tcPr>
          <w:p w14:paraId="5E2CF9B6" w14:textId="77777777" w:rsidR="00E64C48" w:rsidRDefault="008111C1" w:rsidP="00E64C48">
            <w:pPr>
              <w:spacing w:line="360" w:lineRule="auto"/>
            </w:pPr>
            <w:r w:rsidRPr="008111C1">
              <w:t>0.162</w:t>
            </w:r>
          </w:p>
          <w:p w14:paraId="0AFD5AE6" w14:textId="72274A03" w:rsidR="00E1532A" w:rsidRDefault="00E1532A" w:rsidP="00E64C48">
            <w:pPr>
              <w:spacing w:line="360" w:lineRule="auto"/>
            </w:pPr>
            <w:r>
              <w:t>(</w:t>
            </w:r>
            <w:r w:rsidRPr="00E1532A">
              <w:t>0.061</w:t>
            </w:r>
            <w:r>
              <w:t>)</w:t>
            </w:r>
          </w:p>
        </w:tc>
      </w:tr>
      <w:tr w:rsidR="00E64C48" w14:paraId="2743C4DF" w14:textId="77777777" w:rsidTr="00E64C48">
        <w:tc>
          <w:tcPr>
            <w:tcW w:w="1812" w:type="dxa"/>
          </w:tcPr>
          <w:p w14:paraId="4F01614B" w14:textId="13BA5E1B" w:rsidR="00E64C48" w:rsidRDefault="008111C1" w:rsidP="00E64C48">
            <w:pPr>
              <w:spacing w:line="360" w:lineRule="auto"/>
            </w:pPr>
            <w:proofErr w:type="spellStart"/>
            <w:r w:rsidRPr="008111C1">
              <w:t>UpperMiddleIncome</w:t>
            </w:r>
            <w:proofErr w:type="spellEnd"/>
          </w:p>
        </w:tc>
        <w:tc>
          <w:tcPr>
            <w:tcW w:w="1812" w:type="dxa"/>
          </w:tcPr>
          <w:p w14:paraId="02FE4BC6" w14:textId="1DEB4840" w:rsidR="00E64C48" w:rsidRDefault="008111C1" w:rsidP="00E64C48">
            <w:pPr>
              <w:spacing w:line="360" w:lineRule="auto"/>
            </w:pPr>
            <w:r w:rsidRPr="008111C1">
              <w:t>0.1</w:t>
            </w:r>
            <w:r>
              <w:t>6</w:t>
            </w:r>
            <w:r w:rsidR="00A2667C">
              <w:t xml:space="preserve"> </w:t>
            </w:r>
            <w:r w:rsidR="00A2667C">
              <w:br/>
              <w:t>(</w:t>
            </w:r>
            <w:r w:rsidR="00A2667C" w:rsidRPr="00A2667C">
              <w:t>0.06</w:t>
            </w:r>
            <w:r w:rsidR="00A2667C">
              <w:t>6)</w:t>
            </w:r>
          </w:p>
        </w:tc>
        <w:tc>
          <w:tcPr>
            <w:tcW w:w="1812" w:type="dxa"/>
          </w:tcPr>
          <w:p w14:paraId="6C7C21BB" w14:textId="77777777" w:rsidR="00E64C48" w:rsidRDefault="008111C1" w:rsidP="00E64C48">
            <w:pPr>
              <w:spacing w:line="360" w:lineRule="auto"/>
            </w:pPr>
            <w:r w:rsidRPr="008111C1">
              <w:t>-0.1</w:t>
            </w:r>
            <w:r>
              <w:t>5</w:t>
            </w:r>
          </w:p>
          <w:p w14:paraId="70AD9004" w14:textId="02AA80DA" w:rsidR="00E1532A" w:rsidRDefault="00E1532A" w:rsidP="00E64C48">
            <w:pPr>
              <w:spacing w:line="360" w:lineRule="auto"/>
            </w:pPr>
            <w:r>
              <w:t>(</w:t>
            </w:r>
            <w:r w:rsidRPr="00E1532A">
              <w:t>0.08</w:t>
            </w:r>
            <w:r>
              <w:t>)</w:t>
            </w:r>
          </w:p>
        </w:tc>
        <w:tc>
          <w:tcPr>
            <w:tcW w:w="1812" w:type="dxa"/>
          </w:tcPr>
          <w:p w14:paraId="7ED8AC81" w14:textId="77777777" w:rsidR="00E64C48" w:rsidRDefault="008111C1" w:rsidP="00E64C48">
            <w:pPr>
              <w:spacing w:line="360" w:lineRule="auto"/>
            </w:pPr>
            <w:r w:rsidRPr="008111C1">
              <w:t>0.02</w:t>
            </w:r>
            <w:r>
              <w:t>2</w:t>
            </w:r>
          </w:p>
          <w:p w14:paraId="4D7AE649" w14:textId="30DEFDEC" w:rsidR="00E1532A" w:rsidRDefault="00E1532A" w:rsidP="00E64C48">
            <w:pPr>
              <w:spacing w:line="360" w:lineRule="auto"/>
            </w:pPr>
            <w:r>
              <w:t>(</w:t>
            </w:r>
            <w:r w:rsidRPr="00E1532A">
              <w:t>0.80</w:t>
            </w:r>
            <w:r>
              <w:t>4)</w:t>
            </w:r>
          </w:p>
        </w:tc>
        <w:tc>
          <w:tcPr>
            <w:tcW w:w="1812" w:type="dxa"/>
          </w:tcPr>
          <w:p w14:paraId="44126C3E" w14:textId="77777777" w:rsidR="00E64C48" w:rsidRDefault="008111C1" w:rsidP="00E64C48">
            <w:pPr>
              <w:spacing w:line="360" w:lineRule="auto"/>
            </w:pPr>
            <w:r w:rsidRPr="008111C1">
              <w:t>-0.081</w:t>
            </w:r>
          </w:p>
          <w:p w14:paraId="7EE16099" w14:textId="1A15EABF" w:rsidR="00E1532A" w:rsidRDefault="00E1532A" w:rsidP="00E64C48">
            <w:pPr>
              <w:spacing w:line="360" w:lineRule="auto"/>
            </w:pPr>
            <w:r>
              <w:t>(</w:t>
            </w:r>
            <w:r w:rsidRPr="00E1532A">
              <w:t>0.35</w:t>
            </w:r>
            <w:r>
              <w:t>)</w:t>
            </w:r>
          </w:p>
        </w:tc>
      </w:tr>
      <w:tr w:rsidR="00E64C48" w14:paraId="6C4C28CA" w14:textId="77777777" w:rsidTr="00E64C48">
        <w:tc>
          <w:tcPr>
            <w:tcW w:w="1812" w:type="dxa"/>
          </w:tcPr>
          <w:p w14:paraId="6DE45914" w14:textId="284A4CB4" w:rsidR="00E64C48" w:rsidRDefault="008111C1" w:rsidP="00E64C48">
            <w:pPr>
              <w:spacing w:line="360" w:lineRule="auto"/>
            </w:pPr>
            <w:proofErr w:type="spellStart"/>
            <w:r w:rsidRPr="008111C1">
              <w:t>HighIncome</w:t>
            </w:r>
            <w:proofErr w:type="spellEnd"/>
          </w:p>
        </w:tc>
        <w:tc>
          <w:tcPr>
            <w:tcW w:w="1812" w:type="dxa"/>
          </w:tcPr>
          <w:p w14:paraId="6C3A4BB3" w14:textId="663F8262" w:rsidR="00E64C48" w:rsidRDefault="008111C1" w:rsidP="00E64C48">
            <w:pPr>
              <w:spacing w:line="360" w:lineRule="auto"/>
            </w:pPr>
            <w:r>
              <w:t>0.2</w:t>
            </w:r>
            <w:r w:rsidR="00096B42">
              <w:t>*</w:t>
            </w:r>
            <w:r w:rsidR="00A2667C">
              <w:t xml:space="preserve"> </w:t>
            </w:r>
            <w:r w:rsidR="00A2667C">
              <w:br/>
              <w:t>(</w:t>
            </w:r>
            <w:r w:rsidR="00A2667C" w:rsidRPr="00A2667C">
              <w:t>0.02</w:t>
            </w:r>
            <w:r w:rsidR="00A2667C">
              <w:t>4)</w:t>
            </w:r>
          </w:p>
        </w:tc>
        <w:tc>
          <w:tcPr>
            <w:tcW w:w="1812" w:type="dxa"/>
          </w:tcPr>
          <w:p w14:paraId="2F1C7C59" w14:textId="77777777" w:rsidR="00E64C48" w:rsidRDefault="008111C1" w:rsidP="00E64C48">
            <w:pPr>
              <w:spacing w:line="360" w:lineRule="auto"/>
            </w:pPr>
            <w:r w:rsidRPr="008111C1">
              <w:t>-0.137</w:t>
            </w:r>
          </w:p>
          <w:p w14:paraId="1377008D" w14:textId="70E486EB" w:rsidR="00E1532A" w:rsidRDefault="00E1532A" w:rsidP="00E64C48">
            <w:pPr>
              <w:spacing w:line="360" w:lineRule="auto"/>
            </w:pPr>
            <w:r>
              <w:t>(</w:t>
            </w:r>
            <w:r w:rsidRPr="00E1532A">
              <w:t>0.11</w:t>
            </w:r>
            <w:r>
              <w:t>3)</w:t>
            </w:r>
          </w:p>
        </w:tc>
        <w:tc>
          <w:tcPr>
            <w:tcW w:w="1812" w:type="dxa"/>
          </w:tcPr>
          <w:p w14:paraId="61FA0F43" w14:textId="77777777" w:rsidR="00E64C48" w:rsidRDefault="00096B42" w:rsidP="00E64C48">
            <w:pPr>
              <w:spacing w:line="360" w:lineRule="auto"/>
            </w:pPr>
            <w:r w:rsidRPr="00096B42">
              <w:t>0.025</w:t>
            </w:r>
          </w:p>
          <w:p w14:paraId="575CD1B3" w14:textId="6A16FD40" w:rsidR="00E1532A" w:rsidRDefault="00E1532A" w:rsidP="00E64C48">
            <w:pPr>
              <w:spacing w:line="360" w:lineRule="auto"/>
            </w:pPr>
            <w:r>
              <w:t>(</w:t>
            </w:r>
            <w:r w:rsidRPr="00E1532A">
              <w:t>0.773</w:t>
            </w:r>
            <w:r>
              <w:t>)</w:t>
            </w:r>
          </w:p>
        </w:tc>
        <w:tc>
          <w:tcPr>
            <w:tcW w:w="1812" w:type="dxa"/>
          </w:tcPr>
          <w:p w14:paraId="5C811ADE" w14:textId="77777777" w:rsidR="00E64C48" w:rsidRDefault="00096B42" w:rsidP="00E64C48">
            <w:pPr>
              <w:spacing w:line="360" w:lineRule="auto"/>
            </w:pPr>
            <w:r w:rsidRPr="00096B42">
              <w:t>-0.2</w:t>
            </w:r>
            <w:r>
              <w:t>5**</w:t>
            </w:r>
          </w:p>
          <w:p w14:paraId="1EE5ADE0" w14:textId="497F619E" w:rsidR="00E1532A" w:rsidRDefault="00E1532A" w:rsidP="00E64C48">
            <w:pPr>
              <w:spacing w:line="360" w:lineRule="auto"/>
            </w:pPr>
            <w:r>
              <w:t>(</w:t>
            </w:r>
            <w:r w:rsidRPr="00E1532A">
              <w:t>0.00</w:t>
            </w:r>
            <w:r>
              <w:t>4)</w:t>
            </w:r>
          </w:p>
        </w:tc>
      </w:tr>
      <w:tr w:rsidR="00096B42" w14:paraId="06318D5B" w14:textId="77777777" w:rsidTr="00E64C48">
        <w:tc>
          <w:tcPr>
            <w:tcW w:w="1812" w:type="dxa"/>
          </w:tcPr>
          <w:p w14:paraId="0CAEE9B5" w14:textId="51EF008F" w:rsidR="00096B42" w:rsidRPr="008111C1" w:rsidRDefault="00096B42" w:rsidP="00E64C48">
            <w:pPr>
              <w:spacing w:line="360" w:lineRule="auto"/>
            </w:pPr>
            <w:r>
              <w:t>OECD</w:t>
            </w:r>
          </w:p>
        </w:tc>
        <w:tc>
          <w:tcPr>
            <w:tcW w:w="1812" w:type="dxa"/>
          </w:tcPr>
          <w:p w14:paraId="2D4879F4" w14:textId="2D79E037" w:rsidR="00096B42" w:rsidRDefault="00096B42" w:rsidP="00E64C48">
            <w:pPr>
              <w:spacing w:line="360" w:lineRule="auto"/>
            </w:pPr>
            <w:r w:rsidRPr="00096B42">
              <w:t>0.32</w:t>
            </w:r>
            <w:r>
              <w:t>3***</w:t>
            </w:r>
            <w:r w:rsidR="00A2667C">
              <w:t xml:space="preserve"> </w:t>
            </w:r>
            <w:r w:rsidR="00A2667C">
              <w:br/>
              <w:t>(0.000)</w:t>
            </w:r>
          </w:p>
        </w:tc>
        <w:tc>
          <w:tcPr>
            <w:tcW w:w="1812" w:type="dxa"/>
          </w:tcPr>
          <w:p w14:paraId="7385FFB0" w14:textId="77777777" w:rsidR="00096B42" w:rsidRDefault="00096B42" w:rsidP="00096B42">
            <w:pPr>
              <w:tabs>
                <w:tab w:val="left" w:pos="1130"/>
              </w:tabs>
              <w:spacing w:line="360" w:lineRule="auto"/>
            </w:pPr>
            <w:r w:rsidRPr="00096B42">
              <w:t>-0.32</w:t>
            </w:r>
            <w:r>
              <w:t>5***</w:t>
            </w:r>
          </w:p>
          <w:p w14:paraId="507B5E21" w14:textId="7745D09A" w:rsidR="00E1532A" w:rsidRPr="008111C1" w:rsidRDefault="00E1532A" w:rsidP="00096B42">
            <w:pPr>
              <w:tabs>
                <w:tab w:val="left" w:pos="1130"/>
              </w:tabs>
              <w:spacing w:line="360" w:lineRule="auto"/>
            </w:pPr>
            <w:r>
              <w:t>(</w:t>
            </w:r>
            <w:r w:rsidRPr="00E1532A">
              <w:t>0.000</w:t>
            </w:r>
            <w:r>
              <w:t>)</w:t>
            </w:r>
          </w:p>
        </w:tc>
        <w:tc>
          <w:tcPr>
            <w:tcW w:w="1812" w:type="dxa"/>
          </w:tcPr>
          <w:p w14:paraId="5281CB9C" w14:textId="77777777" w:rsidR="00096B42" w:rsidRDefault="00096B42" w:rsidP="00E64C48">
            <w:pPr>
              <w:spacing w:line="360" w:lineRule="auto"/>
            </w:pPr>
            <w:r w:rsidRPr="00096B42">
              <w:t>0.12</w:t>
            </w:r>
            <w:r>
              <w:t>2</w:t>
            </w:r>
          </w:p>
          <w:p w14:paraId="27D705AF" w14:textId="79303911" w:rsidR="00E1532A" w:rsidRPr="00096B42" w:rsidRDefault="00E1532A" w:rsidP="00E64C48">
            <w:pPr>
              <w:spacing w:line="360" w:lineRule="auto"/>
            </w:pPr>
            <w:r>
              <w:t>(</w:t>
            </w:r>
            <w:r w:rsidRPr="00E1532A">
              <w:t>0.16</w:t>
            </w:r>
            <w:r>
              <w:t>1)</w:t>
            </w:r>
          </w:p>
        </w:tc>
        <w:tc>
          <w:tcPr>
            <w:tcW w:w="1812" w:type="dxa"/>
          </w:tcPr>
          <w:p w14:paraId="0169F0D2" w14:textId="77777777" w:rsidR="00096B42" w:rsidRDefault="00096B42" w:rsidP="00E64C48">
            <w:pPr>
              <w:spacing w:line="360" w:lineRule="auto"/>
            </w:pPr>
            <w:r w:rsidRPr="00096B42">
              <w:t>-0.19</w:t>
            </w:r>
            <w:r>
              <w:t>5*</w:t>
            </w:r>
          </w:p>
          <w:p w14:paraId="7F01E16A" w14:textId="270D8323" w:rsidR="00E1532A" w:rsidRPr="00096B42" w:rsidRDefault="00E1532A" w:rsidP="00E64C48">
            <w:pPr>
              <w:spacing w:line="360" w:lineRule="auto"/>
            </w:pPr>
            <w:r>
              <w:t>(</w:t>
            </w:r>
            <w:r w:rsidRPr="00E1532A">
              <w:t>0.024</w:t>
            </w:r>
            <w:r>
              <w:t>)</w:t>
            </w:r>
          </w:p>
        </w:tc>
      </w:tr>
    </w:tbl>
    <w:p w14:paraId="385CB4A7" w14:textId="26411DA1" w:rsidR="00E64C48" w:rsidRPr="00BC07FA" w:rsidRDefault="00511DCD" w:rsidP="00E64C48">
      <w:pPr>
        <w:spacing w:line="360" w:lineRule="auto"/>
      </w:pPr>
      <w:r w:rsidRPr="006411E1">
        <w:rPr>
          <w:b/>
          <w:bCs/>
        </w:rPr>
        <w:t>Tabela 1.</w:t>
      </w:r>
      <w:r>
        <w:t xml:space="preserve"> </w:t>
      </w:r>
      <w:r w:rsidR="00BC07FA" w:rsidRPr="00BC07FA">
        <w:t xml:space="preserve">Correlação de Pearson </w:t>
      </w:r>
      <w:r w:rsidR="00BC07FA">
        <w:t>entre as variáveis derivadas e entre parênteses os p-</w:t>
      </w:r>
      <w:proofErr w:type="spellStart"/>
      <w:r w:rsidR="00BC07FA">
        <w:t>values</w:t>
      </w:r>
      <w:proofErr w:type="spellEnd"/>
      <w:r w:rsidR="00BC07FA">
        <w:t xml:space="preserve"> do teste t. </w:t>
      </w:r>
      <w:r w:rsidR="008F4782" w:rsidRPr="00BC07FA">
        <w:t xml:space="preserve">*** </w:t>
      </w:r>
      <w:r w:rsidR="00E1532A" w:rsidRPr="00BC07FA">
        <w:t>p</w:t>
      </w:r>
      <w:r w:rsidR="009C5F40" w:rsidRPr="00BC07FA">
        <w:t>-</w:t>
      </w:r>
      <w:proofErr w:type="spellStart"/>
      <w:r w:rsidR="00E1532A" w:rsidRPr="00BC07FA">
        <w:t>v</w:t>
      </w:r>
      <w:r w:rsidR="009C5F40" w:rsidRPr="00BC07FA">
        <w:t>alue</w:t>
      </w:r>
      <w:proofErr w:type="spellEnd"/>
      <w:r w:rsidR="00E1532A" w:rsidRPr="00BC07FA">
        <w:t xml:space="preserve"> abaixo de 0.0</w:t>
      </w:r>
      <w:r w:rsidR="00BC07FA">
        <w:t>01,</w:t>
      </w:r>
      <w:r w:rsidR="009C5F40" w:rsidRPr="00BC07FA">
        <w:t xml:space="preserve"> ** </w:t>
      </w:r>
      <w:r w:rsidR="00BC07FA">
        <w:t>p</w:t>
      </w:r>
      <w:r w:rsidR="009C5F40" w:rsidRPr="00BC07FA">
        <w:t>-</w:t>
      </w:r>
      <w:proofErr w:type="spellStart"/>
      <w:r w:rsidR="00BC07FA">
        <w:t>v</w:t>
      </w:r>
      <w:r w:rsidR="009C5F40" w:rsidRPr="00BC07FA">
        <w:t>alue</w:t>
      </w:r>
      <w:proofErr w:type="spellEnd"/>
      <w:r w:rsidR="00BC07FA">
        <w:t xml:space="preserve"> entre 0.001 e 0.005, </w:t>
      </w:r>
      <w:r w:rsidR="009C5F40" w:rsidRPr="00BC07FA">
        <w:t xml:space="preserve">* </w:t>
      </w:r>
      <w:r w:rsidR="00BC07FA">
        <w:t>p</w:t>
      </w:r>
      <w:r w:rsidR="009C5F40" w:rsidRPr="00BC07FA">
        <w:t>-</w:t>
      </w:r>
      <w:proofErr w:type="spellStart"/>
      <w:r w:rsidR="00BC07FA">
        <w:t>v</w:t>
      </w:r>
      <w:r w:rsidR="009C5F40" w:rsidRPr="00BC07FA">
        <w:t>alue</w:t>
      </w:r>
      <w:proofErr w:type="spellEnd"/>
      <w:r w:rsidR="00BC07FA">
        <w:t xml:space="preserve"> entre 0.005 e 0.0</w:t>
      </w:r>
      <w:r w:rsidR="00382B87">
        <w:t>5.</w:t>
      </w:r>
    </w:p>
    <w:p w14:paraId="6843CD50" w14:textId="77777777" w:rsidR="008F4782" w:rsidRPr="00BC07FA" w:rsidRDefault="008F4782" w:rsidP="00E64C48">
      <w:pPr>
        <w:spacing w:line="360" w:lineRule="auto"/>
      </w:pPr>
    </w:p>
    <w:p w14:paraId="5BBCFE94" w14:textId="629AC470" w:rsidR="00096B42" w:rsidRDefault="008F4782" w:rsidP="00E64C48">
      <w:pPr>
        <w:spacing w:line="360" w:lineRule="auto"/>
      </w:pPr>
      <w:r>
        <w:t>A</w:t>
      </w:r>
      <w:r w:rsidR="00096B42">
        <w:t xml:space="preserve"> </w:t>
      </w:r>
      <w:r>
        <w:t xml:space="preserve">maior </w:t>
      </w:r>
      <w:r w:rsidR="00096B42">
        <w:t xml:space="preserve">correlação </w:t>
      </w:r>
      <w:r>
        <w:t>detectada foi</w:t>
      </w:r>
      <w:r w:rsidR="00096B42">
        <w:t xml:space="preserve"> entre </w:t>
      </w:r>
      <w:r>
        <w:t xml:space="preserve">a variável OECD e as variáveis de contagem. </w:t>
      </w:r>
      <w:r w:rsidR="00382B87">
        <w:t xml:space="preserve">Verificou-se uma correlação positiva entre a variável OECD e a variável </w:t>
      </w:r>
      <w:proofErr w:type="spellStart"/>
      <w:r w:rsidR="00382B87">
        <w:t>CountYes</w:t>
      </w:r>
      <w:proofErr w:type="spellEnd"/>
      <w:r w:rsidR="00382B87">
        <w:t xml:space="preserve"> (Legislação mais permissiva) e uma correlação negativa entre a variável OECD e a variável </w:t>
      </w:r>
      <w:proofErr w:type="spellStart"/>
      <w:r w:rsidR="00382B87">
        <w:t>CountNo</w:t>
      </w:r>
      <w:proofErr w:type="spellEnd"/>
      <w:r w:rsidR="00382B87">
        <w:t xml:space="preserve"> (Legislação menos permissiva). Há, portanto, forte indício de que países da OECD, que possuem uma legislação econômica mais liberal devido a regras da própria OECD</w:t>
      </w:r>
      <w:r w:rsidR="005731F8">
        <w:t>,</w:t>
      </w:r>
      <w:r w:rsidR="00382B87">
        <w:t xml:space="preserve"> </w:t>
      </w:r>
      <w:r w:rsidR="005731F8">
        <w:t>também possuem</w:t>
      </w:r>
      <w:r w:rsidR="00382B87">
        <w:t xml:space="preserve"> uma legislação mais liberal </w:t>
      </w:r>
      <w:r w:rsidR="00413450">
        <w:t>para refugiados.</w:t>
      </w:r>
      <w:r w:rsidR="005731F8">
        <w:t xml:space="preserve"> Esta técnica, porém, não implica em </w:t>
      </w:r>
      <w:r w:rsidR="005731F8">
        <w:lastRenderedPageBreak/>
        <w:t>uma relação causal, ou seja, de que ser da OECD é causa ou consequência de uma legislação mais liberal, apenas detecta se há correlação estatisticamente relevante.</w:t>
      </w:r>
    </w:p>
    <w:p w14:paraId="19A22132" w14:textId="5839BA55" w:rsidR="00413450" w:rsidRDefault="00511DCD" w:rsidP="00E64C48">
      <w:pPr>
        <w:spacing w:line="360" w:lineRule="auto"/>
      </w:pPr>
      <w:r>
        <w:t xml:space="preserve">Outros indícios relevantes a partir da tabela 1 </w:t>
      </w:r>
      <w:r w:rsidR="0041481E">
        <w:t>foi</w:t>
      </w:r>
      <w:r>
        <w:t xml:space="preserve"> a falta de</w:t>
      </w:r>
      <w:r w:rsidR="00413450">
        <w:t xml:space="preserve"> correlação estatisticamente significante entre a variável de contagem </w:t>
      </w:r>
      <w:proofErr w:type="spellStart"/>
      <w:r w:rsidR="00413450">
        <w:t>CountConditions</w:t>
      </w:r>
      <w:proofErr w:type="spellEnd"/>
      <w:r w:rsidR="00413450">
        <w:t xml:space="preserve"> e as demais variáveis</w:t>
      </w:r>
      <w:r w:rsidR="0046466B">
        <w:t xml:space="preserve">; </w:t>
      </w:r>
      <w:proofErr w:type="spellStart"/>
      <w:proofErr w:type="gramStart"/>
      <w:r w:rsidR="0046466B">
        <w:t>HighIncome</w:t>
      </w:r>
      <w:proofErr w:type="spellEnd"/>
      <w:r w:rsidR="0046466B">
        <w:t xml:space="preserve">  com</w:t>
      </w:r>
      <w:proofErr w:type="gramEnd"/>
      <w:r w:rsidR="0046466B">
        <w:t xml:space="preserve"> correlação positiva com </w:t>
      </w:r>
      <w:proofErr w:type="spellStart"/>
      <w:r w:rsidR="0046466B">
        <w:t>CountYes</w:t>
      </w:r>
      <w:proofErr w:type="spellEnd"/>
      <w:r w:rsidR="0046466B">
        <w:t xml:space="preserve"> e negativa com </w:t>
      </w:r>
      <w:proofErr w:type="spellStart"/>
      <w:r w:rsidR="0046466B">
        <w:t>CountNAs</w:t>
      </w:r>
      <w:proofErr w:type="spellEnd"/>
      <w:r w:rsidR="0046466B">
        <w:t xml:space="preserve">; e </w:t>
      </w:r>
      <w:proofErr w:type="spellStart"/>
      <w:r w:rsidR="0046466B" w:rsidRPr="008111C1">
        <w:t>LowerMiddleIncome</w:t>
      </w:r>
      <w:proofErr w:type="spellEnd"/>
      <w:r w:rsidR="0046466B">
        <w:t xml:space="preserve"> com correlação positiva com </w:t>
      </w:r>
      <w:proofErr w:type="spellStart"/>
      <w:r w:rsidR="0046466B">
        <w:t>CountNo</w:t>
      </w:r>
      <w:proofErr w:type="spellEnd"/>
      <w:r w:rsidR="0046466B">
        <w:t xml:space="preserve"> e negativa com </w:t>
      </w:r>
      <w:proofErr w:type="spellStart"/>
      <w:r w:rsidR="0046466B">
        <w:t>CountYes</w:t>
      </w:r>
      <w:proofErr w:type="spellEnd"/>
      <w:r w:rsidR="0046466B">
        <w:t>. Há indícios</w:t>
      </w:r>
      <w:r w:rsidR="005731F8">
        <w:t>, portanto,</w:t>
      </w:r>
      <w:r w:rsidR="0046466B">
        <w:t xml:space="preserve"> de que países de renda mais baixa t</w:t>
      </w:r>
      <w:r w:rsidR="0041481E">
        <w:t>ê</w:t>
      </w:r>
      <w:r w:rsidR="0046466B">
        <w:t xml:space="preserve">m uma legislação menos permissiva ou </w:t>
      </w:r>
      <w:r w:rsidR="0041481E">
        <w:t xml:space="preserve">menos </w:t>
      </w:r>
      <w:r w:rsidR="0046466B">
        <w:t>dados</w:t>
      </w:r>
      <w:r w:rsidR="0041481E">
        <w:t xml:space="preserve"> disponíveis</w:t>
      </w:r>
      <w:r w:rsidR="0046466B">
        <w:t xml:space="preserve">, como foi citado pelo projeto </w:t>
      </w:r>
      <w:r w:rsidR="0046466B" w:rsidRPr="00A811B6">
        <w:rPr>
          <w:color w:val="000000"/>
        </w:rPr>
        <w:t>(KNOMAD, 2020)</w:t>
      </w:r>
      <w:r w:rsidR="0046466B">
        <w:rPr>
          <w:color w:val="000000"/>
        </w:rPr>
        <w:t>.</w:t>
      </w:r>
    </w:p>
    <w:p w14:paraId="44EBCDF8" w14:textId="721558A0" w:rsidR="00413450" w:rsidRDefault="008A74FD" w:rsidP="00E64C48">
      <w:pPr>
        <w:spacing w:line="360" w:lineRule="auto"/>
      </w:pPr>
      <w:r>
        <w:t xml:space="preserve">Apesar dos fortes indícios das correlações de Pearson, por se tratar de </w:t>
      </w:r>
      <w:r w:rsidR="00413450">
        <w:t>uma ponderação arbitrária</w:t>
      </w:r>
      <w:r>
        <w:t xml:space="preserve"> das variáveis de contagem</w:t>
      </w:r>
      <w:r w:rsidR="00413450">
        <w:t xml:space="preserve">, </w:t>
      </w:r>
      <w:r>
        <w:t>foi necessário calcular a</w:t>
      </w:r>
      <w:r w:rsidR="00413450">
        <w:t xml:space="preserve"> correlação utilizando a técnica </w:t>
      </w:r>
      <w:r>
        <w:rPr>
          <w:color w:val="000000"/>
        </w:rPr>
        <w:t>Análise de Correspondência Simples [ANACOR]</w:t>
      </w:r>
      <w:r w:rsidR="00413450">
        <w:t>.</w:t>
      </w:r>
      <w:r>
        <w:t xml:space="preserve"> </w:t>
      </w:r>
      <w:r w:rsidR="00413450">
        <w:t xml:space="preserve">ANACOR </w:t>
      </w:r>
      <w:r>
        <w:t xml:space="preserve">consiste numa técnica de correlação </w:t>
      </w:r>
      <w:r w:rsidR="00413450">
        <w:t>entre duas variáveis categóricas</w:t>
      </w:r>
      <w:r>
        <w:t xml:space="preserve">. ANACOR foi calculada entre a variável Income e cada uma das perguntas; e a variável </w:t>
      </w:r>
      <w:r w:rsidR="00413450">
        <w:t xml:space="preserve">derivada OECD </w:t>
      </w:r>
      <w:r>
        <w:t xml:space="preserve">também </w:t>
      </w:r>
      <w:r w:rsidR="00413450">
        <w:t>com cada uma das variáveis de pergunta.</w:t>
      </w:r>
    </w:p>
    <w:p w14:paraId="7CAF218F" w14:textId="4A21C9AD" w:rsidR="00771EB3" w:rsidRDefault="00341342" w:rsidP="00E64C48">
      <w:pPr>
        <w:spacing w:line="360" w:lineRule="auto"/>
      </w:pPr>
      <w:r>
        <w:rPr>
          <w:noProof/>
        </w:rPr>
        <w:drawing>
          <wp:inline distT="0" distB="0" distL="0" distR="0" wp14:anchorId="72FC6686" wp14:editId="57123F5B">
            <wp:extent cx="5942274" cy="33909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895" cy="3391825"/>
                    </a:xfrm>
                    <a:prstGeom prst="rect">
                      <a:avLst/>
                    </a:prstGeom>
                    <a:noFill/>
                    <a:ln>
                      <a:noFill/>
                    </a:ln>
                  </pic:spPr>
                </pic:pic>
              </a:graphicData>
            </a:graphic>
          </wp:inline>
        </w:drawing>
      </w:r>
    </w:p>
    <w:p w14:paraId="6F2DD414" w14:textId="4D94CE9B" w:rsidR="00E64C48" w:rsidRDefault="00771EB3" w:rsidP="00771EB3">
      <w:pPr>
        <w:spacing w:line="360" w:lineRule="auto"/>
      </w:pPr>
      <w:r w:rsidRPr="006411E1">
        <w:rPr>
          <w:b/>
          <w:bCs/>
        </w:rPr>
        <w:t>Imagem 1.</w:t>
      </w:r>
      <w:r>
        <w:t xml:space="preserve"> ANACOR entre Income e Perguntas. A linha vermelha é </w:t>
      </w:r>
      <w:r w:rsidR="00341342">
        <w:t>um limite do p-</w:t>
      </w:r>
      <w:proofErr w:type="spellStart"/>
      <w:r w:rsidR="00341342">
        <w:t>value</w:t>
      </w:r>
      <w:proofErr w:type="spellEnd"/>
      <w:r w:rsidR="00341342">
        <w:t xml:space="preserve"> 0.05. Barras vermelhas são de perguntas cuja correlação com Income possuem p-</w:t>
      </w:r>
      <w:proofErr w:type="spellStart"/>
      <w:r w:rsidR="00341342">
        <w:t>value</w:t>
      </w:r>
      <w:proofErr w:type="spellEnd"/>
      <w:r w:rsidR="00341342">
        <w:t xml:space="preserve"> acima de 0.05, e, portanto</w:t>
      </w:r>
      <w:r w:rsidR="0041481E">
        <w:t>,</w:t>
      </w:r>
      <w:r w:rsidR="00341342">
        <w:t xml:space="preserve"> não são correlacionados a um nível de significância de 5%, e as barras azuis com p-</w:t>
      </w:r>
      <w:proofErr w:type="spellStart"/>
      <w:r w:rsidR="00341342">
        <w:t>values</w:t>
      </w:r>
      <w:proofErr w:type="spellEnd"/>
      <w:r w:rsidR="00341342">
        <w:t xml:space="preserve"> abaixo de 0.05, e, portanto, correlacionados a um nível de significância de 5%. O gráfico de linha </w:t>
      </w:r>
      <w:r w:rsidR="0041481E">
        <w:t xml:space="preserve">em verde </w:t>
      </w:r>
      <w:r w:rsidR="00341342">
        <w:t>é a Inércia Total entre cada par de variável.</w:t>
      </w:r>
    </w:p>
    <w:p w14:paraId="4A14926D" w14:textId="12977599" w:rsidR="00511D79" w:rsidRDefault="00511D79" w:rsidP="00771EB3">
      <w:pPr>
        <w:spacing w:line="360" w:lineRule="auto"/>
      </w:pPr>
    </w:p>
    <w:p w14:paraId="578724FB" w14:textId="4E63B57E" w:rsidR="00511D79" w:rsidRPr="00511D79" w:rsidRDefault="00511D79" w:rsidP="00771EB3">
      <w:pPr>
        <w:spacing w:line="360" w:lineRule="auto"/>
      </w:pPr>
      <w:r>
        <w:t>No gráfico da Imagem 1</w:t>
      </w:r>
      <w:r w:rsidR="0041481E">
        <w:t>,</w:t>
      </w:r>
      <w:r>
        <w:t xml:space="preserve"> verific</w:t>
      </w:r>
      <w:r w:rsidR="0041481E">
        <w:t>ou-se</w:t>
      </w:r>
      <w:r>
        <w:t xml:space="preserve"> um alto número de perguntas (8 de 20) não correlacionadas com a variável de Income. A pergunta que guard</w:t>
      </w:r>
      <w:r w:rsidR="0041481E">
        <w:t>ou</w:t>
      </w:r>
      <w:r>
        <w:t xml:space="preserve"> maior correlação (menor </w:t>
      </w:r>
      <w:r>
        <w:lastRenderedPageBreak/>
        <w:t>p-</w:t>
      </w:r>
      <w:proofErr w:type="spellStart"/>
      <w:r>
        <w:t>value</w:t>
      </w:r>
      <w:proofErr w:type="spellEnd"/>
      <w:r>
        <w:t xml:space="preserve">) </w:t>
      </w:r>
      <w:r w:rsidR="0041481E">
        <w:t>foi</w:t>
      </w:r>
      <w:r>
        <w:t xml:space="preserve"> a quinta pergunta</w:t>
      </w:r>
      <w:r w:rsidR="00474ACD">
        <w:t xml:space="preserve"> (5. </w:t>
      </w:r>
      <w:r w:rsidRPr="00511D79">
        <w:t xml:space="preserve">Are </w:t>
      </w:r>
      <w:proofErr w:type="spellStart"/>
      <w:r w:rsidRPr="00511D79">
        <w:t>Refugees</w:t>
      </w:r>
      <w:proofErr w:type="spellEnd"/>
      <w:r w:rsidRPr="00511D79">
        <w:t xml:space="preserve"> </w:t>
      </w:r>
      <w:proofErr w:type="spellStart"/>
      <w:r w:rsidRPr="00511D79">
        <w:t>entitled</w:t>
      </w:r>
      <w:proofErr w:type="spellEnd"/>
      <w:r w:rsidRPr="00511D79">
        <w:t xml:space="preserve"> </w:t>
      </w:r>
      <w:proofErr w:type="spellStart"/>
      <w:r w:rsidRPr="00511D79">
        <w:t>to</w:t>
      </w:r>
      <w:proofErr w:type="spellEnd"/>
      <w:r w:rsidRPr="00511D79">
        <w:t xml:space="preserve"> </w:t>
      </w:r>
      <w:proofErr w:type="spellStart"/>
      <w:r w:rsidRPr="00511D79">
        <w:t>receive</w:t>
      </w:r>
      <w:proofErr w:type="spellEnd"/>
      <w:r w:rsidRPr="00511D79">
        <w:t xml:space="preserve"> </w:t>
      </w:r>
      <w:proofErr w:type="spellStart"/>
      <w:r w:rsidRPr="00511D79">
        <w:t>unemployment</w:t>
      </w:r>
      <w:proofErr w:type="spellEnd"/>
      <w:r w:rsidRPr="00511D79">
        <w:t xml:space="preserve"> </w:t>
      </w:r>
      <w:proofErr w:type="spellStart"/>
      <w:r w:rsidRPr="00511D79">
        <w:t>benefits</w:t>
      </w:r>
      <w:proofErr w:type="spellEnd"/>
      <w:r w:rsidRPr="00511D79">
        <w:t>?</w:t>
      </w:r>
      <w:r w:rsidR="00474ACD">
        <w:t>)</w:t>
      </w:r>
      <w:r>
        <w:t xml:space="preserve">. </w:t>
      </w:r>
      <w:r w:rsidR="00474ACD">
        <w:t>P-</w:t>
      </w:r>
      <w:proofErr w:type="spellStart"/>
      <w:proofErr w:type="gramStart"/>
      <w:r w:rsidR="00474ACD">
        <w:t>values</w:t>
      </w:r>
      <w:proofErr w:type="spellEnd"/>
      <w:proofErr w:type="gramEnd"/>
      <w:r w:rsidR="00474ACD">
        <w:t xml:space="preserve"> e inércias totais </w:t>
      </w:r>
      <w:r w:rsidR="0041481E">
        <w:t>foram</w:t>
      </w:r>
      <w:r w:rsidR="00474ACD">
        <w:t xml:space="preserve"> inversamente proporcionais.</w:t>
      </w:r>
    </w:p>
    <w:p w14:paraId="1120F52F" w14:textId="038D713F" w:rsidR="00511D79" w:rsidRDefault="00511D79" w:rsidP="00771EB3">
      <w:pPr>
        <w:spacing w:line="360" w:lineRule="auto"/>
      </w:pPr>
      <w:r>
        <w:rPr>
          <w:noProof/>
        </w:rPr>
        <w:drawing>
          <wp:inline distT="0" distB="0" distL="0" distR="0" wp14:anchorId="26FF9F0E" wp14:editId="1CD06593">
            <wp:extent cx="5753100"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14:paraId="643E2526" w14:textId="61345F81" w:rsidR="00511D79" w:rsidRDefault="00511D79" w:rsidP="00771EB3">
      <w:pPr>
        <w:spacing w:line="360" w:lineRule="auto"/>
      </w:pPr>
      <w:r w:rsidRPr="006411E1">
        <w:rPr>
          <w:b/>
          <w:bCs/>
        </w:rPr>
        <w:t>Imagem 2.</w:t>
      </w:r>
      <w:r>
        <w:t xml:space="preserve"> ANACOR entre OECD e Perguntas. A linha vermelha é um limite do p-</w:t>
      </w:r>
      <w:proofErr w:type="spellStart"/>
      <w:r>
        <w:t>value</w:t>
      </w:r>
      <w:proofErr w:type="spellEnd"/>
      <w:r>
        <w:t xml:space="preserve"> 0.05. Barras vermelhas são de perguntas cuja correlação com Income possuem p-</w:t>
      </w:r>
      <w:proofErr w:type="spellStart"/>
      <w:r>
        <w:t>value</w:t>
      </w:r>
      <w:proofErr w:type="spellEnd"/>
      <w:r>
        <w:t xml:space="preserve"> acima de 0.05, e, </w:t>
      </w:r>
      <w:proofErr w:type="gramStart"/>
      <w:r>
        <w:t>portanto</w:t>
      </w:r>
      <w:proofErr w:type="gramEnd"/>
      <w:r>
        <w:t xml:space="preserve"> não são correlacionados a um nível de significância de 5%, e as barras azuis com p-</w:t>
      </w:r>
      <w:proofErr w:type="spellStart"/>
      <w:r>
        <w:t>values</w:t>
      </w:r>
      <w:proofErr w:type="spellEnd"/>
      <w:r>
        <w:t xml:space="preserve"> abaixo de 0.05, e, portanto, correlacionados a um nível de significância de 5%. O gráfico de linha é a Inércia Total entre cada par de variável.</w:t>
      </w:r>
    </w:p>
    <w:p w14:paraId="3140D033" w14:textId="77777777" w:rsidR="00474ACD" w:rsidRDefault="00474ACD" w:rsidP="00771EB3">
      <w:pPr>
        <w:spacing w:line="360" w:lineRule="auto"/>
      </w:pPr>
    </w:p>
    <w:p w14:paraId="3B2A4F63" w14:textId="39503D4C" w:rsidR="00474ACD" w:rsidRDefault="00474ACD" w:rsidP="00474ACD">
      <w:pPr>
        <w:spacing w:line="360" w:lineRule="auto"/>
      </w:pPr>
      <w:r>
        <w:t>No gráfico da Imagem 2</w:t>
      </w:r>
      <w:r w:rsidR="0041481E">
        <w:t>,</w:t>
      </w:r>
      <w:r>
        <w:t xml:space="preserve"> verific</w:t>
      </w:r>
      <w:r w:rsidR="0041481E">
        <w:t>ou-se</w:t>
      </w:r>
      <w:r>
        <w:t xml:space="preserve"> um baixo número de perguntas (2 de 20) não correlacionadas com a variável de Income (14. </w:t>
      </w:r>
      <w:r w:rsidRPr="00474ACD">
        <w:rPr>
          <w:lang w:val="en-US"/>
        </w:rPr>
        <w:t>Can Refugees access to public healthcare services on par with c</w:t>
      </w:r>
      <w:r>
        <w:rPr>
          <w:lang w:val="en-US"/>
        </w:rPr>
        <w:t xml:space="preserve">itizens? e 15. Can family members of Refugees </w:t>
      </w:r>
      <w:proofErr w:type="gramStart"/>
      <w:r>
        <w:rPr>
          <w:lang w:val="en-US"/>
        </w:rPr>
        <w:t>access to</w:t>
      </w:r>
      <w:proofErr w:type="gramEnd"/>
      <w:r>
        <w:rPr>
          <w:lang w:val="en-US"/>
        </w:rPr>
        <w:t xml:space="preserve"> pub</w:t>
      </w:r>
      <w:r w:rsidR="006411E1">
        <w:rPr>
          <w:lang w:val="en-US"/>
        </w:rPr>
        <w:t>l</w:t>
      </w:r>
      <w:r>
        <w:rPr>
          <w:lang w:val="en-US"/>
        </w:rPr>
        <w:t>ic healthcare on par with citizens?</w:t>
      </w:r>
      <w:r w:rsidRPr="00474ACD">
        <w:rPr>
          <w:lang w:val="en-US"/>
        </w:rPr>
        <w:t xml:space="preserve">). </w:t>
      </w:r>
      <w:r w:rsidR="006411E1">
        <w:t>Como foi verificado na análise inicial com a Correlação de Pearson, a variável OECD possui uma correlação maior do que o Income</w:t>
      </w:r>
      <w:r w:rsidR="0041481E">
        <w:t xml:space="preserve"> também através da ANACOR</w:t>
      </w:r>
      <w:r w:rsidR="006411E1">
        <w:t xml:space="preserve">. </w:t>
      </w:r>
      <w:r>
        <w:t xml:space="preserve">A pergunta que guarda maior correlação </w:t>
      </w:r>
      <w:r w:rsidR="0041481E">
        <w:t>foi</w:t>
      </w:r>
      <w:r>
        <w:t xml:space="preserve"> </w:t>
      </w:r>
      <w:r w:rsidR="006411E1">
        <w:t xml:space="preserve">também </w:t>
      </w:r>
      <w:r>
        <w:t>a quinta pergunta.</w:t>
      </w:r>
    </w:p>
    <w:p w14:paraId="667F31F9" w14:textId="65430E75" w:rsidR="006411E1" w:rsidRDefault="00F51F01" w:rsidP="00474ACD">
      <w:pPr>
        <w:spacing w:line="360" w:lineRule="auto"/>
      </w:pPr>
      <w:r>
        <w:t xml:space="preserve">Já que a quinta pergunta se demonstrou mais relevante, </w:t>
      </w:r>
      <w:r w:rsidR="001C7C93">
        <w:t>seguiu-se com a análise mais detalhada.</w:t>
      </w:r>
    </w:p>
    <w:p w14:paraId="1AAC5D91" w14:textId="1B71D864" w:rsidR="00C34B18" w:rsidRDefault="00C34B18" w:rsidP="00474ACD">
      <w:pPr>
        <w:spacing w:line="360" w:lineRule="auto"/>
      </w:pPr>
      <w:r>
        <w:t>Na Imagem 3, verific</w:t>
      </w:r>
      <w:r w:rsidR="00891B63">
        <w:t>ou</w:t>
      </w:r>
      <w:r>
        <w:t>-se</w:t>
      </w:r>
      <w:r w:rsidR="00891B63">
        <w:t>, para países de renda mais alta (</w:t>
      </w:r>
      <w:proofErr w:type="spellStart"/>
      <w:r w:rsidR="00891B63">
        <w:t>HighIncome</w:t>
      </w:r>
      <w:proofErr w:type="spellEnd"/>
      <w:r w:rsidR="00891B63">
        <w:t xml:space="preserve"> e </w:t>
      </w:r>
      <w:proofErr w:type="spellStart"/>
      <w:r w:rsidR="00891B63">
        <w:t>UpperMiddleIncome</w:t>
      </w:r>
      <w:proofErr w:type="spellEnd"/>
      <w:r w:rsidR="00891B63">
        <w:t>)</w:t>
      </w:r>
      <w:r>
        <w:t xml:space="preserve"> uma forte correlação positiva (azul) </w:t>
      </w:r>
      <w:r w:rsidR="00891B63">
        <w:t xml:space="preserve">com a presença dessa legislação (Yes) e </w:t>
      </w:r>
      <w:r>
        <w:t xml:space="preserve">uma forte correlação negativa (vermelho) </w:t>
      </w:r>
      <w:r w:rsidR="00891B63">
        <w:t>com a ausência dessa legislação (No). Para países de renda mais baixa (</w:t>
      </w:r>
      <w:proofErr w:type="spellStart"/>
      <w:r w:rsidR="00891B63">
        <w:t>LowIncome</w:t>
      </w:r>
      <w:proofErr w:type="spellEnd"/>
      <w:r w:rsidR="00891B63">
        <w:t xml:space="preserve"> e </w:t>
      </w:r>
      <w:proofErr w:type="spellStart"/>
      <w:r w:rsidR="00891B63">
        <w:t>LowerMiddleIncome</w:t>
      </w:r>
      <w:proofErr w:type="spellEnd"/>
      <w:r w:rsidR="00891B63">
        <w:t>), verificou-se o fenômeno oposto.</w:t>
      </w:r>
      <w:r w:rsidR="008A35ED">
        <w:t xml:space="preserve"> Esse fenômeno também foi verificado no mapa perceptual da Imagem 4</w:t>
      </w:r>
      <w:r w:rsidR="00433F5D">
        <w:t xml:space="preserve">, onde se </w:t>
      </w:r>
      <w:r w:rsidR="0041481E">
        <w:t>percebeu</w:t>
      </w:r>
      <w:r w:rsidR="00433F5D">
        <w:t xml:space="preserve"> uma correlação maior entre Yes, </w:t>
      </w:r>
      <w:proofErr w:type="spellStart"/>
      <w:r w:rsidR="00433F5D">
        <w:t>HighIncome</w:t>
      </w:r>
      <w:proofErr w:type="spellEnd"/>
      <w:r w:rsidR="00433F5D">
        <w:t xml:space="preserve"> e </w:t>
      </w:r>
      <w:proofErr w:type="spellStart"/>
      <w:r w:rsidR="00433F5D">
        <w:t>UpperMiddleIncome</w:t>
      </w:r>
      <w:proofErr w:type="spellEnd"/>
      <w:r w:rsidR="00433F5D">
        <w:t xml:space="preserve"> do que entre No, </w:t>
      </w:r>
      <w:proofErr w:type="spellStart"/>
      <w:r w:rsidR="00433F5D">
        <w:t>LowIncome</w:t>
      </w:r>
      <w:proofErr w:type="spellEnd"/>
      <w:r w:rsidR="00433F5D">
        <w:t xml:space="preserve"> e </w:t>
      </w:r>
      <w:proofErr w:type="spellStart"/>
      <w:r w:rsidR="00433F5D">
        <w:t>LowerMiddleIncome</w:t>
      </w:r>
      <w:proofErr w:type="spellEnd"/>
      <w:r w:rsidR="00433F5D">
        <w:t>.</w:t>
      </w:r>
    </w:p>
    <w:p w14:paraId="5CC64BBF" w14:textId="2971C987" w:rsidR="001C7C93" w:rsidRDefault="001C7C93" w:rsidP="00474ACD">
      <w:pPr>
        <w:spacing w:line="360" w:lineRule="auto"/>
      </w:pPr>
      <w:r>
        <w:rPr>
          <w:noProof/>
        </w:rPr>
        <w:lastRenderedPageBreak/>
        <w:drawing>
          <wp:inline distT="0" distB="0" distL="0" distR="0" wp14:anchorId="1A6CA15C" wp14:editId="699F905A">
            <wp:extent cx="4406900" cy="2178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2178050"/>
                    </a:xfrm>
                    <a:prstGeom prst="rect">
                      <a:avLst/>
                    </a:prstGeom>
                    <a:noFill/>
                    <a:ln>
                      <a:noFill/>
                    </a:ln>
                  </pic:spPr>
                </pic:pic>
              </a:graphicData>
            </a:graphic>
          </wp:inline>
        </w:drawing>
      </w:r>
    </w:p>
    <w:p w14:paraId="00BE46D7" w14:textId="0202906E" w:rsidR="001C7C93" w:rsidRPr="00C34B18" w:rsidRDefault="00C34B18" w:rsidP="00474ACD">
      <w:pPr>
        <w:spacing w:line="360" w:lineRule="auto"/>
        <w:rPr>
          <w:b/>
          <w:bCs/>
        </w:rPr>
      </w:pPr>
      <w:r w:rsidRPr="00C34B18">
        <w:rPr>
          <w:b/>
          <w:bCs/>
        </w:rPr>
        <w:t xml:space="preserve">Imagem 3. </w:t>
      </w:r>
      <w:r w:rsidRPr="00C34B18">
        <w:t xml:space="preserve">Mapa de </w:t>
      </w:r>
      <w:r>
        <w:t>calor da ANACOR entre variável Income e Pergunta 5.</w:t>
      </w:r>
    </w:p>
    <w:p w14:paraId="5FAD9E61" w14:textId="22A1D2F8" w:rsidR="001C7C93" w:rsidRDefault="001C7C93" w:rsidP="00474ACD">
      <w:pPr>
        <w:spacing w:line="360" w:lineRule="auto"/>
      </w:pPr>
    </w:p>
    <w:p w14:paraId="352744DE" w14:textId="1FB0B4D1" w:rsidR="001C7C93" w:rsidRDefault="001C7C93" w:rsidP="00474ACD">
      <w:pPr>
        <w:spacing w:line="360" w:lineRule="auto"/>
      </w:pPr>
      <w:r>
        <w:rPr>
          <w:noProof/>
        </w:rPr>
        <w:drawing>
          <wp:inline distT="0" distB="0" distL="0" distR="0" wp14:anchorId="51204C2B" wp14:editId="212B92F0">
            <wp:extent cx="5753100" cy="30226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3022600"/>
                    </a:xfrm>
                    <a:prstGeom prst="rect">
                      <a:avLst/>
                    </a:prstGeom>
                    <a:noFill/>
                    <a:ln>
                      <a:noFill/>
                    </a:ln>
                  </pic:spPr>
                </pic:pic>
              </a:graphicData>
            </a:graphic>
          </wp:inline>
        </w:drawing>
      </w:r>
    </w:p>
    <w:p w14:paraId="56D57095" w14:textId="350A2E31" w:rsidR="001C7C93" w:rsidRPr="00511D79" w:rsidRDefault="008A35ED" w:rsidP="00474ACD">
      <w:pPr>
        <w:spacing w:line="360" w:lineRule="auto"/>
      </w:pPr>
      <w:r w:rsidRPr="00C34B18">
        <w:rPr>
          <w:b/>
          <w:bCs/>
        </w:rPr>
        <w:t xml:space="preserve">Imagem </w:t>
      </w:r>
      <w:r>
        <w:rPr>
          <w:b/>
          <w:bCs/>
        </w:rPr>
        <w:t>4</w:t>
      </w:r>
      <w:r w:rsidRPr="00C34B18">
        <w:rPr>
          <w:b/>
          <w:bCs/>
        </w:rPr>
        <w:t xml:space="preserve">. </w:t>
      </w:r>
      <w:r w:rsidRPr="00C34B18">
        <w:t xml:space="preserve">Mapa </w:t>
      </w:r>
      <w:r>
        <w:t>perceptual da ANACOR entre variável Income e Pergunta 5.</w:t>
      </w:r>
    </w:p>
    <w:p w14:paraId="5DA14584" w14:textId="77777777" w:rsidR="0041481E" w:rsidRDefault="0041481E" w:rsidP="00771EB3">
      <w:pPr>
        <w:spacing w:line="360" w:lineRule="auto"/>
      </w:pPr>
    </w:p>
    <w:p w14:paraId="4C5D87A9" w14:textId="6BD5204B" w:rsidR="00474ACD" w:rsidRDefault="0041481E" w:rsidP="00771EB3">
      <w:pPr>
        <w:spacing w:line="360" w:lineRule="auto"/>
      </w:pPr>
      <w:r>
        <w:t xml:space="preserve">A Tabela 2 mostra a tabela de contingência entre as duas variáveis, e os valores esperados. A baixa correlação da categoria </w:t>
      </w:r>
      <w:proofErr w:type="spellStart"/>
      <w:r>
        <w:t>Conditions</w:t>
      </w:r>
      <w:proofErr w:type="spellEnd"/>
      <w:r>
        <w:t xml:space="preserve"> f</w:t>
      </w:r>
      <w:r>
        <w:t>icou evidente</w:t>
      </w:r>
      <w:r>
        <w:t xml:space="preserve"> com a proximidade entre os valores observados </w:t>
      </w:r>
      <w:r>
        <w:t xml:space="preserve">(em preto) </w:t>
      </w:r>
      <w:r>
        <w:t>e esperados</w:t>
      </w:r>
      <w:r>
        <w:t xml:space="preserve"> (em azul)</w:t>
      </w:r>
      <w:r>
        <w:t>.</w:t>
      </w:r>
    </w:p>
    <w:p w14:paraId="02CDE754" w14:textId="799614C3" w:rsidR="005154B6" w:rsidRDefault="005154B6" w:rsidP="005154B6">
      <w:pPr>
        <w:pStyle w:val="ListParagraph"/>
        <w:spacing w:line="360" w:lineRule="auto"/>
        <w:ind w:left="0" w:firstLine="709"/>
        <w:rPr>
          <w:b/>
        </w:rPr>
      </w:pPr>
    </w:p>
    <w:tbl>
      <w:tblPr>
        <w:tblW w:w="0" w:type="auto"/>
        <w:tblCellMar>
          <w:top w:w="15" w:type="dxa"/>
          <w:left w:w="15" w:type="dxa"/>
          <w:bottom w:w="15" w:type="dxa"/>
          <w:right w:w="15" w:type="dxa"/>
        </w:tblCellMar>
        <w:tblLook w:val="04A0" w:firstRow="1" w:lastRow="0" w:firstColumn="1" w:lastColumn="0" w:noHBand="0" w:noVBand="1"/>
      </w:tblPr>
      <w:tblGrid>
        <w:gridCol w:w="1579"/>
        <w:gridCol w:w="1806"/>
        <w:gridCol w:w="1108"/>
        <w:gridCol w:w="1277"/>
        <w:gridCol w:w="1277"/>
        <w:gridCol w:w="906"/>
      </w:tblGrid>
      <w:tr w:rsidR="00A912F3" w:rsidRPr="00A912F3" w14:paraId="16BF73F9" w14:textId="77777777" w:rsidTr="00A912F3">
        <w:trPr>
          <w:trHeight w:val="291"/>
        </w:trPr>
        <w:tc>
          <w:tcPr>
            <w:tcW w:w="0" w:type="auto"/>
            <w:gridSpan w:val="6"/>
            <w:vMerge w:val="restart"/>
            <w:tcBorders>
              <w:top w:val="nil"/>
              <w:left w:val="nil"/>
              <w:bottom w:val="nil"/>
              <w:right w:val="nil"/>
            </w:tcBorders>
            <w:vAlign w:val="center"/>
            <w:hideMark/>
          </w:tcPr>
          <w:p w14:paraId="310B3A11" w14:textId="77777777" w:rsidR="00A912F3" w:rsidRPr="00A912F3" w:rsidRDefault="00A912F3" w:rsidP="00A912F3">
            <w:pPr>
              <w:spacing w:line="240" w:lineRule="auto"/>
              <w:jc w:val="left"/>
              <w:rPr>
                <w:rFonts w:ascii="Times New Roman" w:eastAsia="Times New Roman" w:hAnsi="Times New Roman" w:cs="Times New Roman"/>
                <w:b/>
                <w:bCs/>
                <w:sz w:val="24"/>
                <w:szCs w:val="24"/>
                <w:lang w:val="en-US"/>
              </w:rPr>
            </w:pPr>
            <w:proofErr w:type="spellStart"/>
            <w:r w:rsidRPr="00A912F3">
              <w:rPr>
                <w:rFonts w:ascii="Times New Roman" w:eastAsia="Times New Roman" w:hAnsi="Times New Roman" w:cs="Times New Roman"/>
                <w:b/>
                <w:bCs/>
                <w:sz w:val="24"/>
                <w:szCs w:val="24"/>
                <w:lang w:val="en-US"/>
              </w:rPr>
              <w:t>Tabela</w:t>
            </w:r>
            <w:proofErr w:type="spellEnd"/>
            <w:r w:rsidRPr="00A912F3">
              <w:rPr>
                <w:rFonts w:ascii="Times New Roman" w:eastAsia="Times New Roman" w:hAnsi="Times New Roman" w:cs="Times New Roman"/>
                <w:b/>
                <w:bCs/>
                <w:sz w:val="24"/>
                <w:szCs w:val="24"/>
                <w:lang w:val="en-US"/>
              </w:rPr>
              <w:t xml:space="preserve"> de </w:t>
            </w:r>
            <w:proofErr w:type="spellStart"/>
            <w:r w:rsidRPr="00A912F3">
              <w:rPr>
                <w:rFonts w:ascii="Times New Roman" w:eastAsia="Times New Roman" w:hAnsi="Times New Roman" w:cs="Times New Roman"/>
                <w:b/>
                <w:bCs/>
                <w:sz w:val="24"/>
                <w:szCs w:val="24"/>
                <w:lang w:val="en-US"/>
              </w:rPr>
              <w:t>contingência</w:t>
            </w:r>
            <w:proofErr w:type="spellEnd"/>
          </w:p>
        </w:tc>
      </w:tr>
      <w:tr w:rsidR="00A912F3" w:rsidRPr="00A912F3" w14:paraId="3881780A" w14:textId="77777777" w:rsidTr="00A912F3">
        <w:tc>
          <w:tcPr>
            <w:tcW w:w="0" w:type="auto"/>
            <w:vMerge w:val="restart"/>
            <w:tcBorders>
              <w:top w:val="double" w:sz="6" w:space="0" w:color="auto"/>
              <w:bottom w:val="single" w:sz="6" w:space="0" w:color="auto"/>
            </w:tcBorders>
            <w:vAlign w:val="center"/>
            <w:hideMark/>
          </w:tcPr>
          <w:p w14:paraId="49D0CA1C" w14:textId="02D26B00" w:rsidR="00A912F3" w:rsidRPr="00A912F3" w:rsidRDefault="00A912F3" w:rsidP="00A912F3">
            <w:pPr>
              <w:spacing w:line="240" w:lineRule="auto"/>
              <w:jc w:val="cente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Renda</w:t>
            </w:r>
          </w:p>
        </w:tc>
        <w:tc>
          <w:tcPr>
            <w:tcW w:w="0" w:type="auto"/>
            <w:gridSpan w:val="4"/>
            <w:tcBorders>
              <w:top w:val="double" w:sz="6" w:space="0" w:color="auto"/>
            </w:tcBorders>
            <w:vAlign w:val="center"/>
            <w:hideMark/>
          </w:tcPr>
          <w:p w14:paraId="69E665EB" w14:textId="122A8103" w:rsidR="00A912F3" w:rsidRPr="00A912F3" w:rsidRDefault="00A912F3" w:rsidP="00A912F3">
            <w:pPr>
              <w:spacing w:line="240" w:lineRule="auto"/>
              <w:jc w:val="center"/>
              <w:rPr>
                <w:rFonts w:ascii="Times New Roman" w:eastAsia="Times New Roman" w:hAnsi="Times New Roman" w:cs="Times New Roman"/>
                <w:i/>
                <w:iCs/>
                <w:sz w:val="24"/>
                <w:szCs w:val="24"/>
                <w:lang w:val="en-US"/>
              </w:rPr>
            </w:pPr>
            <w:r w:rsidRPr="00A912F3">
              <w:rPr>
                <w:rFonts w:ascii="Times New Roman" w:eastAsia="Times New Roman" w:hAnsi="Times New Roman" w:cs="Times New Roman"/>
                <w:i/>
                <w:iCs/>
                <w:sz w:val="24"/>
                <w:szCs w:val="24"/>
                <w:lang w:val="en-US"/>
              </w:rPr>
              <w:t>Are</w:t>
            </w:r>
            <w:r>
              <w:rPr>
                <w:rFonts w:ascii="Times New Roman" w:eastAsia="Times New Roman" w:hAnsi="Times New Roman" w:cs="Times New Roman"/>
                <w:i/>
                <w:iCs/>
                <w:sz w:val="24"/>
                <w:szCs w:val="24"/>
                <w:lang w:val="en-US"/>
              </w:rPr>
              <w:t xml:space="preserve"> </w:t>
            </w:r>
            <w:r w:rsidRPr="00A912F3">
              <w:rPr>
                <w:rFonts w:ascii="Times New Roman" w:eastAsia="Times New Roman" w:hAnsi="Times New Roman" w:cs="Times New Roman"/>
                <w:i/>
                <w:iCs/>
                <w:sz w:val="24"/>
                <w:szCs w:val="24"/>
                <w:lang w:val="en-US"/>
              </w:rPr>
              <w:t>Refugees</w:t>
            </w:r>
            <w:r>
              <w:rPr>
                <w:rFonts w:ascii="Times New Roman" w:eastAsia="Times New Roman" w:hAnsi="Times New Roman" w:cs="Times New Roman"/>
                <w:i/>
                <w:iCs/>
                <w:sz w:val="24"/>
                <w:szCs w:val="24"/>
                <w:lang w:val="en-US"/>
              </w:rPr>
              <w:t xml:space="preserve"> </w:t>
            </w:r>
            <w:r w:rsidRPr="00A912F3">
              <w:rPr>
                <w:rFonts w:ascii="Times New Roman" w:eastAsia="Times New Roman" w:hAnsi="Times New Roman" w:cs="Times New Roman"/>
                <w:i/>
                <w:iCs/>
                <w:sz w:val="24"/>
                <w:szCs w:val="24"/>
                <w:lang w:val="en-US"/>
              </w:rPr>
              <w:t>entitled</w:t>
            </w:r>
            <w:r>
              <w:rPr>
                <w:rFonts w:ascii="Times New Roman" w:eastAsia="Times New Roman" w:hAnsi="Times New Roman" w:cs="Times New Roman"/>
                <w:i/>
                <w:iCs/>
                <w:sz w:val="24"/>
                <w:szCs w:val="24"/>
                <w:lang w:val="en-US"/>
              </w:rPr>
              <w:t xml:space="preserve"> </w:t>
            </w:r>
            <w:r w:rsidRPr="00A912F3">
              <w:rPr>
                <w:rFonts w:ascii="Times New Roman" w:eastAsia="Times New Roman" w:hAnsi="Times New Roman" w:cs="Times New Roman"/>
                <w:i/>
                <w:iCs/>
                <w:sz w:val="24"/>
                <w:szCs w:val="24"/>
                <w:lang w:val="en-US"/>
              </w:rPr>
              <w:t>to</w:t>
            </w:r>
            <w:r>
              <w:rPr>
                <w:rFonts w:ascii="Times New Roman" w:eastAsia="Times New Roman" w:hAnsi="Times New Roman" w:cs="Times New Roman"/>
                <w:i/>
                <w:iCs/>
                <w:sz w:val="24"/>
                <w:szCs w:val="24"/>
                <w:lang w:val="en-US"/>
              </w:rPr>
              <w:t xml:space="preserve"> </w:t>
            </w:r>
            <w:r w:rsidRPr="00A912F3">
              <w:rPr>
                <w:rFonts w:ascii="Times New Roman" w:eastAsia="Times New Roman" w:hAnsi="Times New Roman" w:cs="Times New Roman"/>
                <w:i/>
                <w:iCs/>
                <w:sz w:val="24"/>
                <w:szCs w:val="24"/>
                <w:lang w:val="en-US"/>
              </w:rPr>
              <w:t>receive</w:t>
            </w:r>
            <w:r>
              <w:rPr>
                <w:rFonts w:ascii="Times New Roman" w:eastAsia="Times New Roman" w:hAnsi="Times New Roman" w:cs="Times New Roman"/>
                <w:i/>
                <w:iCs/>
                <w:sz w:val="24"/>
                <w:szCs w:val="24"/>
                <w:lang w:val="en-US"/>
              </w:rPr>
              <w:t xml:space="preserve"> </w:t>
            </w:r>
            <w:r w:rsidRPr="00A912F3">
              <w:rPr>
                <w:rFonts w:ascii="Times New Roman" w:eastAsia="Times New Roman" w:hAnsi="Times New Roman" w:cs="Times New Roman"/>
                <w:i/>
                <w:iCs/>
                <w:sz w:val="24"/>
                <w:szCs w:val="24"/>
                <w:lang w:val="en-US"/>
              </w:rPr>
              <w:t>unemployment</w:t>
            </w:r>
            <w:r>
              <w:rPr>
                <w:rFonts w:ascii="Times New Roman" w:eastAsia="Times New Roman" w:hAnsi="Times New Roman" w:cs="Times New Roman"/>
                <w:i/>
                <w:iCs/>
                <w:sz w:val="24"/>
                <w:szCs w:val="24"/>
                <w:lang w:val="en-US"/>
              </w:rPr>
              <w:t xml:space="preserve"> </w:t>
            </w:r>
            <w:r w:rsidRPr="00A912F3">
              <w:rPr>
                <w:rFonts w:ascii="Times New Roman" w:eastAsia="Times New Roman" w:hAnsi="Times New Roman" w:cs="Times New Roman"/>
                <w:i/>
                <w:iCs/>
                <w:sz w:val="24"/>
                <w:szCs w:val="24"/>
                <w:lang w:val="en-US"/>
              </w:rPr>
              <w:t>benefits</w:t>
            </w:r>
            <w:r>
              <w:rPr>
                <w:rFonts w:ascii="Times New Roman" w:eastAsia="Times New Roman" w:hAnsi="Times New Roman" w:cs="Times New Roman"/>
                <w:i/>
                <w:iCs/>
                <w:sz w:val="24"/>
                <w:szCs w:val="24"/>
                <w:lang w:val="en-US"/>
              </w:rPr>
              <w:t>?</w:t>
            </w:r>
          </w:p>
        </w:tc>
        <w:tc>
          <w:tcPr>
            <w:tcW w:w="0" w:type="auto"/>
            <w:vMerge w:val="restart"/>
            <w:tcBorders>
              <w:top w:val="double" w:sz="6" w:space="0" w:color="auto"/>
              <w:bottom w:val="single" w:sz="6" w:space="0" w:color="auto"/>
            </w:tcBorders>
            <w:vAlign w:val="center"/>
            <w:hideMark/>
          </w:tcPr>
          <w:p w14:paraId="46E0C8BB" w14:textId="77777777" w:rsidR="00A912F3" w:rsidRPr="00A912F3" w:rsidRDefault="00A912F3" w:rsidP="00A912F3">
            <w:pPr>
              <w:spacing w:line="240" w:lineRule="auto"/>
              <w:jc w:val="center"/>
              <w:rPr>
                <w:rFonts w:ascii="Times New Roman" w:eastAsia="Times New Roman" w:hAnsi="Times New Roman" w:cs="Times New Roman"/>
                <w:b/>
                <w:bCs/>
                <w:i/>
                <w:iCs/>
                <w:sz w:val="24"/>
                <w:szCs w:val="24"/>
                <w:lang w:val="en-US"/>
              </w:rPr>
            </w:pPr>
            <w:r w:rsidRPr="00A912F3">
              <w:rPr>
                <w:rFonts w:ascii="Times New Roman" w:eastAsia="Times New Roman" w:hAnsi="Times New Roman" w:cs="Times New Roman"/>
                <w:b/>
                <w:bCs/>
                <w:i/>
                <w:iCs/>
                <w:sz w:val="24"/>
                <w:szCs w:val="24"/>
                <w:lang w:val="en-US"/>
              </w:rPr>
              <w:t>Total</w:t>
            </w:r>
          </w:p>
        </w:tc>
      </w:tr>
      <w:tr w:rsidR="00A912F3" w:rsidRPr="00A912F3" w14:paraId="7B9A90DE" w14:textId="77777777" w:rsidTr="00A912F3">
        <w:tc>
          <w:tcPr>
            <w:tcW w:w="0" w:type="auto"/>
            <w:vMerge/>
            <w:tcBorders>
              <w:top w:val="double" w:sz="6" w:space="0" w:color="auto"/>
              <w:bottom w:val="single" w:sz="6" w:space="0" w:color="auto"/>
            </w:tcBorders>
            <w:vAlign w:val="center"/>
            <w:hideMark/>
          </w:tcPr>
          <w:p w14:paraId="59E6E3C2" w14:textId="77777777" w:rsidR="00A912F3" w:rsidRPr="00A912F3" w:rsidRDefault="00A912F3" w:rsidP="00A912F3">
            <w:pPr>
              <w:spacing w:line="240" w:lineRule="auto"/>
              <w:jc w:val="left"/>
              <w:rPr>
                <w:rFonts w:ascii="Times New Roman" w:eastAsia="Times New Roman" w:hAnsi="Times New Roman" w:cs="Times New Roman"/>
                <w:i/>
                <w:iCs/>
                <w:sz w:val="24"/>
                <w:szCs w:val="24"/>
                <w:lang w:val="en-US"/>
              </w:rPr>
            </w:pPr>
          </w:p>
        </w:tc>
        <w:tc>
          <w:tcPr>
            <w:tcW w:w="0" w:type="auto"/>
            <w:tcBorders>
              <w:bottom w:val="single" w:sz="6" w:space="0" w:color="auto"/>
            </w:tcBorders>
            <w:tcMar>
              <w:top w:w="113" w:type="dxa"/>
              <w:left w:w="113" w:type="dxa"/>
              <w:bottom w:w="113" w:type="dxa"/>
              <w:right w:w="113" w:type="dxa"/>
            </w:tcMar>
            <w:vAlign w:val="center"/>
            <w:hideMark/>
          </w:tcPr>
          <w:p w14:paraId="09BC784D"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Conditions</w:t>
            </w:r>
          </w:p>
        </w:tc>
        <w:tc>
          <w:tcPr>
            <w:tcW w:w="0" w:type="auto"/>
            <w:tcBorders>
              <w:bottom w:val="single" w:sz="6" w:space="0" w:color="auto"/>
            </w:tcBorders>
            <w:tcMar>
              <w:top w:w="113" w:type="dxa"/>
              <w:left w:w="113" w:type="dxa"/>
              <w:bottom w:w="113" w:type="dxa"/>
              <w:right w:w="113" w:type="dxa"/>
            </w:tcMar>
            <w:vAlign w:val="center"/>
            <w:hideMark/>
          </w:tcPr>
          <w:p w14:paraId="1E5FC7E4"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N/A</w:t>
            </w:r>
          </w:p>
        </w:tc>
        <w:tc>
          <w:tcPr>
            <w:tcW w:w="0" w:type="auto"/>
            <w:tcBorders>
              <w:bottom w:val="single" w:sz="6" w:space="0" w:color="auto"/>
            </w:tcBorders>
            <w:tcMar>
              <w:top w:w="113" w:type="dxa"/>
              <w:left w:w="113" w:type="dxa"/>
              <w:bottom w:w="113" w:type="dxa"/>
              <w:right w:w="113" w:type="dxa"/>
            </w:tcMar>
            <w:vAlign w:val="center"/>
            <w:hideMark/>
          </w:tcPr>
          <w:p w14:paraId="5B8425DB"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No</w:t>
            </w:r>
          </w:p>
        </w:tc>
        <w:tc>
          <w:tcPr>
            <w:tcW w:w="0" w:type="auto"/>
            <w:tcBorders>
              <w:bottom w:val="single" w:sz="6" w:space="0" w:color="auto"/>
            </w:tcBorders>
            <w:tcMar>
              <w:top w:w="113" w:type="dxa"/>
              <w:left w:w="113" w:type="dxa"/>
              <w:bottom w:w="113" w:type="dxa"/>
              <w:right w:w="113" w:type="dxa"/>
            </w:tcMar>
            <w:vAlign w:val="center"/>
            <w:hideMark/>
          </w:tcPr>
          <w:p w14:paraId="77AD2CF4"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Yes</w:t>
            </w:r>
          </w:p>
        </w:tc>
        <w:tc>
          <w:tcPr>
            <w:tcW w:w="0" w:type="auto"/>
            <w:vMerge/>
            <w:tcBorders>
              <w:top w:val="double" w:sz="6" w:space="0" w:color="auto"/>
              <w:bottom w:val="single" w:sz="6" w:space="0" w:color="auto"/>
            </w:tcBorders>
            <w:vAlign w:val="center"/>
            <w:hideMark/>
          </w:tcPr>
          <w:p w14:paraId="49A28A25" w14:textId="77777777" w:rsidR="00A912F3" w:rsidRPr="00A912F3" w:rsidRDefault="00A912F3" w:rsidP="00A912F3">
            <w:pPr>
              <w:spacing w:line="240" w:lineRule="auto"/>
              <w:jc w:val="left"/>
              <w:rPr>
                <w:rFonts w:ascii="Times New Roman" w:eastAsia="Times New Roman" w:hAnsi="Times New Roman" w:cs="Times New Roman"/>
                <w:b/>
                <w:bCs/>
                <w:i/>
                <w:iCs/>
                <w:sz w:val="24"/>
                <w:szCs w:val="24"/>
                <w:lang w:val="en-US"/>
              </w:rPr>
            </w:pPr>
          </w:p>
        </w:tc>
      </w:tr>
      <w:tr w:rsidR="00A912F3" w:rsidRPr="00A912F3" w14:paraId="7E148905" w14:textId="77777777" w:rsidTr="00A912F3">
        <w:tc>
          <w:tcPr>
            <w:tcW w:w="0" w:type="auto"/>
            <w:tcMar>
              <w:top w:w="113" w:type="dxa"/>
              <w:left w:w="113" w:type="dxa"/>
              <w:bottom w:w="113" w:type="dxa"/>
              <w:right w:w="113" w:type="dxa"/>
            </w:tcMar>
            <w:vAlign w:val="center"/>
            <w:hideMark/>
          </w:tcPr>
          <w:p w14:paraId="73B49646" w14:textId="7A751097" w:rsidR="00A912F3" w:rsidRPr="00A912F3" w:rsidRDefault="00A912F3" w:rsidP="00A912F3">
            <w:pPr>
              <w:spacing w:line="240" w:lineRule="auto"/>
              <w:jc w:val="left"/>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Low income</w:t>
            </w:r>
          </w:p>
        </w:tc>
        <w:tc>
          <w:tcPr>
            <w:tcW w:w="0" w:type="auto"/>
            <w:tcMar>
              <w:top w:w="113" w:type="dxa"/>
              <w:left w:w="113" w:type="dxa"/>
              <w:bottom w:w="113" w:type="dxa"/>
              <w:right w:w="113" w:type="dxa"/>
            </w:tcMar>
            <w:vAlign w:val="center"/>
            <w:hideMark/>
          </w:tcPr>
          <w:p w14:paraId="71F5DE8F"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0</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2</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0 %</w:t>
            </w:r>
          </w:p>
        </w:tc>
        <w:tc>
          <w:tcPr>
            <w:tcW w:w="0" w:type="auto"/>
            <w:tcMar>
              <w:top w:w="113" w:type="dxa"/>
              <w:left w:w="113" w:type="dxa"/>
              <w:bottom w:w="113" w:type="dxa"/>
              <w:right w:w="113" w:type="dxa"/>
            </w:tcMar>
            <w:vAlign w:val="center"/>
            <w:hideMark/>
          </w:tcPr>
          <w:p w14:paraId="0067F9C8"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4</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2</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3 %</w:t>
            </w:r>
          </w:p>
        </w:tc>
        <w:tc>
          <w:tcPr>
            <w:tcW w:w="0" w:type="auto"/>
            <w:tcMar>
              <w:top w:w="113" w:type="dxa"/>
              <w:left w:w="113" w:type="dxa"/>
              <w:bottom w:w="113" w:type="dxa"/>
              <w:right w:w="113" w:type="dxa"/>
            </w:tcMar>
            <w:vAlign w:val="center"/>
            <w:hideMark/>
          </w:tcPr>
          <w:p w14:paraId="2FE61B70"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17</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10</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12.7 %</w:t>
            </w:r>
          </w:p>
        </w:tc>
        <w:tc>
          <w:tcPr>
            <w:tcW w:w="0" w:type="auto"/>
            <w:tcMar>
              <w:top w:w="113" w:type="dxa"/>
              <w:left w:w="113" w:type="dxa"/>
              <w:bottom w:w="113" w:type="dxa"/>
              <w:right w:w="113" w:type="dxa"/>
            </w:tcMar>
            <w:vAlign w:val="center"/>
            <w:hideMark/>
          </w:tcPr>
          <w:p w14:paraId="29B770DB"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5</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11</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3.7 %</w:t>
            </w:r>
          </w:p>
        </w:tc>
        <w:tc>
          <w:tcPr>
            <w:tcW w:w="0" w:type="auto"/>
            <w:tcMar>
              <w:top w:w="113" w:type="dxa"/>
              <w:left w:w="113" w:type="dxa"/>
              <w:bottom w:w="113" w:type="dxa"/>
              <w:right w:w="113" w:type="dxa"/>
            </w:tcMar>
            <w:vAlign w:val="center"/>
            <w:hideMark/>
          </w:tcPr>
          <w:p w14:paraId="7D714943"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26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26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19.4 %</w:t>
            </w:r>
          </w:p>
        </w:tc>
      </w:tr>
      <w:tr w:rsidR="00A912F3" w:rsidRPr="00A912F3" w14:paraId="5F1F2EC6" w14:textId="77777777" w:rsidTr="00A912F3">
        <w:tc>
          <w:tcPr>
            <w:tcW w:w="0" w:type="auto"/>
            <w:tcMar>
              <w:top w:w="113" w:type="dxa"/>
              <w:left w:w="113" w:type="dxa"/>
              <w:bottom w:w="113" w:type="dxa"/>
              <w:right w:w="113" w:type="dxa"/>
            </w:tcMar>
            <w:vAlign w:val="center"/>
            <w:hideMark/>
          </w:tcPr>
          <w:p w14:paraId="74D9846B" w14:textId="780A715B" w:rsidR="00A912F3" w:rsidRPr="00A912F3" w:rsidRDefault="00A912F3" w:rsidP="00A912F3">
            <w:pPr>
              <w:spacing w:line="240" w:lineRule="auto"/>
              <w:jc w:val="left"/>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lastRenderedPageBreak/>
              <w:t>Lower middle</w:t>
            </w:r>
            <w:r w:rsidRPr="00A912F3">
              <w:rPr>
                <w:rFonts w:ascii="Times New Roman" w:eastAsia="Times New Roman" w:hAnsi="Times New Roman" w:cs="Times New Roman"/>
                <w:sz w:val="24"/>
                <w:szCs w:val="24"/>
                <w:lang w:val="en-US"/>
              </w:rPr>
              <w:br/>
              <w:t>income</w:t>
            </w:r>
          </w:p>
        </w:tc>
        <w:tc>
          <w:tcPr>
            <w:tcW w:w="0" w:type="auto"/>
            <w:tcMar>
              <w:top w:w="113" w:type="dxa"/>
              <w:left w:w="113" w:type="dxa"/>
              <w:bottom w:w="113" w:type="dxa"/>
              <w:right w:w="113" w:type="dxa"/>
            </w:tcMar>
            <w:vAlign w:val="center"/>
            <w:hideMark/>
          </w:tcPr>
          <w:p w14:paraId="57B9E399"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4</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3 %</w:t>
            </w:r>
          </w:p>
        </w:tc>
        <w:tc>
          <w:tcPr>
            <w:tcW w:w="0" w:type="auto"/>
            <w:tcMar>
              <w:top w:w="113" w:type="dxa"/>
              <w:left w:w="113" w:type="dxa"/>
              <w:bottom w:w="113" w:type="dxa"/>
              <w:right w:w="113" w:type="dxa"/>
            </w:tcMar>
            <w:vAlign w:val="center"/>
            <w:hideMark/>
          </w:tcPr>
          <w:p w14:paraId="115D3FA0"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2</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1.5 %</w:t>
            </w:r>
          </w:p>
        </w:tc>
        <w:tc>
          <w:tcPr>
            <w:tcW w:w="0" w:type="auto"/>
            <w:tcMar>
              <w:top w:w="113" w:type="dxa"/>
              <w:left w:w="113" w:type="dxa"/>
              <w:bottom w:w="113" w:type="dxa"/>
              <w:right w:w="113" w:type="dxa"/>
            </w:tcMar>
            <w:vAlign w:val="center"/>
            <w:hideMark/>
          </w:tcPr>
          <w:p w14:paraId="415E84D6"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23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15</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17.2 %</w:t>
            </w:r>
          </w:p>
        </w:tc>
        <w:tc>
          <w:tcPr>
            <w:tcW w:w="0" w:type="auto"/>
            <w:tcMar>
              <w:top w:w="113" w:type="dxa"/>
              <w:left w:w="113" w:type="dxa"/>
              <w:bottom w:w="113" w:type="dxa"/>
              <w:right w:w="113" w:type="dxa"/>
            </w:tcMar>
            <w:vAlign w:val="center"/>
            <w:hideMark/>
          </w:tcPr>
          <w:p w14:paraId="621AE9EB"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7</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5.2 %</w:t>
            </w:r>
          </w:p>
        </w:tc>
        <w:tc>
          <w:tcPr>
            <w:tcW w:w="0" w:type="auto"/>
            <w:tcMar>
              <w:top w:w="113" w:type="dxa"/>
              <w:left w:w="113" w:type="dxa"/>
              <w:bottom w:w="113" w:type="dxa"/>
              <w:right w:w="113" w:type="dxa"/>
            </w:tcMar>
            <w:vAlign w:val="center"/>
            <w:hideMark/>
          </w:tcPr>
          <w:p w14:paraId="3D8CD6F4"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36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26.9 %</w:t>
            </w:r>
          </w:p>
        </w:tc>
      </w:tr>
      <w:tr w:rsidR="00A912F3" w:rsidRPr="00A912F3" w14:paraId="56A13209" w14:textId="77777777" w:rsidTr="00A912F3">
        <w:tc>
          <w:tcPr>
            <w:tcW w:w="0" w:type="auto"/>
            <w:tcMar>
              <w:top w:w="113" w:type="dxa"/>
              <w:left w:w="113" w:type="dxa"/>
              <w:bottom w:w="113" w:type="dxa"/>
              <w:right w:w="113" w:type="dxa"/>
            </w:tcMar>
            <w:vAlign w:val="center"/>
            <w:hideMark/>
          </w:tcPr>
          <w:p w14:paraId="4A523D7E" w14:textId="43AB9DAE" w:rsidR="00A912F3" w:rsidRPr="00A912F3" w:rsidRDefault="00A912F3" w:rsidP="00A912F3">
            <w:pPr>
              <w:spacing w:line="240" w:lineRule="auto"/>
              <w:jc w:val="left"/>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Upper middle</w:t>
            </w:r>
            <w:r w:rsidRPr="00A912F3">
              <w:rPr>
                <w:rFonts w:ascii="Times New Roman" w:eastAsia="Times New Roman" w:hAnsi="Times New Roman" w:cs="Times New Roman"/>
                <w:sz w:val="24"/>
                <w:szCs w:val="24"/>
                <w:lang w:val="en-US"/>
              </w:rPr>
              <w:br/>
              <w:t>income</w:t>
            </w:r>
          </w:p>
        </w:tc>
        <w:tc>
          <w:tcPr>
            <w:tcW w:w="0" w:type="auto"/>
            <w:tcMar>
              <w:top w:w="113" w:type="dxa"/>
              <w:left w:w="113" w:type="dxa"/>
              <w:bottom w:w="113" w:type="dxa"/>
              <w:right w:w="113" w:type="dxa"/>
            </w:tcMar>
            <w:vAlign w:val="center"/>
            <w:hideMark/>
          </w:tcPr>
          <w:p w14:paraId="500DE343"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2</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2.2 %</w:t>
            </w:r>
          </w:p>
        </w:tc>
        <w:tc>
          <w:tcPr>
            <w:tcW w:w="0" w:type="auto"/>
            <w:tcMar>
              <w:top w:w="113" w:type="dxa"/>
              <w:left w:w="113" w:type="dxa"/>
              <w:bottom w:w="113" w:type="dxa"/>
              <w:right w:w="113" w:type="dxa"/>
            </w:tcMar>
            <w:vAlign w:val="center"/>
            <w:hideMark/>
          </w:tcPr>
          <w:p w14:paraId="3FD46F09"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2.2 %</w:t>
            </w:r>
          </w:p>
        </w:tc>
        <w:tc>
          <w:tcPr>
            <w:tcW w:w="0" w:type="auto"/>
            <w:tcMar>
              <w:top w:w="113" w:type="dxa"/>
              <w:left w:w="113" w:type="dxa"/>
              <w:bottom w:w="113" w:type="dxa"/>
              <w:right w:w="113" w:type="dxa"/>
            </w:tcMar>
            <w:vAlign w:val="center"/>
            <w:hideMark/>
          </w:tcPr>
          <w:p w14:paraId="53B4831C"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8</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6 %</w:t>
            </w:r>
          </w:p>
        </w:tc>
        <w:tc>
          <w:tcPr>
            <w:tcW w:w="0" w:type="auto"/>
            <w:tcMar>
              <w:top w:w="113" w:type="dxa"/>
              <w:left w:w="113" w:type="dxa"/>
              <w:bottom w:w="113" w:type="dxa"/>
              <w:right w:w="113" w:type="dxa"/>
            </w:tcMar>
            <w:vAlign w:val="center"/>
            <w:hideMark/>
          </w:tcPr>
          <w:p w14:paraId="4F16B704"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19</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15</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14.2 %</w:t>
            </w:r>
          </w:p>
        </w:tc>
        <w:tc>
          <w:tcPr>
            <w:tcW w:w="0" w:type="auto"/>
            <w:tcMar>
              <w:top w:w="113" w:type="dxa"/>
              <w:left w:w="113" w:type="dxa"/>
              <w:bottom w:w="113" w:type="dxa"/>
              <w:right w:w="113" w:type="dxa"/>
            </w:tcMar>
            <w:vAlign w:val="center"/>
            <w:hideMark/>
          </w:tcPr>
          <w:p w14:paraId="3577F93C"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33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24.6 %</w:t>
            </w:r>
          </w:p>
        </w:tc>
      </w:tr>
      <w:tr w:rsidR="00A912F3" w:rsidRPr="00A912F3" w14:paraId="0A30E71A" w14:textId="77777777" w:rsidTr="00A912F3">
        <w:tc>
          <w:tcPr>
            <w:tcW w:w="0" w:type="auto"/>
            <w:tcMar>
              <w:top w:w="113" w:type="dxa"/>
              <w:left w:w="113" w:type="dxa"/>
              <w:bottom w:w="113" w:type="dxa"/>
              <w:right w:w="113" w:type="dxa"/>
            </w:tcMar>
            <w:vAlign w:val="center"/>
            <w:hideMark/>
          </w:tcPr>
          <w:p w14:paraId="010968CD" w14:textId="29CCEC29" w:rsidR="00A912F3" w:rsidRPr="00A912F3" w:rsidRDefault="00A912F3" w:rsidP="00A912F3">
            <w:pPr>
              <w:spacing w:line="240" w:lineRule="auto"/>
              <w:jc w:val="left"/>
              <w:rPr>
                <w:rFonts w:ascii="Times New Roman" w:eastAsia="Times New Roman" w:hAnsi="Times New Roman" w:cs="Times New Roman"/>
                <w:sz w:val="24"/>
                <w:szCs w:val="24"/>
                <w:lang w:val="en-US"/>
              </w:rPr>
            </w:pPr>
            <w:r w:rsidRPr="00A912F3">
              <w:rPr>
                <w:rFonts w:ascii="Times New Roman" w:eastAsia="Times New Roman" w:hAnsi="Times New Roman" w:cs="Times New Roman"/>
                <w:sz w:val="24"/>
                <w:szCs w:val="24"/>
                <w:lang w:val="en-US"/>
              </w:rPr>
              <w:t>High income</w:t>
            </w:r>
          </w:p>
        </w:tc>
        <w:tc>
          <w:tcPr>
            <w:tcW w:w="0" w:type="auto"/>
            <w:tcMar>
              <w:top w:w="113" w:type="dxa"/>
              <w:left w:w="113" w:type="dxa"/>
              <w:bottom w:w="113" w:type="dxa"/>
              <w:right w:w="113" w:type="dxa"/>
            </w:tcMar>
            <w:vAlign w:val="center"/>
            <w:hideMark/>
          </w:tcPr>
          <w:p w14:paraId="610638AB"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2.2 %</w:t>
            </w:r>
          </w:p>
        </w:tc>
        <w:tc>
          <w:tcPr>
            <w:tcW w:w="0" w:type="auto"/>
            <w:tcMar>
              <w:top w:w="113" w:type="dxa"/>
              <w:left w:w="113" w:type="dxa"/>
              <w:bottom w:w="113" w:type="dxa"/>
              <w:right w:w="113" w:type="dxa"/>
            </w:tcMar>
            <w:vAlign w:val="center"/>
            <w:hideMark/>
          </w:tcPr>
          <w:p w14:paraId="46B8DACE"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2</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1.5 %</w:t>
            </w:r>
          </w:p>
        </w:tc>
        <w:tc>
          <w:tcPr>
            <w:tcW w:w="0" w:type="auto"/>
            <w:tcMar>
              <w:top w:w="113" w:type="dxa"/>
              <w:left w:w="113" w:type="dxa"/>
              <w:bottom w:w="113" w:type="dxa"/>
              <w:right w:w="113" w:type="dxa"/>
            </w:tcMar>
            <w:vAlign w:val="center"/>
            <w:hideMark/>
          </w:tcPr>
          <w:p w14:paraId="3CAED83E"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16</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4.5 %</w:t>
            </w:r>
          </w:p>
        </w:tc>
        <w:tc>
          <w:tcPr>
            <w:tcW w:w="0" w:type="auto"/>
            <w:tcMar>
              <w:top w:w="113" w:type="dxa"/>
              <w:left w:w="113" w:type="dxa"/>
              <w:bottom w:w="113" w:type="dxa"/>
              <w:right w:w="113" w:type="dxa"/>
            </w:tcMar>
            <w:vAlign w:val="center"/>
            <w:hideMark/>
          </w:tcPr>
          <w:p w14:paraId="1AAAA056"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28</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17</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20.9 %</w:t>
            </w:r>
          </w:p>
        </w:tc>
        <w:tc>
          <w:tcPr>
            <w:tcW w:w="0" w:type="auto"/>
            <w:tcMar>
              <w:top w:w="113" w:type="dxa"/>
              <w:left w:w="113" w:type="dxa"/>
              <w:bottom w:w="113" w:type="dxa"/>
              <w:right w:w="113" w:type="dxa"/>
            </w:tcMar>
            <w:vAlign w:val="center"/>
            <w:hideMark/>
          </w:tcPr>
          <w:p w14:paraId="1ED5C69B"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39</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39</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29.1 %</w:t>
            </w:r>
          </w:p>
        </w:tc>
      </w:tr>
      <w:tr w:rsidR="00A912F3" w:rsidRPr="00A912F3" w14:paraId="1F843B49" w14:textId="77777777" w:rsidTr="00A912F3">
        <w:tc>
          <w:tcPr>
            <w:tcW w:w="0" w:type="auto"/>
            <w:tcBorders>
              <w:bottom w:val="double" w:sz="6" w:space="0" w:color="auto"/>
            </w:tcBorders>
            <w:tcMar>
              <w:top w:w="113" w:type="dxa"/>
              <w:left w:w="113" w:type="dxa"/>
              <w:bottom w:w="113" w:type="dxa"/>
              <w:right w:w="113" w:type="dxa"/>
            </w:tcMar>
            <w:vAlign w:val="center"/>
            <w:hideMark/>
          </w:tcPr>
          <w:p w14:paraId="111E8C2B" w14:textId="77777777" w:rsidR="00A912F3" w:rsidRPr="00A912F3" w:rsidRDefault="00A912F3" w:rsidP="00A912F3">
            <w:pPr>
              <w:spacing w:line="240" w:lineRule="auto"/>
              <w:jc w:val="left"/>
              <w:rPr>
                <w:rFonts w:ascii="Times New Roman" w:eastAsia="Times New Roman" w:hAnsi="Times New Roman" w:cs="Times New Roman"/>
                <w:b/>
                <w:bCs/>
                <w:i/>
                <w:iCs/>
                <w:sz w:val="24"/>
                <w:szCs w:val="24"/>
                <w:lang w:val="en-US"/>
              </w:rPr>
            </w:pPr>
            <w:r w:rsidRPr="00A912F3">
              <w:rPr>
                <w:rFonts w:ascii="Times New Roman" w:eastAsia="Times New Roman" w:hAnsi="Times New Roman" w:cs="Times New Roman"/>
                <w:b/>
                <w:bCs/>
                <w:i/>
                <w:iCs/>
                <w:sz w:val="24"/>
                <w:szCs w:val="24"/>
                <w:lang w:val="en-US"/>
              </w:rPr>
              <w:t>Total</w:t>
            </w:r>
          </w:p>
        </w:tc>
        <w:tc>
          <w:tcPr>
            <w:tcW w:w="0" w:type="auto"/>
            <w:tcBorders>
              <w:bottom w:val="double" w:sz="6" w:space="0" w:color="auto"/>
            </w:tcBorders>
            <w:tcMar>
              <w:top w:w="113" w:type="dxa"/>
              <w:left w:w="113" w:type="dxa"/>
              <w:bottom w:w="113" w:type="dxa"/>
              <w:right w:w="113" w:type="dxa"/>
            </w:tcMar>
            <w:vAlign w:val="center"/>
            <w:hideMark/>
          </w:tcPr>
          <w:p w14:paraId="5BF3F82E"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10</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10</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7.4 %</w:t>
            </w:r>
          </w:p>
        </w:tc>
        <w:tc>
          <w:tcPr>
            <w:tcW w:w="0" w:type="auto"/>
            <w:tcBorders>
              <w:bottom w:val="double" w:sz="6" w:space="0" w:color="auto"/>
            </w:tcBorders>
            <w:tcMar>
              <w:top w:w="113" w:type="dxa"/>
              <w:left w:w="113" w:type="dxa"/>
              <w:bottom w:w="113" w:type="dxa"/>
              <w:right w:w="113" w:type="dxa"/>
            </w:tcMar>
            <w:vAlign w:val="center"/>
            <w:hideMark/>
          </w:tcPr>
          <w:p w14:paraId="3984DD25"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11</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11</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8.2 %</w:t>
            </w:r>
          </w:p>
        </w:tc>
        <w:tc>
          <w:tcPr>
            <w:tcW w:w="0" w:type="auto"/>
            <w:tcBorders>
              <w:bottom w:val="double" w:sz="6" w:space="0" w:color="auto"/>
            </w:tcBorders>
            <w:tcMar>
              <w:top w:w="113" w:type="dxa"/>
              <w:left w:w="113" w:type="dxa"/>
              <w:bottom w:w="113" w:type="dxa"/>
              <w:right w:w="113" w:type="dxa"/>
            </w:tcMar>
            <w:vAlign w:val="center"/>
            <w:hideMark/>
          </w:tcPr>
          <w:p w14:paraId="3924A584"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54</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54</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40.4 %</w:t>
            </w:r>
          </w:p>
        </w:tc>
        <w:tc>
          <w:tcPr>
            <w:tcW w:w="0" w:type="auto"/>
            <w:tcBorders>
              <w:bottom w:val="double" w:sz="6" w:space="0" w:color="auto"/>
            </w:tcBorders>
            <w:tcMar>
              <w:top w:w="113" w:type="dxa"/>
              <w:left w:w="113" w:type="dxa"/>
              <w:bottom w:w="113" w:type="dxa"/>
              <w:right w:w="113" w:type="dxa"/>
            </w:tcMar>
            <w:vAlign w:val="center"/>
            <w:hideMark/>
          </w:tcPr>
          <w:p w14:paraId="4DEE80F5"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59</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59</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44 %</w:t>
            </w:r>
          </w:p>
        </w:tc>
        <w:tc>
          <w:tcPr>
            <w:tcW w:w="0" w:type="auto"/>
            <w:tcBorders>
              <w:bottom w:val="double" w:sz="6" w:space="0" w:color="auto"/>
            </w:tcBorders>
            <w:tcMar>
              <w:top w:w="113" w:type="dxa"/>
              <w:left w:w="113" w:type="dxa"/>
              <w:bottom w:w="113" w:type="dxa"/>
              <w:right w:w="113" w:type="dxa"/>
            </w:tcMar>
            <w:vAlign w:val="center"/>
            <w:hideMark/>
          </w:tcPr>
          <w:p w14:paraId="51D62632" w14:textId="77777777" w:rsidR="00A912F3" w:rsidRPr="00A912F3" w:rsidRDefault="00A912F3" w:rsidP="00A912F3">
            <w:pPr>
              <w:spacing w:line="240" w:lineRule="auto"/>
              <w:jc w:val="center"/>
              <w:rPr>
                <w:rFonts w:ascii="Times New Roman" w:eastAsia="Times New Roman" w:hAnsi="Times New Roman" w:cs="Times New Roman"/>
                <w:sz w:val="24"/>
                <w:szCs w:val="24"/>
                <w:lang w:val="en-US"/>
              </w:rPr>
            </w:pPr>
            <w:r w:rsidRPr="00A912F3">
              <w:rPr>
                <w:rFonts w:ascii="Times New Roman" w:eastAsia="Times New Roman" w:hAnsi="Times New Roman" w:cs="Times New Roman"/>
                <w:color w:val="000000"/>
                <w:sz w:val="24"/>
                <w:szCs w:val="24"/>
                <w:lang w:val="en-US"/>
              </w:rPr>
              <w:t>134</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339999"/>
                <w:sz w:val="24"/>
                <w:szCs w:val="24"/>
                <w:lang w:val="en-US"/>
              </w:rPr>
              <w:t>134</w:t>
            </w:r>
            <w:r w:rsidRPr="00A912F3">
              <w:rPr>
                <w:rFonts w:ascii="Times New Roman" w:eastAsia="Times New Roman" w:hAnsi="Times New Roman" w:cs="Times New Roman"/>
                <w:sz w:val="24"/>
                <w:szCs w:val="24"/>
                <w:lang w:val="en-US"/>
              </w:rPr>
              <w:br/>
            </w:r>
            <w:r w:rsidRPr="00A912F3">
              <w:rPr>
                <w:rFonts w:ascii="Times New Roman" w:eastAsia="Times New Roman" w:hAnsi="Times New Roman" w:cs="Times New Roman"/>
                <w:color w:val="993333"/>
                <w:sz w:val="24"/>
                <w:szCs w:val="24"/>
                <w:lang w:val="en-US"/>
              </w:rPr>
              <w:t>100 %</w:t>
            </w:r>
          </w:p>
        </w:tc>
      </w:tr>
      <w:tr w:rsidR="00A912F3" w:rsidRPr="00A912F3" w14:paraId="5A81999B" w14:textId="77777777" w:rsidTr="00A912F3">
        <w:tc>
          <w:tcPr>
            <w:tcW w:w="0" w:type="auto"/>
            <w:gridSpan w:val="6"/>
            <w:tcMar>
              <w:top w:w="113" w:type="dxa"/>
              <w:left w:w="113" w:type="dxa"/>
              <w:bottom w:w="113" w:type="dxa"/>
              <w:right w:w="113" w:type="dxa"/>
            </w:tcMar>
            <w:vAlign w:val="center"/>
            <w:hideMark/>
          </w:tcPr>
          <w:p w14:paraId="2EE3214F" w14:textId="77777777" w:rsidR="00A912F3" w:rsidRPr="00A912F3" w:rsidRDefault="00A912F3" w:rsidP="00A912F3">
            <w:pPr>
              <w:spacing w:line="240" w:lineRule="auto"/>
              <w:jc w:val="right"/>
              <w:rPr>
                <w:rFonts w:ascii="Times New Roman" w:eastAsia="Times New Roman" w:hAnsi="Times New Roman" w:cs="Times New Roman"/>
                <w:i/>
                <w:iCs/>
                <w:lang w:val="en-US"/>
              </w:rPr>
            </w:pPr>
            <w:r w:rsidRPr="00A912F3">
              <w:rPr>
                <w:rFonts w:ascii="Times New Roman" w:eastAsia="Times New Roman" w:hAnsi="Times New Roman" w:cs="Times New Roman"/>
                <w:i/>
                <w:iCs/>
                <w:lang w:val="en-US"/>
              </w:rPr>
              <w:t xml:space="preserve">Fisher's p&lt;.001 · </w:t>
            </w:r>
            <w:proofErr w:type="spellStart"/>
            <w:r w:rsidRPr="00A912F3">
              <w:rPr>
                <w:rFonts w:ascii="Times New Roman" w:eastAsia="Times New Roman" w:hAnsi="Times New Roman" w:cs="Times New Roman"/>
                <w:i/>
                <w:iCs/>
                <w:lang w:val="en-US"/>
              </w:rPr>
              <w:t>df</w:t>
            </w:r>
            <w:proofErr w:type="spellEnd"/>
            <w:r w:rsidRPr="00A912F3">
              <w:rPr>
                <w:rFonts w:ascii="Times New Roman" w:eastAsia="Times New Roman" w:hAnsi="Times New Roman" w:cs="Times New Roman"/>
                <w:i/>
                <w:iCs/>
                <w:lang w:val="en-US"/>
              </w:rPr>
              <w:t xml:space="preserve">=9 · </w:t>
            </w:r>
            <w:proofErr w:type="spellStart"/>
            <w:r w:rsidRPr="00A912F3">
              <w:rPr>
                <w:rFonts w:ascii="Times New Roman" w:eastAsia="Times New Roman" w:hAnsi="Times New Roman" w:cs="Times New Roman"/>
                <w:i/>
                <w:iCs/>
                <w:lang w:val="en-US"/>
              </w:rPr>
              <w:t>Φ</w:t>
            </w:r>
            <w:r w:rsidRPr="00A912F3">
              <w:rPr>
                <w:rFonts w:ascii="Times New Roman" w:eastAsia="Times New Roman" w:hAnsi="Times New Roman" w:cs="Times New Roman"/>
                <w:i/>
                <w:iCs/>
                <w:vertAlign w:val="subscript"/>
                <w:lang w:val="en-US"/>
              </w:rPr>
              <w:t>c</w:t>
            </w:r>
            <w:proofErr w:type="spellEnd"/>
            <w:r w:rsidRPr="00A912F3">
              <w:rPr>
                <w:rFonts w:ascii="Times New Roman" w:eastAsia="Times New Roman" w:hAnsi="Times New Roman" w:cs="Times New Roman"/>
                <w:i/>
                <w:iCs/>
                <w:lang w:val="en-US"/>
              </w:rPr>
              <w:t>=.312</w:t>
            </w:r>
          </w:p>
        </w:tc>
      </w:tr>
    </w:tbl>
    <w:p w14:paraId="0DA765F8" w14:textId="6A7B939A" w:rsidR="00A912F3" w:rsidRDefault="00A912F3" w:rsidP="005154B6">
      <w:pPr>
        <w:pStyle w:val="ListParagraph"/>
        <w:spacing w:line="360" w:lineRule="auto"/>
        <w:ind w:left="0" w:firstLine="709"/>
        <w:rPr>
          <w:b/>
        </w:rPr>
      </w:pPr>
    </w:p>
    <w:p w14:paraId="21DA6798" w14:textId="52C4F43B" w:rsidR="00EB0BB2" w:rsidRDefault="00EB0BB2" w:rsidP="005154B6">
      <w:pPr>
        <w:pStyle w:val="ListParagraph"/>
        <w:spacing w:line="360" w:lineRule="auto"/>
        <w:ind w:left="0" w:firstLine="709"/>
        <w:rPr>
          <w:b/>
        </w:rPr>
      </w:pPr>
    </w:p>
    <w:tbl>
      <w:tblPr>
        <w:tblW w:w="0" w:type="auto"/>
        <w:tblCellMar>
          <w:top w:w="15" w:type="dxa"/>
          <w:left w:w="15" w:type="dxa"/>
          <w:bottom w:w="15" w:type="dxa"/>
          <w:right w:w="15" w:type="dxa"/>
        </w:tblCellMar>
        <w:tblLook w:val="04A0" w:firstRow="1" w:lastRow="0" w:firstColumn="1" w:lastColumn="0" w:noHBand="0" w:noVBand="1"/>
      </w:tblPr>
      <w:tblGrid>
        <w:gridCol w:w="1534"/>
        <w:gridCol w:w="2189"/>
        <w:gridCol w:w="1343"/>
        <w:gridCol w:w="1549"/>
        <w:gridCol w:w="1549"/>
        <w:gridCol w:w="906"/>
      </w:tblGrid>
      <w:tr w:rsidR="00EB0BB2" w:rsidRPr="00EB0BB2" w14:paraId="7484EDF9" w14:textId="77777777" w:rsidTr="00EB0BB2">
        <w:trPr>
          <w:trHeight w:val="291"/>
        </w:trPr>
        <w:tc>
          <w:tcPr>
            <w:tcW w:w="0" w:type="auto"/>
            <w:gridSpan w:val="6"/>
            <w:vMerge w:val="restart"/>
            <w:tcBorders>
              <w:top w:val="nil"/>
              <w:left w:val="nil"/>
              <w:bottom w:val="nil"/>
              <w:right w:val="nil"/>
            </w:tcBorders>
            <w:vAlign w:val="center"/>
            <w:hideMark/>
          </w:tcPr>
          <w:p w14:paraId="59217B52" w14:textId="77777777" w:rsidR="00EB0BB2" w:rsidRPr="00EB0BB2" w:rsidRDefault="00EB0BB2" w:rsidP="00EB0BB2">
            <w:pPr>
              <w:spacing w:line="240" w:lineRule="auto"/>
              <w:jc w:val="left"/>
              <w:rPr>
                <w:rFonts w:ascii="Times New Roman" w:eastAsia="Times New Roman" w:hAnsi="Times New Roman" w:cs="Times New Roman"/>
                <w:b/>
                <w:bCs/>
                <w:sz w:val="24"/>
                <w:szCs w:val="24"/>
                <w:lang w:val="en-US"/>
              </w:rPr>
            </w:pPr>
            <w:proofErr w:type="spellStart"/>
            <w:r w:rsidRPr="00EB0BB2">
              <w:rPr>
                <w:rFonts w:ascii="Times New Roman" w:eastAsia="Times New Roman" w:hAnsi="Times New Roman" w:cs="Times New Roman"/>
                <w:b/>
                <w:bCs/>
                <w:sz w:val="24"/>
                <w:szCs w:val="24"/>
                <w:lang w:val="en-US"/>
              </w:rPr>
              <w:t>Tabela</w:t>
            </w:r>
            <w:proofErr w:type="spellEnd"/>
            <w:r w:rsidRPr="00EB0BB2">
              <w:rPr>
                <w:rFonts w:ascii="Times New Roman" w:eastAsia="Times New Roman" w:hAnsi="Times New Roman" w:cs="Times New Roman"/>
                <w:b/>
                <w:bCs/>
                <w:sz w:val="24"/>
                <w:szCs w:val="24"/>
                <w:lang w:val="en-US"/>
              </w:rPr>
              <w:t xml:space="preserve"> de </w:t>
            </w:r>
            <w:proofErr w:type="spellStart"/>
            <w:r w:rsidRPr="00EB0BB2">
              <w:rPr>
                <w:rFonts w:ascii="Times New Roman" w:eastAsia="Times New Roman" w:hAnsi="Times New Roman" w:cs="Times New Roman"/>
                <w:b/>
                <w:bCs/>
                <w:sz w:val="24"/>
                <w:szCs w:val="24"/>
                <w:lang w:val="en-US"/>
              </w:rPr>
              <w:t>contingência</w:t>
            </w:r>
            <w:proofErr w:type="spellEnd"/>
          </w:p>
        </w:tc>
      </w:tr>
      <w:tr w:rsidR="00EB0BB2" w:rsidRPr="00EB0BB2" w14:paraId="4FBC86B6" w14:textId="77777777" w:rsidTr="00EB0BB2">
        <w:tc>
          <w:tcPr>
            <w:tcW w:w="0" w:type="auto"/>
            <w:vMerge w:val="restart"/>
            <w:tcBorders>
              <w:top w:val="double" w:sz="6" w:space="0" w:color="auto"/>
              <w:bottom w:val="single" w:sz="6" w:space="0" w:color="auto"/>
            </w:tcBorders>
            <w:vAlign w:val="center"/>
            <w:hideMark/>
          </w:tcPr>
          <w:p w14:paraId="2AAA6CF5" w14:textId="020302D2" w:rsidR="00EB0BB2" w:rsidRPr="00EB0BB2" w:rsidRDefault="00EB0BB2" w:rsidP="00EB0BB2">
            <w:pPr>
              <w:spacing w:line="240" w:lineRule="auto"/>
              <w:jc w:val="center"/>
              <w:rPr>
                <w:rFonts w:ascii="Times New Roman" w:eastAsia="Times New Roman" w:hAnsi="Times New Roman" w:cs="Times New Roman"/>
                <w:i/>
                <w:iCs/>
                <w:sz w:val="24"/>
                <w:szCs w:val="24"/>
                <w:lang w:val="en-US"/>
              </w:rPr>
            </w:pPr>
            <w:r>
              <w:rPr>
                <w:rFonts w:ascii="Times New Roman" w:eastAsia="Times New Roman" w:hAnsi="Times New Roman" w:cs="Times New Roman"/>
                <w:i/>
                <w:iCs/>
                <w:sz w:val="24"/>
                <w:szCs w:val="24"/>
                <w:lang w:val="en-US"/>
              </w:rPr>
              <w:t>Renda</w:t>
            </w:r>
          </w:p>
        </w:tc>
        <w:tc>
          <w:tcPr>
            <w:tcW w:w="0" w:type="auto"/>
            <w:gridSpan w:val="4"/>
            <w:tcBorders>
              <w:top w:val="double" w:sz="6" w:space="0" w:color="auto"/>
            </w:tcBorders>
            <w:vAlign w:val="center"/>
            <w:hideMark/>
          </w:tcPr>
          <w:p w14:paraId="6722C473" w14:textId="513A1012" w:rsidR="00EB0BB2" w:rsidRPr="00EB0BB2" w:rsidRDefault="00EB0BB2" w:rsidP="00EB0BB2">
            <w:pPr>
              <w:spacing w:line="240" w:lineRule="auto"/>
              <w:jc w:val="center"/>
              <w:rPr>
                <w:rFonts w:ascii="Times New Roman" w:eastAsia="Times New Roman" w:hAnsi="Times New Roman" w:cs="Times New Roman"/>
                <w:i/>
                <w:iCs/>
                <w:sz w:val="24"/>
                <w:szCs w:val="24"/>
                <w:lang w:val="en-US"/>
              </w:rPr>
            </w:pPr>
            <w:r w:rsidRPr="00EB0BB2">
              <w:rPr>
                <w:rFonts w:ascii="Times New Roman" w:eastAsia="Times New Roman" w:hAnsi="Times New Roman" w:cs="Times New Roman"/>
                <w:i/>
                <w:iCs/>
                <w:sz w:val="24"/>
                <w:szCs w:val="24"/>
                <w:lang w:val="en-US"/>
              </w:rPr>
              <w:t>Can</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family</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members</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of</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Refugees</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access</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to</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public</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healthcare</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on</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par</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with</w:t>
            </w:r>
            <w:r>
              <w:rPr>
                <w:rFonts w:ascii="Times New Roman" w:eastAsia="Times New Roman" w:hAnsi="Times New Roman" w:cs="Times New Roman"/>
                <w:i/>
                <w:iCs/>
                <w:sz w:val="24"/>
                <w:szCs w:val="24"/>
                <w:lang w:val="en-US"/>
              </w:rPr>
              <w:t xml:space="preserve"> </w:t>
            </w:r>
            <w:r w:rsidRPr="00EB0BB2">
              <w:rPr>
                <w:rFonts w:ascii="Times New Roman" w:eastAsia="Times New Roman" w:hAnsi="Times New Roman" w:cs="Times New Roman"/>
                <w:i/>
                <w:iCs/>
                <w:sz w:val="24"/>
                <w:szCs w:val="24"/>
                <w:lang w:val="en-US"/>
              </w:rPr>
              <w:t>citizens</w:t>
            </w:r>
            <w:r>
              <w:rPr>
                <w:rFonts w:ascii="Times New Roman" w:eastAsia="Times New Roman" w:hAnsi="Times New Roman" w:cs="Times New Roman"/>
                <w:i/>
                <w:iCs/>
                <w:sz w:val="24"/>
                <w:szCs w:val="24"/>
                <w:lang w:val="en-US"/>
              </w:rPr>
              <w:t>?</w:t>
            </w:r>
          </w:p>
        </w:tc>
        <w:tc>
          <w:tcPr>
            <w:tcW w:w="0" w:type="auto"/>
            <w:vMerge w:val="restart"/>
            <w:tcBorders>
              <w:top w:val="double" w:sz="6" w:space="0" w:color="auto"/>
              <w:bottom w:val="single" w:sz="6" w:space="0" w:color="auto"/>
            </w:tcBorders>
            <w:vAlign w:val="center"/>
            <w:hideMark/>
          </w:tcPr>
          <w:p w14:paraId="3BD75AA0" w14:textId="77777777" w:rsidR="00EB0BB2" w:rsidRPr="00EB0BB2" w:rsidRDefault="00EB0BB2" w:rsidP="00EB0BB2">
            <w:pPr>
              <w:spacing w:line="240" w:lineRule="auto"/>
              <w:jc w:val="center"/>
              <w:rPr>
                <w:rFonts w:ascii="Times New Roman" w:eastAsia="Times New Roman" w:hAnsi="Times New Roman" w:cs="Times New Roman"/>
                <w:b/>
                <w:bCs/>
                <w:i/>
                <w:iCs/>
                <w:sz w:val="24"/>
                <w:szCs w:val="24"/>
                <w:lang w:val="en-US"/>
              </w:rPr>
            </w:pPr>
            <w:r w:rsidRPr="00EB0BB2">
              <w:rPr>
                <w:rFonts w:ascii="Times New Roman" w:eastAsia="Times New Roman" w:hAnsi="Times New Roman" w:cs="Times New Roman"/>
                <w:b/>
                <w:bCs/>
                <w:i/>
                <w:iCs/>
                <w:sz w:val="24"/>
                <w:szCs w:val="24"/>
                <w:lang w:val="en-US"/>
              </w:rPr>
              <w:t>Total</w:t>
            </w:r>
          </w:p>
        </w:tc>
      </w:tr>
      <w:tr w:rsidR="00EB0BB2" w:rsidRPr="00EB0BB2" w14:paraId="0ADB24E7" w14:textId="77777777" w:rsidTr="00EB0BB2">
        <w:tc>
          <w:tcPr>
            <w:tcW w:w="0" w:type="auto"/>
            <w:vMerge/>
            <w:tcBorders>
              <w:top w:val="double" w:sz="6" w:space="0" w:color="auto"/>
              <w:bottom w:val="single" w:sz="6" w:space="0" w:color="auto"/>
            </w:tcBorders>
            <w:vAlign w:val="center"/>
            <w:hideMark/>
          </w:tcPr>
          <w:p w14:paraId="0E88E51D" w14:textId="77777777" w:rsidR="00EB0BB2" w:rsidRPr="00EB0BB2" w:rsidRDefault="00EB0BB2" w:rsidP="00EB0BB2">
            <w:pPr>
              <w:spacing w:line="240" w:lineRule="auto"/>
              <w:jc w:val="left"/>
              <w:rPr>
                <w:rFonts w:ascii="Times New Roman" w:eastAsia="Times New Roman" w:hAnsi="Times New Roman" w:cs="Times New Roman"/>
                <w:i/>
                <w:iCs/>
                <w:sz w:val="24"/>
                <w:szCs w:val="24"/>
                <w:lang w:val="en-US"/>
              </w:rPr>
            </w:pPr>
          </w:p>
        </w:tc>
        <w:tc>
          <w:tcPr>
            <w:tcW w:w="0" w:type="auto"/>
            <w:tcBorders>
              <w:bottom w:val="single" w:sz="6" w:space="0" w:color="auto"/>
            </w:tcBorders>
            <w:tcMar>
              <w:top w:w="113" w:type="dxa"/>
              <w:left w:w="113" w:type="dxa"/>
              <w:bottom w:w="113" w:type="dxa"/>
              <w:right w:w="113" w:type="dxa"/>
            </w:tcMar>
            <w:vAlign w:val="center"/>
            <w:hideMark/>
          </w:tcPr>
          <w:p w14:paraId="34CA39B7"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Conditions</w:t>
            </w:r>
          </w:p>
        </w:tc>
        <w:tc>
          <w:tcPr>
            <w:tcW w:w="0" w:type="auto"/>
            <w:tcBorders>
              <w:bottom w:val="single" w:sz="6" w:space="0" w:color="auto"/>
            </w:tcBorders>
            <w:tcMar>
              <w:top w:w="113" w:type="dxa"/>
              <w:left w:w="113" w:type="dxa"/>
              <w:bottom w:w="113" w:type="dxa"/>
              <w:right w:w="113" w:type="dxa"/>
            </w:tcMar>
            <w:vAlign w:val="center"/>
            <w:hideMark/>
          </w:tcPr>
          <w:p w14:paraId="4D14F374"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N/A</w:t>
            </w:r>
          </w:p>
        </w:tc>
        <w:tc>
          <w:tcPr>
            <w:tcW w:w="0" w:type="auto"/>
            <w:tcBorders>
              <w:bottom w:val="single" w:sz="6" w:space="0" w:color="auto"/>
            </w:tcBorders>
            <w:tcMar>
              <w:top w:w="113" w:type="dxa"/>
              <w:left w:w="113" w:type="dxa"/>
              <w:bottom w:w="113" w:type="dxa"/>
              <w:right w:w="113" w:type="dxa"/>
            </w:tcMar>
            <w:vAlign w:val="center"/>
            <w:hideMark/>
          </w:tcPr>
          <w:p w14:paraId="37CC780A"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No</w:t>
            </w:r>
          </w:p>
        </w:tc>
        <w:tc>
          <w:tcPr>
            <w:tcW w:w="0" w:type="auto"/>
            <w:tcBorders>
              <w:bottom w:val="single" w:sz="6" w:space="0" w:color="auto"/>
            </w:tcBorders>
            <w:tcMar>
              <w:top w:w="113" w:type="dxa"/>
              <w:left w:w="113" w:type="dxa"/>
              <w:bottom w:w="113" w:type="dxa"/>
              <w:right w:w="113" w:type="dxa"/>
            </w:tcMar>
            <w:vAlign w:val="center"/>
            <w:hideMark/>
          </w:tcPr>
          <w:p w14:paraId="3A25FBBD"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Yes</w:t>
            </w:r>
          </w:p>
        </w:tc>
        <w:tc>
          <w:tcPr>
            <w:tcW w:w="0" w:type="auto"/>
            <w:vMerge/>
            <w:tcBorders>
              <w:top w:val="double" w:sz="6" w:space="0" w:color="auto"/>
              <w:bottom w:val="single" w:sz="6" w:space="0" w:color="auto"/>
            </w:tcBorders>
            <w:vAlign w:val="center"/>
            <w:hideMark/>
          </w:tcPr>
          <w:p w14:paraId="5E374EE9" w14:textId="77777777" w:rsidR="00EB0BB2" w:rsidRPr="00EB0BB2" w:rsidRDefault="00EB0BB2" w:rsidP="00EB0BB2">
            <w:pPr>
              <w:spacing w:line="240" w:lineRule="auto"/>
              <w:jc w:val="left"/>
              <w:rPr>
                <w:rFonts w:ascii="Times New Roman" w:eastAsia="Times New Roman" w:hAnsi="Times New Roman" w:cs="Times New Roman"/>
                <w:b/>
                <w:bCs/>
                <w:i/>
                <w:iCs/>
                <w:sz w:val="24"/>
                <w:szCs w:val="24"/>
                <w:lang w:val="en-US"/>
              </w:rPr>
            </w:pPr>
          </w:p>
        </w:tc>
      </w:tr>
      <w:tr w:rsidR="00EB0BB2" w:rsidRPr="00EB0BB2" w14:paraId="369B61C3" w14:textId="77777777" w:rsidTr="00EB0BB2">
        <w:tc>
          <w:tcPr>
            <w:tcW w:w="0" w:type="auto"/>
            <w:tcMar>
              <w:top w:w="113" w:type="dxa"/>
              <w:left w:w="113" w:type="dxa"/>
              <w:bottom w:w="113" w:type="dxa"/>
              <w:right w:w="113" w:type="dxa"/>
            </w:tcMar>
            <w:vAlign w:val="center"/>
            <w:hideMark/>
          </w:tcPr>
          <w:p w14:paraId="142366BF" w14:textId="77777777" w:rsidR="00EB0BB2" w:rsidRPr="00EB0BB2" w:rsidRDefault="00EB0BB2" w:rsidP="00EB0BB2">
            <w:pPr>
              <w:spacing w:line="240" w:lineRule="auto"/>
              <w:jc w:val="left"/>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1. Low income</w:t>
            </w:r>
          </w:p>
        </w:tc>
        <w:tc>
          <w:tcPr>
            <w:tcW w:w="0" w:type="auto"/>
            <w:tcMar>
              <w:top w:w="113" w:type="dxa"/>
              <w:left w:w="113" w:type="dxa"/>
              <w:bottom w:w="113" w:type="dxa"/>
              <w:right w:w="113" w:type="dxa"/>
            </w:tcMar>
            <w:vAlign w:val="center"/>
            <w:hideMark/>
          </w:tcPr>
          <w:p w14:paraId="2D296309"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0</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0 %</w:t>
            </w:r>
          </w:p>
        </w:tc>
        <w:tc>
          <w:tcPr>
            <w:tcW w:w="0" w:type="auto"/>
            <w:tcMar>
              <w:top w:w="113" w:type="dxa"/>
              <w:left w:w="113" w:type="dxa"/>
              <w:bottom w:w="113" w:type="dxa"/>
              <w:right w:w="113" w:type="dxa"/>
            </w:tcMar>
            <w:vAlign w:val="center"/>
            <w:hideMark/>
          </w:tcPr>
          <w:p w14:paraId="27C92C35"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3 %</w:t>
            </w:r>
          </w:p>
        </w:tc>
        <w:tc>
          <w:tcPr>
            <w:tcW w:w="0" w:type="auto"/>
            <w:tcMar>
              <w:top w:w="113" w:type="dxa"/>
              <w:left w:w="113" w:type="dxa"/>
              <w:bottom w:w="113" w:type="dxa"/>
              <w:right w:w="113" w:type="dxa"/>
            </w:tcMar>
            <w:vAlign w:val="center"/>
            <w:hideMark/>
          </w:tcPr>
          <w:p w14:paraId="6BB1C238"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3 %</w:t>
            </w:r>
          </w:p>
        </w:tc>
        <w:tc>
          <w:tcPr>
            <w:tcW w:w="0" w:type="auto"/>
            <w:tcMar>
              <w:top w:w="113" w:type="dxa"/>
              <w:left w:w="113" w:type="dxa"/>
              <w:bottom w:w="113" w:type="dxa"/>
              <w:right w:w="113" w:type="dxa"/>
            </w:tcMar>
            <w:vAlign w:val="center"/>
            <w:hideMark/>
          </w:tcPr>
          <w:p w14:paraId="1D74DDCD"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18</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19</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13.4 %</w:t>
            </w:r>
          </w:p>
        </w:tc>
        <w:tc>
          <w:tcPr>
            <w:tcW w:w="0" w:type="auto"/>
            <w:tcMar>
              <w:top w:w="113" w:type="dxa"/>
              <w:left w:w="113" w:type="dxa"/>
              <w:bottom w:w="113" w:type="dxa"/>
              <w:right w:w="113" w:type="dxa"/>
            </w:tcMar>
            <w:vAlign w:val="center"/>
            <w:hideMark/>
          </w:tcPr>
          <w:p w14:paraId="276DB3E7"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26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19.4 %</w:t>
            </w:r>
          </w:p>
        </w:tc>
      </w:tr>
      <w:tr w:rsidR="00EB0BB2" w:rsidRPr="00EB0BB2" w14:paraId="2DE7A038" w14:textId="77777777" w:rsidTr="00EB0BB2">
        <w:tc>
          <w:tcPr>
            <w:tcW w:w="0" w:type="auto"/>
            <w:tcMar>
              <w:top w:w="113" w:type="dxa"/>
              <w:left w:w="113" w:type="dxa"/>
              <w:bottom w:w="113" w:type="dxa"/>
              <w:right w:w="113" w:type="dxa"/>
            </w:tcMar>
            <w:vAlign w:val="center"/>
            <w:hideMark/>
          </w:tcPr>
          <w:p w14:paraId="02023C34" w14:textId="77777777" w:rsidR="00EB0BB2" w:rsidRPr="00EB0BB2" w:rsidRDefault="00EB0BB2" w:rsidP="00EB0BB2">
            <w:pPr>
              <w:spacing w:line="240" w:lineRule="auto"/>
              <w:jc w:val="left"/>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2. Lower middle</w:t>
            </w:r>
            <w:r w:rsidRPr="00EB0BB2">
              <w:rPr>
                <w:rFonts w:ascii="Times New Roman" w:eastAsia="Times New Roman" w:hAnsi="Times New Roman" w:cs="Times New Roman"/>
                <w:sz w:val="24"/>
                <w:szCs w:val="24"/>
                <w:lang w:val="en-US"/>
              </w:rPr>
              <w:br/>
              <w:t>income</w:t>
            </w:r>
          </w:p>
        </w:tc>
        <w:tc>
          <w:tcPr>
            <w:tcW w:w="0" w:type="auto"/>
            <w:tcMar>
              <w:top w:w="113" w:type="dxa"/>
              <w:left w:w="113" w:type="dxa"/>
              <w:bottom w:w="113" w:type="dxa"/>
              <w:right w:w="113" w:type="dxa"/>
            </w:tcMar>
            <w:vAlign w:val="center"/>
            <w:hideMark/>
          </w:tcPr>
          <w:p w14:paraId="2ACC3982"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3 %</w:t>
            </w:r>
          </w:p>
        </w:tc>
        <w:tc>
          <w:tcPr>
            <w:tcW w:w="0" w:type="auto"/>
            <w:tcMar>
              <w:top w:w="113" w:type="dxa"/>
              <w:left w:w="113" w:type="dxa"/>
              <w:bottom w:w="113" w:type="dxa"/>
              <w:right w:w="113" w:type="dxa"/>
            </w:tcMar>
            <w:vAlign w:val="center"/>
            <w:hideMark/>
          </w:tcPr>
          <w:p w14:paraId="77C706EB"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3</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3</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2.2 %</w:t>
            </w:r>
          </w:p>
        </w:tc>
        <w:tc>
          <w:tcPr>
            <w:tcW w:w="0" w:type="auto"/>
            <w:tcMar>
              <w:top w:w="113" w:type="dxa"/>
              <w:left w:w="113" w:type="dxa"/>
              <w:bottom w:w="113" w:type="dxa"/>
              <w:right w:w="113" w:type="dxa"/>
            </w:tcMar>
            <w:vAlign w:val="center"/>
            <w:hideMark/>
          </w:tcPr>
          <w:p w14:paraId="29615C49"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7</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5</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5.2 %</w:t>
            </w:r>
          </w:p>
        </w:tc>
        <w:tc>
          <w:tcPr>
            <w:tcW w:w="0" w:type="auto"/>
            <w:tcMar>
              <w:top w:w="113" w:type="dxa"/>
              <w:left w:w="113" w:type="dxa"/>
              <w:bottom w:w="113" w:type="dxa"/>
              <w:right w:w="113" w:type="dxa"/>
            </w:tcMar>
            <w:vAlign w:val="center"/>
            <w:hideMark/>
          </w:tcPr>
          <w:p w14:paraId="171E1A30"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22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16.4 %</w:t>
            </w:r>
          </w:p>
        </w:tc>
        <w:tc>
          <w:tcPr>
            <w:tcW w:w="0" w:type="auto"/>
            <w:tcMar>
              <w:top w:w="113" w:type="dxa"/>
              <w:left w:w="113" w:type="dxa"/>
              <w:bottom w:w="113" w:type="dxa"/>
              <w:right w:w="113" w:type="dxa"/>
            </w:tcMar>
            <w:vAlign w:val="center"/>
            <w:hideMark/>
          </w:tcPr>
          <w:p w14:paraId="78DF69B8"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36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36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26.8 %</w:t>
            </w:r>
          </w:p>
        </w:tc>
      </w:tr>
      <w:tr w:rsidR="00EB0BB2" w:rsidRPr="00EB0BB2" w14:paraId="4F59ECFF" w14:textId="77777777" w:rsidTr="00EB0BB2">
        <w:tc>
          <w:tcPr>
            <w:tcW w:w="0" w:type="auto"/>
            <w:tcMar>
              <w:top w:w="113" w:type="dxa"/>
              <w:left w:w="113" w:type="dxa"/>
              <w:bottom w:w="113" w:type="dxa"/>
              <w:right w:w="113" w:type="dxa"/>
            </w:tcMar>
            <w:vAlign w:val="center"/>
            <w:hideMark/>
          </w:tcPr>
          <w:p w14:paraId="29FA5F3C" w14:textId="77777777" w:rsidR="00EB0BB2" w:rsidRPr="00EB0BB2" w:rsidRDefault="00EB0BB2" w:rsidP="00EB0BB2">
            <w:pPr>
              <w:spacing w:line="240" w:lineRule="auto"/>
              <w:jc w:val="left"/>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3. Upper middle</w:t>
            </w:r>
            <w:r w:rsidRPr="00EB0BB2">
              <w:rPr>
                <w:rFonts w:ascii="Times New Roman" w:eastAsia="Times New Roman" w:hAnsi="Times New Roman" w:cs="Times New Roman"/>
                <w:sz w:val="24"/>
                <w:szCs w:val="24"/>
                <w:lang w:val="en-US"/>
              </w:rPr>
              <w:br/>
              <w:t>income</w:t>
            </w:r>
          </w:p>
        </w:tc>
        <w:tc>
          <w:tcPr>
            <w:tcW w:w="0" w:type="auto"/>
            <w:tcMar>
              <w:top w:w="113" w:type="dxa"/>
              <w:left w:w="113" w:type="dxa"/>
              <w:bottom w:w="113" w:type="dxa"/>
              <w:right w:w="113" w:type="dxa"/>
            </w:tcMar>
            <w:vAlign w:val="center"/>
            <w:hideMark/>
          </w:tcPr>
          <w:p w14:paraId="052440F0"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1.5 %</w:t>
            </w:r>
          </w:p>
        </w:tc>
        <w:tc>
          <w:tcPr>
            <w:tcW w:w="0" w:type="auto"/>
            <w:tcMar>
              <w:top w:w="113" w:type="dxa"/>
              <w:left w:w="113" w:type="dxa"/>
              <w:bottom w:w="113" w:type="dxa"/>
              <w:right w:w="113" w:type="dxa"/>
            </w:tcMar>
            <w:vAlign w:val="center"/>
            <w:hideMark/>
          </w:tcPr>
          <w:p w14:paraId="5ADBFD3F"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1.5 %</w:t>
            </w:r>
          </w:p>
        </w:tc>
        <w:tc>
          <w:tcPr>
            <w:tcW w:w="0" w:type="auto"/>
            <w:tcMar>
              <w:top w:w="113" w:type="dxa"/>
              <w:left w:w="113" w:type="dxa"/>
              <w:bottom w:w="113" w:type="dxa"/>
              <w:right w:w="113" w:type="dxa"/>
            </w:tcMar>
            <w:vAlign w:val="center"/>
            <w:hideMark/>
          </w:tcPr>
          <w:p w14:paraId="448F2D5B"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3</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5</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2.2 %</w:t>
            </w:r>
          </w:p>
        </w:tc>
        <w:tc>
          <w:tcPr>
            <w:tcW w:w="0" w:type="auto"/>
            <w:tcMar>
              <w:top w:w="113" w:type="dxa"/>
              <w:left w:w="113" w:type="dxa"/>
              <w:bottom w:w="113" w:type="dxa"/>
              <w:right w:w="113" w:type="dxa"/>
            </w:tcMar>
            <w:vAlign w:val="center"/>
            <w:hideMark/>
          </w:tcPr>
          <w:p w14:paraId="43CBE33C"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26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19.4 %</w:t>
            </w:r>
          </w:p>
        </w:tc>
        <w:tc>
          <w:tcPr>
            <w:tcW w:w="0" w:type="auto"/>
            <w:tcMar>
              <w:top w:w="113" w:type="dxa"/>
              <w:left w:w="113" w:type="dxa"/>
              <w:bottom w:w="113" w:type="dxa"/>
              <w:right w:w="113" w:type="dxa"/>
            </w:tcMar>
            <w:vAlign w:val="center"/>
            <w:hideMark/>
          </w:tcPr>
          <w:p w14:paraId="7FD95334"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33</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33</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24.6 %</w:t>
            </w:r>
          </w:p>
        </w:tc>
      </w:tr>
      <w:tr w:rsidR="00EB0BB2" w:rsidRPr="00EB0BB2" w14:paraId="0CF142C3" w14:textId="77777777" w:rsidTr="00EB0BB2">
        <w:tc>
          <w:tcPr>
            <w:tcW w:w="0" w:type="auto"/>
            <w:tcMar>
              <w:top w:w="113" w:type="dxa"/>
              <w:left w:w="113" w:type="dxa"/>
              <w:bottom w:w="113" w:type="dxa"/>
              <w:right w:w="113" w:type="dxa"/>
            </w:tcMar>
            <w:vAlign w:val="center"/>
            <w:hideMark/>
          </w:tcPr>
          <w:p w14:paraId="47E5DD42" w14:textId="77777777" w:rsidR="00EB0BB2" w:rsidRPr="00EB0BB2" w:rsidRDefault="00EB0BB2" w:rsidP="00EB0BB2">
            <w:pPr>
              <w:spacing w:line="240" w:lineRule="auto"/>
              <w:jc w:val="left"/>
              <w:rPr>
                <w:rFonts w:ascii="Times New Roman" w:eastAsia="Times New Roman" w:hAnsi="Times New Roman" w:cs="Times New Roman"/>
                <w:sz w:val="24"/>
                <w:szCs w:val="24"/>
                <w:lang w:val="en-US"/>
              </w:rPr>
            </w:pPr>
            <w:r w:rsidRPr="00EB0BB2">
              <w:rPr>
                <w:rFonts w:ascii="Times New Roman" w:eastAsia="Times New Roman" w:hAnsi="Times New Roman" w:cs="Times New Roman"/>
                <w:sz w:val="24"/>
                <w:szCs w:val="24"/>
                <w:lang w:val="en-US"/>
              </w:rPr>
              <w:t>4. High income</w:t>
            </w:r>
          </w:p>
        </w:tc>
        <w:tc>
          <w:tcPr>
            <w:tcW w:w="0" w:type="auto"/>
            <w:tcMar>
              <w:top w:w="113" w:type="dxa"/>
              <w:left w:w="113" w:type="dxa"/>
              <w:bottom w:w="113" w:type="dxa"/>
              <w:right w:w="113" w:type="dxa"/>
            </w:tcMar>
            <w:vAlign w:val="center"/>
            <w:hideMark/>
          </w:tcPr>
          <w:p w14:paraId="58661906"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1.5 %</w:t>
            </w:r>
          </w:p>
        </w:tc>
        <w:tc>
          <w:tcPr>
            <w:tcW w:w="0" w:type="auto"/>
            <w:tcMar>
              <w:top w:w="113" w:type="dxa"/>
              <w:left w:w="113" w:type="dxa"/>
              <w:bottom w:w="113" w:type="dxa"/>
              <w:right w:w="113" w:type="dxa"/>
            </w:tcMar>
            <w:vAlign w:val="center"/>
            <w:hideMark/>
          </w:tcPr>
          <w:p w14:paraId="5FDAD22B"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1</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3</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0.7 %</w:t>
            </w:r>
          </w:p>
        </w:tc>
        <w:tc>
          <w:tcPr>
            <w:tcW w:w="0" w:type="auto"/>
            <w:tcMar>
              <w:top w:w="113" w:type="dxa"/>
              <w:left w:w="113" w:type="dxa"/>
              <w:bottom w:w="113" w:type="dxa"/>
              <w:right w:w="113" w:type="dxa"/>
            </w:tcMar>
            <w:vAlign w:val="center"/>
            <w:hideMark/>
          </w:tcPr>
          <w:p w14:paraId="68BDB767"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5</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6</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3.7 %</w:t>
            </w:r>
          </w:p>
        </w:tc>
        <w:tc>
          <w:tcPr>
            <w:tcW w:w="0" w:type="auto"/>
            <w:tcMar>
              <w:top w:w="113" w:type="dxa"/>
              <w:left w:w="113" w:type="dxa"/>
              <w:bottom w:w="113" w:type="dxa"/>
              <w:right w:w="113" w:type="dxa"/>
            </w:tcMar>
            <w:vAlign w:val="center"/>
            <w:hideMark/>
          </w:tcPr>
          <w:p w14:paraId="5131C6F4"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31</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28</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23.1 %</w:t>
            </w:r>
          </w:p>
        </w:tc>
        <w:tc>
          <w:tcPr>
            <w:tcW w:w="0" w:type="auto"/>
            <w:tcMar>
              <w:top w:w="113" w:type="dxa"/>
              <w:left w:w="113" w:type="dxa"/>
              <w:bottom w:w="113" w:type="dxa"/>
              <w:right w:w="113" w:type="dxa"/>
            </w:tcMar>
            <w:vAlign w:val="center"/>
            <w:hideMark/>
          </w:tcPr>
          <w:p w14:paraId="7DAA64FD"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39</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39</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29 %</w:t>
            </w:r>
          </w:p>
        </w:tc>
      </w:tr>
      <w:tr w:rsidR="00EB0BB2" w:rsidRPr="00EB0BB2" w14:paraId="3845DA2C" w14:textId="77777777" w:rsidTr="00EB0BB2">
        <w:tc>
          <w:tcPr>
            <w:tcW w:w="0" w:type="auto"/>
            <w:tcBorders>
              <w:bottom w:val="double" w:sz="6" w:space="0" w:color="auto"/>
            </w:tcBorders>
            <w:tcMar>
              <w:top w:w="113" w:type="dxa"/>
              <w:left w:w="113" w:type="dxa"/>
              <w:bottom w:w="113" w:type="dxa"/>
              <w:right w:w="113" w:type="dxa"/>
            </w:tcMar>
            <w:vAlign w:val="center"/>
            <w:hideMark/>
          </w:tcPr>
          <w:p w14:paraId="1E9AE844" w14:textId="77777777" w:rsidR="00EB0BB2" w:rsidRPr="00EB0BB2" w:rsidRDefault="00EB0BB2" w:rsidP="00EB0BB2">
            <w:pPr>
              <w:spacing w:line="240" w:lineRule="auto"/>
              <w:jc w:val="left"/>
              <w:rPr>
                <w:rFonts w:ascii="Times New Roman" w:eastAsia="Times New Roman" w:hAnsi="Times New Roman" w:cs="Times New Roman"/>
                <w:b/>
                <w:bCs/>
                <w:i/>
                <w:iCs/>
                <w:sz w:val="24"/>
                <w:szCs w:val="24"/>
                <w:lang w:val="en-US"/>
              </w:rPr>
            </w:pPr>
            <w:r w:rsidRPr="00EB0BB2">
              <w:rPr>
                <w:rFonts w:ascii="Times New Roman" w:eastAsia="Times New Roman" w:hAnsi="Times New Roman" w:cs="Times New Roman"/>
                <w:b/>
                <w:bCs/>
                <w:i/>
                <w:iCs/>
                <w:sz w:val="24"/>
                <w:szCs w:val="24"/>
                <w:lang w:val="en-US"/>
              </w:rPr>
              <w:t>Total</w:t>
            </w:r>
          </w:p>
        </w:tc>
        <w:tc>
          <w:tcPr>
            <w:tcW w:w="0" w:type="auto"/>
            <w:tcBorders>
              <w:bottom w:val="double" w:sz="6" w:space="0" w:color="auto"/>
            </w:tcBorders>
            <w:tcMar>
              <w:top w:w="113" w:type="dxa"/>
              <w:left w:w="113" w:type="dxa"/>
              <w:bottom w:w="113" w:type="dxa"/>
              <w:right w:w="113" w:type="dxa"/>
            </w:tcMar>
            <w:vAlign w:val="center"/>
            <w:hideMark/>
          </w:tcPr>
          <w:p w14:paraId="37CD3FBC"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8</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8</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6 %</w:t>
            </w:r>
          </w:p>
        </w:tc>
        <w:tc>
          <w:tcPr>
            <w:tcW w:w="0" w:type="auto"/>
            <w:tcBorders>
              <w:bottom w:val="double" w:sz="6" w:space="0" w:color="auto"/>
            </w:tcBorders>
            <w:tcMar>
              <w:top w:w="113" w:type="dxa"/>
              <w:left w:w="113" w:type="dxa"/>
              <w:bottom w:w="113" w:type="dxa"/>
              <w:right w:w="113" w:type="dxa"/>
            </w:tcMar>
            <w:vAlign w:val="center"/>
            <w:hideMark/>
          </w:tcPr>
          <w:p w14:paraId="5812F0A1"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10</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10</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7.4 %</w:t>
            </w:r>
          </w:p>
        </w:tc>
        <w:tc>
          <w:tcPr>
            <w:tcW w:w="0" w:type="auto"/>
            <w:tcBorders>
              <w:bottom w:val="double" w:sz="6" w:space="0" w:color="auto"/>
            </w:tcBorders>
            <w:tcMar>
              <w:top w:w="113" w:type="dxa"/>
              <w:left w:w="113" w:type="dxa"/>
              <w:bottom w:w="113" w:type="dxa"/>
              <w:right w:w="113" w:type="dxa"/>
            </w:tcMar>
            <w:vAlign w:val="center"/>
            <w:hideMark/>
          </w:tcPr>
          <w:p w14:paraId="69A62874"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19</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19</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14.1 %</w:t>
            </w:r>
          </w:p>
        </w:tc>
        <w:tc>
          <w:tcPr>
            <w:tcW w:w="0" w:type="auto"/>
            <w:tcBorders>
              <w:bottom w:val="double" w:sz="6" w:space="0" w:color="auto"/>
            </w:tcBorders>
            <w:tcMar>
              <w:top w:w="113" w:type="dxa"/>
              <w:left w:w="113" w:type="dxa"/>
              <w:bottom w:w="113" w:type="dxa"/>
              <w:right w:w="113" w:type="dxa"/>
            </w:tcMar>
            <w:vAlign w:val="center"/>
            <w:hideMark/>
          </w:tcPr>
          <w:p w14:paraId="266ACD6C"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97</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97</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72.3 %</w:t>
            </w:r>
          </w:p>
        </w:tc>
        <w:tc>
          <w:tcPr>
            <w:tcW w:w="0" w:type="auto"/>
            <w:tcBorders>
              <w:bottom w:val="double" w:sz="6" w:space="0" w:color="auto"/>
            </w:tcBorders>
            <w:tcMar>
              <w:top w:w="113" w:type="dxa"/>
              <w:left w:w="113" w:type="dxa"/>
              <w:bottom w:w="113" w:type="dxa"/>
              <w:right w:w="113" w:type="dxa"/>
            </w:tcMar>
            <w:vAlign w:val="center"/>
            <w:hideMark/>
          </w:tcPr>
          <w:p w14:paraId="6A57758F" w14:textId="77777777" w:rsidR="00EB0BB2" w:rsidRPr="00EB0BB2" w:rsidRDefault="00EB0BB2" w:rsidP="00EB0BB2">
            <w:pPr>
              <w:spacing w:line="240" w:lineRule="auto"/>
              <w:jc w:val="center"/>
              <w:rPr>
                <w:rFonts w:ascii="Times New Roman" w:eastAsia="Times New Roman" w:hAnsi="Times New Roman" w:cs="Times New Roman"/>
                <w:sz w:val="24"/>
                <w:szCs w:val="24"/>
                <w:lang w:val="en-US"/>
              </w:rPr>
            </w:pPr>
            <w:r w:rsidRPr="00EB0BB2">
              <w:rPr>
                <w:rFonts w:ascii="Times New Roman" w:eastAsia="Times New Roman" w:hAnsi="Times New Roman" w:cs="Times New Roman"/>
                <w:color w:val="000000"/>
                <w:sz w:val="24"/>
                <w:szCs w:val="24"/>
                <w:lang w:val="en-US"/>
              </w:rPr>
              <w:t>134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339999"/>
                <w:sz w:val="24"/>
                <w:szCs w:val="24"/>
                <w:lang w:val="en-US"/>
              </w:rPr>
              <w:t>134</w:t>
            </w:r>
            <w:r w:rsidRPr="00EB0BB2">
              <w:rPr>
                <w:rFonts w:ascii="Times New Roman" w:eastAsia="Times New Roman" w:hAnsi="Times New Roman" w:cs="Times New Roman"/>
                <w:sz w:val="24"/>
                <w:szCs w:val="24"/>
                <w:lang w:val="en-US"/>
              </w:rPr>
              <w:br/>
            </w:r>
            <w:r w:rsidRPr="00EB0BB2">
              <w:rPr>
                <w:rFonts w:ascii="Times New Roman" w:eastAsia="Times New Roman" w:hAnsi="Times New Roman" w:cs="Times New Roman"/>
                <w:color w:val="993333"/>
                <w:sz w:val="24"/>
                <w:szCs w:val="24"/>
                <w:lang w:val="en-US"/>
              </w:rPr>
              <w:t>100 %</w:t>
            </w:r>
          </w:p>
        </w:tc>
      </w:tr>
      <w:tr w:rsidR="00EB0BB2" w:rsidRPr="00EB0BB2" w14:paraId="3A624C1C" w14:textId="77777777" w:rsidTr="00EB0BB2">
        <w:tc>
          <w:tcPr>
            <w:tcW w:w="0" w:type="auto"/>
            <w:gridSpan w:val="6"/>
            <w:tcMar>
              <w:top w:w="113" w:type="dxa"/>
              <w:left w:w="113" w:type="dxa"/>
              <w:bottom w:w="113" w:type="dxa"/>
              <w:right w:w="113" w:type="dxa"/>
            </w:tcMar>
            <w:vAlign w:val="center"/>
            <w:hideMark/>
          </w:tcPr>
          <w:p w14:paraId="6ACFA10C" w14:textId="77777777" w:rsidR="00EB0BB2" w:rsidRPr="00EB0BB2" w:rsidRDefault="00EB0BB2" w:rsidP="00EB0BB2">
            <w:pPr>
              <w:spacing w:line="240" w:lineRule="auto"/>
              <w:jc w:val="right"/>
              <w:rPr>
                <w:rFonts w:ascii="Times New Roman" w:eastAsia="Times New Roman" w:hAnsi="Times New Roman" w:cs="Times New Roman"/>
                <w:i/>
                <w:iCs/>
                <w:lang w:val="en-US"/>
              </w:rPr>
            </w:pPr>
            <w:r w:rsidRPr="00EB0BB2">
              <w:rPr>
                <w:rFonts w:ascii="Times New Roman" w:eastAsia="Times New Roman" w:hAnsi="Times New Roman" w:cs="Times New Roman"/>
                <w:i/>
                <w:iCs/>
                <w:lang w:val="en-US"/>
              </w:rPr>
              <w:t xml:space="preserve">Fisher's p=.442 · </w:t>
            </w:r>
            <w:proofErr w:type="spellStart"/>
            <w:r w:rsidRPr="00EB0BB2">
              <w:rPr>
                <w:rFonts w:ascii="Times New Roman" w:eastAsia="Times New Roman" w:hAnsi="Times New Roman" w:cs="Times New Roman"/>
                <w:i/>
                <w:iCs/>
                <w:lang w:val="en-US"/>
              </w:rPr>
              <w:t>df</w:t>
            </w:r>
            <w:proofErr w:type="spellEnd"/>
            <w:r w:rsidRPr="00EB0BB2">
              <w:rPr>
                <w:rFonts w:ascii="Times New Roman" w:eastAsia="Times New Roman" w:hAnsi="Times New Roman" w:cs="Times New Roman"/>
                <w:i/>
                <w:iCs/>
                <w:lang w:val="en-US"/>
              </w:rPr>
              <w:t xml:space="preserve">=9 · </w:t>
            </w:r>
            <w:proofErr w:type="spellStart"/>
            <w:r w:rsidRPr="00EB0BB2">
              <w:rPr>
                <w:rFonts w:ascii="Times New Roman" w:eastAsia="Times New Roman" w:hAnsi="Times New Roman" w:cs="Times New Roman"/>
                <w:i/>
                <w:iCs/>
                <w:lang w:val="en-US"/>
              </w:rPr>
              <w:t>Φ</w:t>
            </w:r>
            <w:r w:rsidRPr="00EB0BB2">
              <w:rPr>
                <w:rFonts w:ascii="Times New Roman" w:eastAsia="Times New Roman" w:hAnsi="Times New Roman" w:cs="Times New Roman"/>
                <w:i/>
                <w:iCs/>
                <w:vertAlign w:val="subscript"/>
                <w:lang w:val="en-US"/>
              </w:rPr>
              <w:t>c</w:t>
            </w:r>
            <w:proofErr w:type="spellEnd"/>
            <w:r w:rsidRPr="00EB0BB2">
              <w:rPr>
                <w:rFonts w:ascii="Times New Roman" w:eastAsia="Times New Roman" w:hAnsi="Times New Roman" w:cs="Times New Roman"/>
                <w:i/>
                <w:iCs/>
                <w:lang w:val="en-US"/>
              </w:rPr>
              <w:t>=.152</w:t>
            </w:r>
          </w:p>
        </w:tc>
      </w:tr>
    </w:tbl>
    <w:p w14:paraId="68DA563F" w14:textId="77777777" w:rsidR="00EB0BB2" w:rsidRDefault="00EB0BB2" w:rsidP="005154B6">
      <w:pPr>
        <w:pStyle w:val="ListParagraph"/>
        <w:spacing w:line="360" w:lineRule="auto"/>
        <w:ind w:left="0" w:firstLine="709"/>
        <w:rPr>
          <w:b/>
        </w:rPr>
      </w:pPr>
    </w:p>
    <w:p w14:paraId="5BAEB132" w14:textId="77777777" w:rsidR="00A912F3" w:rsidRDefault="00A912F3" w:rsidP="005154B6">
      <w:pPr>
        <w:pStyle w:val="ListParagraph"/>
        <w:spacing w:line="360" w:lineRule="auto"/>
        <w:ind w:left="0" w:firstLine="709"/>
        <w:rPr>
          <w:b/>
        </w:rPr>
      </w:pPr>
    </w:p>
    <w:p w14:paraId="1988D8CB" w14:textId="77777777" w:rsidR="005154B6" w:rsidRPr="00715294" w:rsidRDefault="005154B6" w:rsidP="000A46BE">
      <w:pPr>
        <w:spacing w:line="360" w:lineRule="auto"/>
      </w:pPr>
    </w:p>
    <w:p w14:paraId="6597D8DE" w14:textId="77777777" w:rsidR="000A46BE" w:rsidRPr="005731F8" w:rsidRDefault="000A46BE" w:rsidP="000A46BE">
      <w:pPr>
        <w:spacing w:line="360" w:lineRule="auto"/>
        <w:rPr>
          <w:b/>
          <w:lang w:val="en-US"/>
        </w:rPr>
      </w:pPr>
      <w:bookmarkStart w:id="15" w:name="_Hlk33977167"/>
      <w:proofErr w:type="spellStart"/>
      <w:r w:rsidRPr="005731F8">
        <w:rPr>
          <w:b/>
          <w:lang w:val="en-US"/>
        </w:rPr>
        <w:lastRenderedPageBreak/>
        <w:t>Referências</w:t>
      </w:r>
      <w:proofErr w:type="spellEnd"/>
    </w:p>
    <w:bookmarkEnd w:id="15"/>
    <w:p w14:paraId="0D67B80F" w14:textId="77777777" w:rsidR="000A46BE" w:rsidRPr="005731F8" w:rsidRDefault="000A46BE" w:rsidP="000A46BE">
      <w:pPr>
        <w:spacing w:line="360" w:lineRule="auto"/>
        <w:rPr>
          <w:b/>
          <w:lang w:val="en-US"/>
        </w:rPr>
      </w:pPr>
    </w:p>
    <w:p w14:paraId="18F199A0" w14:textId="634614D9" w:rsidR="00DF3D0C" w:rsidRPr="00DF3D0C" w:rsidRDefault="00DF3D0C" w:rsidP="00DF3D0C">
      <w:pPr>
        <w:pStyle w:val="NormalWeb"/>
        <w:spacing w:before="0" w:beforeAutospacing="0" w:after="0" w:afterAutospacing="0"/>
        <w:rPr>
          <w:rFonts w:ascii="Arial" w:eastAsiaTheme="minorHAnsi" w:hAnsi="Arial" w:cs="Arial"/>
          <w:sz w:val="22"/>
          <w:szCs w:val="22"/>
          <w:lang w:val="pt-BR"/>
        </w:rPr>
      </w:pPr>
      <w:r w:rsidRPr="005731F8">
        <w:rPr>
          <w:rFonts w:ascii="Arial" w:eastAsiaTheme="minorHAnsi" w:hAnsi="Arial" w:cs="Arial"/>
          <w:sz w:val="22"/>
          <w:szCs w:val="22"/>
        </w:rPr>
        <w:t xml:space="preserve">Clemens, M. A. 2011. Economics and Emigration: Trillion Dollar Bills on the Sidewalk? </w:t>
      </w:r>
      <w:proofErr w:type="spellStart"/>
      <w:r w:rsidRPr="00DF3D0C">
        <w:rPr>
          <w:rFonts w:ascii="Arial" w:eastAsiaTheme="minorHAnsi" w:hAnsi="Arial" w:cs="Arial"/>
          <w:sz w:val="22"/>
          <w:szCs w:val="22"/>
          <w:lang w:val="pt-BR"/>
        </w:rPr>
        <w:t>Journal</w:t>
      </w:r>
      <w:proofErr w:type="spellEnd"/>
      <w:r w:rsidRPr="00DF3D0C">
        <w:rPr>
          <w:rFonts w:ascii="Arial" w:eastAsiaTheme="minorHAnsi" w:hAnsi="Arial" w:cs="Arial"/>
          <w:sz w:val="22"/>
          <w:szCs w:val="22"/>
          <w:lang w:val="pt-BR"/>
        </w:rPr>
        <w:t xml:space="preserve"> </w:t>
      </w:r>
      <w:proofErr w:type="spellStart"/>
      <w:r w:rsidRPr="00DF3D0C">
        <w:rPr>
          <w:rFonts w:ascii="Arial" w:eastAsiaTheme="minorHAnsi" w:hAnsi="Arial" w:cs="Arial"/>
          <w:sz w:val="22"/>
          <w:szCs w:val="22"/>
          <w:lang w:val="pt-BR"/>
        </w:rPr>
        <w:t>of</w:t>
      </w:r>
      <w:proofErr w:type="spellEnd"/>
      <w:r w:rsidRPr="00DF3D0C">
        <w:rPr>
          <w:rFonts w:ascii="Arial" w:eastAsiaTheme="minorHAnsi" w:hAnsi="Arial" w:cs="Arial"/>
          <w:sz w:val="22"/>
          <w:szCs w:val="22"/>
          <w:lang w:val="pt-BR"/>
        </w:rPr>
        <w:t xml:space="preserve"> Economic Perspectives 25 (3): 83–106.</w:t>
      </w:r>
    </w:p>
    <w:p w14:paraId="079F4C92" w14:textId="77777777" w:rsidR="00DF3D0C" w:rsidRPr="00DF3D0C" w:rsidRDefault="00DF3D0C" w:rsidP="00DF3D0C">
      <w:pPr>
        <w:spacing w:line="240" w:lineRule="auto"/>
        <w:jc w:val="left"/>
      </w:pPr>
    </w:p>
    <w:p w14:paraId="05492E6C" w14:textId="77777777" w:rsidR="00DF3D0C" w:rsidRPr="00DF3D0C" w:rsidRDefault="00DF3D0C" w:rsidP="00DF3D0C">
      <w:pPr>
        <w:spacing w:line="240" w:lineRule="auto"/>
        <w:jc w:val="left"/>
      </w:pPr>
      <w:r w:rsidRPr="00DF3D0C">
        <w:t xml:space="preserve">Fávero, L. P.; </w:t>
      </w:r>
      <w:proofErr w:type="spellStart"/>
      <w:r w:rsidRPr="00DF3D0C">
        <w:t>Belfiore</w:t>
      </w:r>
      <w:proofErr w:type="spellEnd"/>
      <w:r w:rsidRPr="00DF3D0C">
        <w:t xml:space="preserve">, P. 2021. Manual de Análise de Dados - Estatística e Modelagem Multivariada com Excel, SPSS e </w:t>
      </w:r>
      <w:proofErr w:type="spellStart"/>
      <w:r w:rsidRPr="00DF3D0C">
        <w:t>Stata</w:t>
      </w:r>
      <w:proofErr w:type="spellEnd"/>
      <w:r w:rsidRPr="00DF3D0C">
        <w:t>. 1ed. Editora LTC, Rio de Janeiro, RJ, Brasil.</w:t>
      </w:r>
    </w:p>
    <w:p w14:paraId="63868D3F" w14:textId="77777777" w:rsidR="00DF3D0C" w:rsidRPr="00DF3D0C" w:rsidRDefault="00DF3D0C" w:rsidP="00DF3D0C">
      <w:pPr>
        <w:spacing w:line="240" w:lineRule="auto"/>
        <w:jc w:val="left"/>
      </w:pPr>
    </w:p>
    <w:p w14:paraId="3BE58394" w14:textId="77777777" w:rsidR="00DF3D0C" w:rsidRPr="00DF3D0C" w:rsidRDefault="00DF3D0C" w:rsidP="00DF3D0C">
      <w:pPr>
        <w:spacing w:line="240" w:lineRule="auto"/>
        <w:jc w:val="left"/>
      </w:pPr>
      <w:proofErr w:type="spellStart"/>
      <w:r w:rsidRPr="00DF3D0C">
        <w:t>Fiddian-Qasmiyeh</w:t>
      </w:r>
      <w:proofErr w:type="spellEnd"/>
      <w:r w:rsidRPr="00DF3D0C">
        <w:t xml:space="preserve">, E.; </w:t>
      </w:r>
      <w:proofErr w:type="spellStart"/>
      <w:r w:rsidRPr="00DF3D0C">
        <w:t>Loescher</w:t>
      </w:r>
      <w:proofErr w:type="spellEnd"/>
      <w:r w:rsidRPr="00DF3D0C">
        <w:t xml:space="preserve">, G.; </w:t>
      </w:r>
      <w:proofErr w:type="spellStart"/>
      <w:r w:rsidRPr="00DF3D0C">
        <w:t>Long</w:t>
      </w:r>
      <w:proofErr w:type="spellEnd"/>
      <w:r w:rsidRPr="00DF3D0C">
        <w:t xml:space="preserve">, K.; </w:t>
      </w:r>
      <w:proofErr w:type="spellStart"/>
      <w:r w:rsidRPr="00DF3D0C">
        <w:t>Sigona</w:t>
      </w:r>
      <w:proofErr w:type="spellEnd"/>
      <w:r w:rsidRPr="00DF3D0C">
        <w:t xml:space="preserve">, N. 2014. </w:t>
      </w:r>
      <w:r w:rsidRPr="005731F8">
        <w:rPr>
          <w:lang w:val="en-US"/>
        </w:rPr>
        <w:t xml:space="preserve">The Oxford Handbook of Refugee and Forced Migration Studies. </w:t>
      </w:r>
      <w:r w:rsidRPr="00DF3D0C">
        <w:t xml:space="preserve">1ed. Editora Oxford </w:t>
      </w:r>
      <w:proofErr w:type="spellStart"/>
      <w:r w:rsidRPr="00DF3D0C">
        <w:t>University</w:t>
      </w:r>
      <w:proofErr w:type="spellEnd"/>
      <w:r w:rsidRPr="00DF3D0C">
        <w:t xml:space="preserve"> Press, Oxford, Reino Unido.</w:t>
      </w:r>
    </w:p>
    <w:p w14:paraId="6EF58880" w14:textId="77777777" w:rsidR="00DF3D0C" w:rsidRPr="00DF3D0C" w:rsidRDefault="00DF3D0C" w:rsidP="00DF3D0C">
      <w:pPr>
        <w:spacing w:line="240" w:lineRule="auto"/>
        <w:jc w:val="left"/>
      </w:pPr>
    </w:p>
    <w:p w14:paraId="5C827821" w14:textId="77777777" w:rsidR="00DF3D0C" w:rsidRPr="005731F8" w:rsidRDefault="00DF3D0C" w:rsidP="00DF3D0C">
      <w:pPr>
        <w:spacing w:line="240" w:lineRule="auto"/>
        <w:jc w:val="left"/>
        <w:rPr>
          <w:lang w:val="en-US"/>
        </w:rPr>
      </w:pPr>
      <w:r w:rsidRPr="00DF3D0C">
        <w:t xml:space="preserve">Fonda, E. A. 1969. A diáspora judaica em Roma das origens até Nero. </w:t>
      </w:r>
      <w:proofErr w:type="spellStart"/>
      <w:r w:rsidRPr="005731F8">
        <w:rPr>
          <w:lang w:val="en-US"/>
        </w:rPr>
        <w:t>Editora</w:t>
      </w:r>
      <w:proofErr w:type="spellEnd"/>
      <w:r w:rsidRPr="005731F8">
        <w:rPr>
          <w:lang w:val="en-US"/>
        </w:rPr>
        <w:t xml:space="preserve"> </w:t>
      </w:r>
      <w:proofErr w:type="spellStart"/>
      <w:r w:rsidRPr="005731F8">
        <w:rPr>
          <w:lang w:val="en-US"/>
        </w:rPr>
        <w:t>Revista</w:t>
      </w:r>
      <w:proofErr w:type="spellEnd"/>
      <w:r w:rsidRPr="005731F8">
        <w:rPr>
          <w:lang w:val="en-US"/>
        </w:rPr>
        <w:t xml:space="preserve"> de </w:t>
      </w:r>
      <w:proofErr w:type="spellStart"/>
      <w:r w:rsidRPr="005731F8">
        <w:rPr>
          <w:lang w:val="en-US"/>
        </w:rPr>
        <w:t>História</w:t>
      </w:r>
      <w:proofErr w:type="spellEnd"/>
      <w:r w:rsidRPr="005731F8">
        <w:rPr>
          <w:lang w:val="en-US"/>
        </w:rPr>
        <w:t>, [S. l.], v. 39, n. 79, p. 39-50</w:t>
      </w:r>
    </w:p>
    <w:p w14:paraId="14477DE8" w14:textId="77777777" w:rsidR="00DF3D0C" w:rsidRPr="005731F8" w:rsidRDefault="00DF3D0C" w:rsidP="00DF3D0C">
      <w:pPr>
        <w:spacing w:line="240" w:lineRule="auto"/>
        <w:jc w:val="left"/>
        <w:rPr>
          <w:lang w:val="en-US"/>
        </w:rPr>
      </w:pPr>
    </w:p>
    <w:p w14:paraId="15B5E0AF" w14:textId="77777777" w:rsidR="00DF3D0C" w:rsidRPr="005731F8" w:rsidRDefault="00DF3D0C" w:rsidP="00DF3D0C">
      <w:pPr>
        <w:spacing w:line="240" w:lineRule="auto"/>
        <w:jc w:val="left"/>
        <w:rPr>
          <w:lang w:val="en-US"/>
        </w:rPr>
      </w:pPr>
      <w:r w:rsidRPr="005731F8">
        <w:rPr>
          <w:lang w:val="en-US"/>
        </w:rPr>
        <w:t xml:space="preserve">Global Knowledge Partnership for Migration and Development [KNOMAD]. </w:t>
      </w:r>
      <w:r w:rsidRPr="00DF3D0C">
        <w:t xml:space="preserve">2020. </w:t>
      </w:r>
      <w:proofErr w:type="spellStart"/>
      <w:r w:rsidRPr="00DF3D0C">
        <w:t>Migration</w:t>
      </w:r>
      <w:proofErr w:type="spellEnd"/>
      <w:r w:rsidRPr="00DF3D0C">
        <w:t xml:space="preserve"> </w:t>
      </w:r>
      <w:proofErr w:type="spellStart"/>
      <w:r w:rsidRPr="00DF3D0C">
        <w:t>and</w:t>
      </w:r>
      <w:proofErr w:type="spellEnd"/>
      <w:r w:rsidRPr="00DF3D0C">
        <w:t xml:space="preserve"> </w:t>
      </w:r>
      <w:proofErr w:type="spellStart"/>
      <w:r w:rsidRPr="00DF3D0C">
        <w:t>the</w:t>
      </w:r>
      <w:proofErr w:type="spellEnd"/>
      <w:r w:rsidRPr="00DF3D0C">
        <w:t xml:space="preserve"> Law. </w:t>
      </w:r>
      <w:r w:rsidRPr="005731F8">
        <w:rPr>
          <w:lang w:val="en-US"/>
        </w:rPr>
        <w:t>Global Knowledge Partnership on Migration and Development (KNOMAD), World Bank, Washington, DC.</w:t>
      </w:r>
    </w:p>
    <w:p w14:paraId="7D796446" w14:textId="77777777" w:rsidR="00DF3D0C" w:rsidRPr="005731F8" w:rsidRDefault="00DF3D0C" w:rsidP="00DF3D0C">
      <w:pPr>
        <w:spacing w:line="240" w:lineRule="auto"/>
        <w:jc w:val="left"/>
        <w:rPr>
          <w:lang w:val="en-US"/>
        </w:rPr>
      </w:pPr>
    </w:p>
    <w:p w14:paraId="3508D54E" w14:textId="77777777" w:rsidR="00DF3D0C" w:rsidRPr="00DF3D0C" w:rsidRDefault="00DF3D0C" w:rsidP="00DF3D0C">
      <w:pPr>
        <w:spacing w:line="240" w:lineRule="auto"/>
        <w:jc w:val="left"/>
      </w:pPr>
      <w:r w:rsidRPr="005731F8">
        <w:rPr>
          <w:lang w:val="en-US"/>
        </w:rPr>
        <w:t xml:space="preserve">Manning, P. 2013. Migration in World History. </w:t>
      </w:r>
      <w:r w:rsidRPr="00DF3D0C">
        <w:t xml:space="preserve">2ed. Editora </w:t>
      </w:r>
      <w:proofErr w:type="spellStart"/>
      <w:r w:rsidRPr="00DF3D0C">
        <w:t>Routledge</w:t>
      </w:r>
      <w:proofErr w:type="spellEnd"/>
      <w:r w:rsidRPr="00DF3D0C">
        <w:t>, Nova Iorque, NY, USA.</w:t>
      </w:r>
    </w:p>
    <w:p w14:paraId="2EEBDF30" w14:textId="77777777" w:rsidR="00DF3D0C" w:rsidRPr="00DF3D0C" w:rsidRDefault="00DF3D0C" w:rsidP="00DF3D0C">
      <w:pPr>
        <w:spacing w:line="240" w:lineRule="auto"/>
        <w:jc w:val="left"/>
      </w:pPr>
    </w:p>
    <w:p w14:paraId="29DE03B7" w14:textId="77777777" w:rsidR="00DF3D0C" w:rsidRPr="00DF3D0C" w:rsidRDefault="00DF3D0C" w:rsidP="00DF3D0C">
      <w:pPr>
        <w:spacing w:line="240" w:lineRule="auto"/>
        <w:jc w:val="left"/>
      </w:pPr>
      <w:proofErr w:type="spellStart"/>
      <w:r w:rsidRPr="005731F8">
        <w:rPr>
          <w:lang w:val="en-US"/>
        </w:rPr>
        <w:t>Marfleet</w:t>
      </w:r>
      <w:proofErr w:type="spellEnd"/>
      <w:r w:rsidRPr="005731F8">
        <w:rPr>
          <w:lang w:val="en-US"/>
        </w:rPr>
        <w:t xml:space="preserve">, P. 2007. Refugees and history: why we must address the past. </w:t>
      </w:r>
      <w:proofErr w:type="spellStart"/>
      <w:r w:rsidRPr="00DF3D0C">
        <w:t>Refugee</w:t>
      </w:r>
      <w:proofErr w:type="spellEnd"/>
      <w:r w:rsidRPr="00DF3D0C">
        <w:t xml:space="preserve"> </w:t>
      </w:r>
      <w:proofErr w:type="spellStart"/>
      <w:r w:rsidRPr="00DF3D0C">
        <w:t>Survey</w:t>
      </w:r>
      <w:proofErr w:type="spellEnd"/>
      <w:r w:rsidRPr="00DF3D0C">
        <w:t xml:space="preserve"> </w:t>
      </w:r>
      <w:proofErr w:type="spellStart"/>
      <w:r w:rsidRPr="00DF3D0C">
        <w:t>Quarterly</w:t>
      </w:r>
      <w:proofErr w:type="spellEnd"/>
      <w:r w:rsidRPr="00DF3D0C">
        <w:t xml:space="preserve"> 26: 136-148</w:t>
      </w:r>
    </w:p>
    <w:p w14:paraId="2B68FF08" w14:textId="77777777" w:rsidR="00DF3D0C" w:rsidRDefault="00DF3D0C" w:rsidP="000A46BE">
      <w:pPr>
        <w:spacing w:line="360" w:lineRule="auto"/>
      </w:pPr>
    </w:p>
    <w:p w14:paraId="558AA7AF" w14:textId="129AA945" w:rsidR="00551EA4" w:rsidRPr="00800FF0" w:rsidRDefault="00551EA4" w:rsidP="00CB4C42">
      <w:pPr>
        <w:spacing w:line="360" w:lineRule="auto"/>
        <w:rPr>
          <w:color w:val="FF0000"/>
        </w:rPr>
      </w:pPr>
    </w:p>
    <w:sectPr w:rsidR="00551EA4" w:rsidRPr="00800FF0" w:rsidSect="00EE21D2">
      <w:headerReference w:type="default" r:id="rId16"/>
      <w:footerReference w:type="default" r:id="rId17"/>
      <w:footerReference w:type="first" r:id="rId18"/>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09A2B" w14:textId="77777777" w:rsidR="00114D94" w:rsidRDefault="00114D94" w:rsidP="005F5FEB">
      <w:pPr>
        <w:spacing w:line="240" w:lineRule="auto"/>
      </w:pPr>
      <w:r>
        <w:separator/>
      </w:r>
    </w:p>
  </w:endnote>
  <w:endnote w:type="continuationSeparator" w:id="0">
    <w:p w14:paraId="4F3F8C66" w14:textId="77777777" w:rsidR="00114D94" w:rsidRDefault="00114D94"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Footer"/>
          <w:jc w:val="right"/>
        </w:pPr>
      </w:p>
    </w:sdtContent>
  </w:sdt>
  <w:p w14:paraId="450CB917" w14:textId="77777777" w:rsidR="0094025E" w:rsidRDefault="009402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Footer"/>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Footer"/>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Footer"/>
      <w:jc w:val="right"/>
    </w:pPr>
  </w:p>
  <w:p w14:paraId="05550BF1" w14:textId="77777777" w:rsidR="0094025E" w:rsidRDefault="00940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F018C" w14:textId="77777777" w:rsidR="00114D94" w:rsidRDefault="00114D94" w:rsidP="005F5FEB">
      <w:pPr>
        <w:spacing w:line="240" w:lineRule="auto"/>
      </w:pPr>
      <w:bookmarkStart w:id="0" w:name="_Hlk493588901"/>
      <w:bookmarkEnd w:id="0"/>
      <w:r>
        <w:separator/>
      </w:r>
    </w:p>
  </w:footnote>
  <w:footnote w:type="continuationSeparator" w:id="0">
    <w:p w14:paraId="7B378162" w14:textId="77777777" w:rsidR="00114D94" w:rsidRDefault="00114D94"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NoSpacing"/>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3F0D17C0" w:rsidR="00D92CD6" w:rsidRPr="00D52F94" w:rsidRDefault="008F2AC4" w:rsidP="00D92CD6">
    <w:pPr>
      <w:pStyle w:val="NoSpacing"/>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657A62">
      <w:rPr>
        <w:sz w:val="16"/>
        <w:szCs w:val="17"/>
      </w:rPr>
      <w:br/>
      <w:t xml:space="preserve">Data Science </w:t>
    </w:r>
    <w:proofErr w:type="spellStart"/>
    <w:r w:rsidR="00657A62">
      <w:rPr>
        <w:sz w:val="16"/>
        <w:szCs w:val="17"/>
      </w:rPr>
      <w:t>and</w:t>
    </w:r>
    <w:proofErr w:type="spellEnd"/>
    <w:r w:rsidR="00657A62">
      <w:rPr>
        <w:sz w:val="16"/>
        <w:szCs w:val="17"/>
      </w:rPr>
      <w:t xml:space="preserve"> </w:t>
    </w:r>
    <w:proofErr w:type="spellStart"/>
    <w:r w:rsidR="00657A62">
      <w:rPr>
        <w:sz w:val="16"/>
        <w:szCs w:val="17"/>
      </w:rPr>
      <w:t>Analytics</w:t>
    </w:r>
    <w:proofErr w:type="spellEnd"/>
    <w:r w:rsidR="00EB5E64">
      <w:rPr>
        <w:sz w:val="16"/>
        <w:szCs w:val="17"/>
      </w:rPr>
      <w:t xml:space="preserve"> – </w:t>
    </w:r>
    <w:r w:rsidR="00657A62">
      <w:rPr>
        <w:sz w:val="16"/>
        <w:szCs w:val="17"/>
      </w:rPr>
      <w:t>2022</w:t>
    </w:r>
  </w:p>
  <w:p w14:paraId="450CB919" w14:textId="77777777" w:rsidR="00D92CD6" w:rsidRDefault="00D92CD6" w:rsidP="00D92CD6">
    <w:pPr>
      <w:pStyle w:val="Header"/>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0D03B76B" w:rsidR="00EE21D2" w:rsidRPr="00D52F94" w:rsidRDefault="00992A07" w:rsidP="00EE21D2">
    <w:pPr>
      <w:pStyle w:val="NoSpacing"/>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apresentad</w:t>
    </w:r>
    <w:r w:rsidR="00EE21D2">
      <w:rPr>
        <w:sz w:val="16"/>
        <w:szCs w:val="17"/>
      </w:rPr>
      <w:t>o</w:t>
    </w:r>
    <w:r w:rsidR="00EE21D2" w:rsidRPr="00D52F94">
      <w:rPr>
        <w:sz w:val="16"/>
        <w:szCs w:val="17"/>
      </w:rPr>
      <w:t xml:space="preserve"> para obtenção do título de especialista em </w:t>
    </w:r>
    <w:r w:rsidR="00657A62">
      <w:rPr>
        <w:sz w:val="16"/>
        <w:szCs w:val="17"/>
      </w:rPr>
      <w:br/>
      <w:t xml:space="preserve">Data Science </w:t>
    </w:r>
    <w:proofErr w:type="spellStart"/>
    <w:r w:rsidR="00657A62">
      <w:rPr>
        <w:sz w:val="16"/>
        <w:szCs w:val="17"/>
      </w:rPr>
      <w:t>and</w:t>
    </w:r>
    <w:proofErr w:type="spellEnd"/>
    <w:r w:rsidR="00657A62">
      <w:rPr>
        <w:sz w:val="16"/>
        <w:szCs w:val="17"/>
      </w:rPr>
      <w:t xml:space="preserve"> </w:t>
    </w:r>
    <w:proofErr w:type="spellStart"/>
    <w:r w:rsidR="00657A62">
      <w:rPr>
        <w:sz w:val="16"/>
        <w:szCs w:val="17"/>
      </w:rPr>
      <w:t>Analytics</w:t>
    </w:r>
    <w:proofErr w:type="spellEnd"/>
    <w:r w:rsidR="00EE21D2">
      <w:rPr>
        <w:sz w:val="16"/>
        <w:szCs w:val="17"/>
      </w:rPr>
      <w:t xml:space="preserve"> – </w:t>
    </w:r>
    <w:r w:rsidR="00657A62">
      <w:rPr>
        <w:sz w:val="16"/>
        <w:szCs w:val="17"/>
      </w:rPr>
      <w:t>2022</w:t>
    </w:r>
  </w:p>
  <w:p w14:paraId="11B128D1" w14:textId="5CD4F816" w:rsidR="00EE21D2" w:rsidRDefault="000A46BE" w:rsidP="00EE21D2">
    <w:pPr>
      <w:pStyle w:val="Header"/>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39831181">
    <w:abstractNumId w:val="1"/>
  </w:num>
  <w:num w:numId="2" w16cid:durableId="1178806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25A81"/>
    <w:rsid w:val="000318BF"/>
    <w:rsid w:val="0003392C"/>
    <w:rsid w:val="00033ABE"/>
    <w:rsid w:val="000379B9"/>
    <w:rsid w:val="000414DF"/>
    <w:rsid w:val="00042541"/>
    <w:rsid w:val="0006184C"/>
    <w:rsid w:val="0006582A"/>
    <w:rsid w:val="00080BC8"/>
    <w:rsid w:val="00096B42"/>
    <w:rsid w:val="000A1F2D"/>
    <w:rsid w:val="000A23B0"/>
    <w:rsid w:val="000A46BE"/>
    <w:rsid w:val="000A64CD"/>
    <w:rsid w:val="000A7332"/>
    <w:rsid w:val="000B6C41"/>
    <w:rsid w:val="000C043D"/>
    <w:rsid w:val="000C5E50"/>
    <w:rsid w:val="000D65A6"/>
    <w:rsid w:val="000D7128"/>
    <w:rsid w:val="000E6826"/>
    <w:rsid w:val="000F06D0"/>
    <w:rsid w:val="000F3312"/>
    <w:rsid w:val="000F7383"/>
    <w:rsid w:val="00103C8C"/>
    <w:rsid w:val="0010566C"/>
    <w:rsid w:val="00106E6C"/>
    <w:rsid w:val="00111217"/>
    <w:rsid w:val="00114D94"/>
    <w:rsid w:val="001179F3"/>
    <w:rsid w:val="00123A50"/>
    <w:rsid w:val="0014260C"/>
    <w:rsid w:val="00155FEB"/>
    <w:rsid w:val="001650D8"/>
    <w:rsid w:val="00173435"/>
    <w:rsid w:val="0017695E"/>
    <w:rsid w:val="0018079B"/>
    <w:rsid w:val="00183B05"/>
    <w:rsid w:val="00196DB1"/>
    <w:rsid w:val="001A2B26"/>
    <w:rsid w:val="001A3AE9"/>
    <w:rsid w:val="001B29CD"/>
    <w:rsid w:val="001B7001"/>
    <w:rsid w:val="001B7C5F"/>
    <w:rsid w:val="001C7C93"/>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41342"/>
    <w:rsid w:val="0035192B"/>
    <w:rsid w:val="00351961"/>
    <w:rsid w:val="003542E3"/>
    <w:rsid w:val="00362B83"/>
    <w:rsid w:val="00363932"/>
    <w:rsid w:val="00364D20"/>
    <w:rsid w:val="00364EBE"/>
    <w:rsid w:val="003678EC"/>
    <w:rsid w:val="0037116D"/>
    <w:rsid w:val="0038279B"/>
    <w:rsid w:val="00382B87"/>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450"/>
    <w:rsid w:val="004139D1"/>
    <w:rsid w:val="0041481E"/>
    <w:rsid w:val="00414EA7"/>
    <w:rsid w:val="00421D0A"/>
    <w:rsid w:val="004242F4"/>
    <w:rsid w:val="00424D37"/>
    <w:rsid w:val="00433E63"/>
    <w:rsid w:val="00433F5D"/>
    <w:rsid w:val="004344B3"/>
    <w:rsid w:val="004349A6"/>
    <w:rsid w:val="00435976"/>
    <w:rsid w:val="00436A5A"/>
    <w:rsid w:val="0044240B"/>
    <w:rsid w:val="004453D9"/>
    <w:rsid w:val="00445A1F"/>
    <w:rsid w:val="0045201D"/>
    <w:rsid w:val="004638D2"/>
    <w:rsid w:val="0046466B"/>
    <w:rsid w:val="00466F81"/>
    <w:rsid w:val="00467C3B"/>
    <w:rsid w:val="0047191C"/>
    <w:rsid w:val="00471D21"/>
    <w:rsid w:val="00473CFE"/>
    <w:rsid w:val="00474ACC"/>
    <w:rsid w:val="00474ACD"/>
    <w:rsid w:val="004829D7"/>
    <w:rsid w:val="004B0852"/>
    <w:rsid w:val="004B3DF1"/>
    <w:rsid w:val="004B570C"/>
    <w:rsid w:val="004B6697"/>
    <w:rsid w:val="004B73BD"/>
    <w:rsid w:val="004C12D2"/>
    <w:rsid w:val="004E1ADB"/>
    <w:rsid w:val="004E2E96"/>
    <w:rsid w:val="00511D79"/>
    <w:rsid w:val="00511DCD"/>
    <w:rsid w:val="005154B6"/>
    <w:rsid w:val="00516C5E"/>
    <w:rsid w:val="00522FDE"/>
    <w:rsid w:val="00527BBF"/>
    <w:rsid w:val="00530C1C"/>
    <w:rsid w:val="005325A6"/>
    <w:rsid w:val="00532A60"/>
    <w:rsid w:val="0053780E"/>
    <w:rsid w:val="005502EC"/>
    <w:rsid w:val="00551EA4"/>
    <w:rsid w:val="00556C81"/>
    <w:rsid w:val="005731F8"/>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D6B9B"/>
    <w:rsid w:val="005E318E"/>
    <w:rsid w:val="005F29F8"/>
    <w:rsid w:val="005F4EB3"/>
    <w:rsid w:val="005F5FEB"/>
    <w:rsid w:val="00605068"/>
    <w:rsid w:val="0062319A"/>
    <w:rsid w:val="00636D01"/>
    <w:rsid w:val="006411E1"/>
    <w:rsid w:val="00647DBF"/>
    <w:rsid w:val="00657A62"/>
    <w:rsid w:val="00657EA6"/>
    <w:rsid w:val="0066110E"/>
    <w:rsid w:val="006805F5"/>
    <w:rsid w:val="00681AD7"/>
    <w:rsid w:val="00683832"/>
    <w:rsid w:val="00684110"/>
    <w:rsid w:val="00687D18"/>
    <w:rsid w:val="00691E95"/>
    <w:rsid w:val="006926E3"/>
    <w:rsid w:val="006A0317"/>
    <w:rsid w:val="006B3841"/>
    <w:rsid w:val="006B4497"/>
    <w:rsid w:val="006B4591"/>
    <w:rsid w:val="006C2C8C"/>
    <w:rsid w:val="006C720C"/>
    <w:rsid w:val="006D2995"/>
    <w:rsid w:val="006D7365"/>
    <w:rsid w:val="006D7A7F"/>
    <w:rsid w:val="006D7B11"/>
    <w:rsid w:val="006E1A8E"/>
    <w:rsid w:val="006E4BF8"/>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1EB3"/>
    <w:rsid w:val="007749A1"/>
    <w:rsid w:val="0078405D"/>
    <w:rsid w:val="00784D7A"/>
    <w:rsid w:val="007854B3"/>
    <w:rsid w:val="007A2A3C"/>
    <w:rsid w:val="007A658E"/>
    <w:rsid w:val="007B0806"/>
    <w:rsid w:val="007C7440"/>
    <w:rsid w:val="007E290A"/>
    <w:rsid w:val="007F4591"/>
    <w:rsid w:val="007F54A6"/>
    <w:rsid w:val="007F57A4"/>
    <w:rsid w:val="007F66B0"/>
    <w:rsid w:val="00800FF0"/>
    <w:rsid w:val="008111C1"/>
    <w:rsid w:val="00811A4F"/>
    <w:rsid w:val="00811DE0"/>
    <w:rsid w:val="00812949"/>
    <w:rsid w:val="0081660B"/>
    <w:rsid w:val="008259B0"/>
    <w:rsid w:val="00826D39"/>
    <w:rsid w:val="00833B09"/>
    <w:rsid w:val="00834D05"/>
    <w:rsid w:val="00835CCF"/>
    <w:rsid w:val="00836CE1"/>
    <w:rsid w:val="008421B8"/>
    <w:rsid w:val="00842D35"/>
    <w:rsid w:val="008443FF"/>
    <w:rsid w:val="008545E0"/>
    <w:rsid w:val="0085779D"/>
    <w:rsid w:val="00860F38"/>
    <w:rsid w:val="0087237C"/>
    <w:rsid w:val="00872B6C"/>
    <w:rsid w:val="00886138"/>
    <w:rsid w:val="00886CFD"/>
    <w:rsid w:val="00890B17"/>
    <w:rsid w:val="00891B63"/>
    <w:rsid w:val="008923FD"/>
    <w:rsid w:val="0089638E"/>
    <w:rsid w:val="008A1677"/>
    <w:rsid w:val="008A35ED"/>
    <w:rsid w:val="008A3CF6"/>
    <w:rsid w:val="008A74FD"/>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4782"/>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C5F40"/>
    <w:rsid w:val="009D2D67"/>
    <w:rsid w:val="009D4560"/>
    <w:rsid w:val="009D7441"/>
    <w:rsid w:val="009D7C2D"/>
    <w:rsid w:val="009E3D42"/>
    <w:rsid w:val="009E6355"/>
    <w:rsid w:val="009E7FB7"/>
    <w:rsid w:val="009F11F4"/>
    <w:rsid w:val="009F43AE"/>
    <w:rsid w:val="00A045BD"/>
    <w:rsid w:val="00A06683"/>
    <w:rsid w:val="00A143E9"/>
    <w:rsid w:val="00A2667C"/>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11B6"/>
    <w:rsid w:val="00A82D84"/>
    <w:rsid w:val="00A912F3"/>
    <w:rsid w:val="00AA1EDC"/>
    <w:rsid w:val="00AA6708"/>
    <w:rsid w:val="00AB3AFC"/>
    <w:rsid w:val="00AC5332"/>
    <w:rsid w:val="00AE2179"/>
    <w:rsid w:val="00AF4DD9"/>
    <w:rsid w:val="00AF625F"/>
    <w:rsid w:val="00AF7A61"/>
    <w:rsid w:val="00B0110A"/>
    <w:rsid w:val="00B057DD"/>
    <w:rsid w:val="00B15503"/>
    <w:rsid w:val="00B34D23"/>
    <w:rsid w:val="00B35358"/>
    <w:rsid w:val="00B35F3F"/>
    <w:rsid w:val="00B523BB"/>
    <w:rsid w:val="00B5289B"/>
    <w:rsid w:val="00B5612B"/>
    <w:rsid w:val="00B57893"/>
    <w:rsid w:val="00B62F88"/>
    <w:rsid w:val="00B67CC1"/>
    <w:rsid w:val="00B73815"/>
    <w:rsid w:val="00B754B6"/>
    <w:rsid w:val="00B75E60"/>
    <w:rsid w:val="00B87C3E"/>
    <w:rsid w:val="00B9605E"/>
    <w:rsid w:val="00BA0816"/>
    <w:rsid w:val="00BA46B0"/>
    <w:rsid w:val="00BA6DB1"/>
    <w:rsid w:val="00BB309B"/>
    <w:rsid w:val="00BB4B6C"/>
    <w:rsid w:val="00BB536E"/>
    <w:rsid w:val="00BB5AD1"/>
    <w:rsid w:val="00BB71DF"/>
    <w:rsid w:val="00BC0275"/>
    <w:rsid w:val="00BC07FA"/>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B18"/>
    <w:rsid w:val="00C55413"/>
    <w:rsid w:val="00C55528"/>
    <w:rsid w:val="00C56AA8"/>
    <w:rsid w:val="00C6199B"/>
    <w:rsid w:val="00C64E7D"/>
    <w:rsid w:val="00C651A5"/>
    <w:rsid w:val="00C7177A"/>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DF3D0C"/>
    <w:rsid w:val="00E0030F"/>
    <w:rsid w:val="00E0114C"/>
    <w:rsid w:val="00E05E3E"/>
    <w:rsid w:val="00E12124"/>
    <w:rsid w:val="00E12A3E"/>
    <w:rsid w:val="00E14849"/>
    <w:rsid w:val="00E1532A"/>
    <w:rsid w:val="00E16313"/>
    <w:rsid w:val="00E1740E"/>
    <w:rsid w:val="00E25839"/>
    <w:rsid w:val="00E3132F"/>
    <w:rsid w:val="00E37B97"/>
    <w:rsid w:val="00E45517"/>
    <w:rsid w:val="00E470FC"/>
    <w:rsid w:val="00E54D23"/>
    <w:rsid w:val="00E5522F"/>
    <w:rsid w:val="00E575F6"/>
    <w:rsid w:val="00E61157"/>
    <w:rsid w:val="00E64C48"/>
    <w:rsid w:val="00E70DDA"/>
    <w:rsid w:val="00E71060"/>
    <w:rsid w:val="00E80C1F"/>
    <w:rsid w:val="00E835B5"/>
    <w:rsid w:val="00E87EBF"/>
    <w:rsid w:val="00E92DB9"/>
    <w:rsid w:val="00E9452C"/>
    <w:rsid w:val="00EA072E"/>
    <w:rsid w:val="00EA1D8A"/>
    <w:rsid w:val="00EA275D"/>
    <w:rsid w:val="00EA60A7"/>
    <w:rsid w:val="00EA66D6"/>
    <w:rsid w:val="00EB0BB2"/>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1F01"/>
    <w:rsid w:val="00F535FD"/>
    <w:rsid w:val="00F56CDC"/>
    <w:rsid w:val="00F624CF"/>
    <w:rsid w:val="00F80D3F"/>
    <w:rsid w:val="00F8568D"/>
    <w:rsid w:val="00F91A5E"/>
    <w:rsid w:val="00F92198"/>
    <w:rsid w:val="00F95F8E"/>
    <w:rsid w:val="00FA230A"/>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4DF"/>
    <w:rPr>
      <w:rFonts w:ascii="Arial" w:eastAsiaTheme="majorEastAsia" w:hAnsi="Arial" w:cstheme="majorBidi"/>
      <w:b/>
      <w:bCs/>
      <w:color w:val="000000" w:themeColor="text1"/>
      <w:szCs w:val="26"/>
      <w:lang w:val="en-US"/>
    </w:rPr>
  </w:style>
  <w:style w:type="character" w:styleId="LineNumber">
    <w:name w:val="line number"/>
    <w:basedOn w:val="DefaultParagraphFont"/>
    <w:uiPriority w:val="99"/>
    <w:semiHidden/>
    <w:unhideWhenUsed/>
    <w:rsid w:val="005F5FEB"/>
  </w:style>
  <w:style w:type="paragraph" w:styleId="Header">
    <w:name w:val="header"/>
    <w:basedOn w:val="Normal"/>
    <w:link w:val="HeaderChar"/>
    <w:uiPriority w:val="99"/>
    <w:unhideWhenUsed/>
    <w:rsid w:val="005F5FEB"/>
    <w:pPr>
      <w:tabs>
        <w:tab w:val="center" w:pos="4252"/>
        <w:tab w:val="right" w:pos="8504"/>
      </w:tabs>
      <w:spacing w:line="240" w:lineRule="auto"/>
    </w:pPr>
  </w:style>
  <w:style w:type="character" w:customStyle="1" w:styleId="HeaderChar">
    <w:name w:val="Header Char"/>
    <w:basedOn w:val="DefaultParagraphFont"/>
    <w:link w:val="Header"/>
    <w:uiPriority w:val="99"/>
    <w:rsid w:val="005F5FEB"/>
  </w:style>
  <w:style w:type="paragraph" w:styleId="Footer">
    <w:name w:val="footer"/>
    <w:basedOn w:val="Normal"/>
    <w:link w:val="FooterChar"/>
    <w:uiPriority w:val="99"/>
    <w:unhideWhenUsed/>
    <w:rsid w:val="005F5FEB"/>
    <w:pPr>
      <w:tabs>
        <w:tab w:val="center" w:pos="4252"/>
        <w:tab w:val="right" w:pos="8504"/>
      </w:tabs>
      <w:spacing w:line="240" w:lineRule="auto"/>
    </w:pPr>
  </w:style>
  <w:style w:type="character" w:customStyle="1" w:styleId="FooterChar">
    <w:name w:val="Footer Char"/>
    <w:basedOn w:val="DefaultParagraphFont"/>
    <w:link w:val="Footer"/>
    <w:uiPriority w:val="99"/>
    <w:rsid w:val="005F5FEB"/>
  </w:style>
  <w:style w:type="character" w:styleId="Hyperlink">
    <w:name w:val="Hyperlink"/>
    <w:basedOn w:val="DefaultParagraphFont"/>
    <w:uiPriority w:val="99"/>
    <w:unhideWhenUsed/>
    <w:rsid w:val="00AA1EDC"/>
    <w:rPr>
      <w:color w:val="0000FF" w:themeColor="hyperlink"/>
      <w:u w:val="single"/>
    </w:rPr>
  </w:style>
  <w:style w:type="paragraph" w:styleId="BalloonText">
    <w:name w:val="Balloon Text"/>
    <w:basedOn w:val="Normal"/>
    <w:link w:val="BalloonTextChar"/>
    <w:uiPriority w:val="99"/>
    <w:semiHidden/>
    <w:unhideWhenUsed/>
    <w:rsid w:val="001E10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108A"/>
    <w:rPr>
      <w:rFonts w:ascii="Tahoma" w:hAnsi="Tahoma" w:cs="Tahoma"/>
      <w:sz w:val="16"/>
      <w:szCs w:val="16"/>
    </w:rPr>
  </w:style>
  <w:style w:type="paragraph" w:styleId="NoSpacing">
    <w:name w:val="No Spacing"/>
    <w:uiPriority w:val="1"/>
    <w:qFormat/>
    <w:rsid w:val="001E108A"/>
    <w:pPr>
      <w:spacing w:line="240" w:lineRule="auto"/>
    </w:pPr>
  </w:style>
  <w:style w:type="paragraph" w:styleId="ListParagraph">
    <w:name w:val="List Paragraph"/>
    <w:basedOn w:val="Normal"/>
    <w:uiPriority w:val="34"/>
    <w:qFormat/>
    <w:rsid w:val="009629EB"/>
    <w:pPr>
      <w:ind w:left="720"/>
      <w:contextualSpacing/>
    </w:pPr>
  </w:style>
  <w:style w:type="paragraph" w:styleId="NormalWeb">
    <w:name w:val="Normal (Web)"/>
    <w:basedOn w:val="Normal"/>
    <w:uiPriority w:val="99"/>
    <w:semiHidden/>
    <w:unhideWhenUsed/>
    <w:rsid w:val="00A811B6"/>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customStyle="1" w:styleId="tdn">
    <w:name w:val="td_n"/>
    <w:basedOn w:val="DefaultParagraphFont"/>
    <w:rsid w:val="00A912F3"/>
  </w:style>
  <w:style w:type="character" w:customStyle="1" w:styleId="tdex">
    <w:name w:val="td_ex"/>
    <w:basedOn w:val="DefaultParagraphFont"/>
    <w:rsid w:val="00A912F3"/>
  </w:style>
  <w:style w:type="character" w:customStyle="1" w:styleId="tdc">
    <w:name w:val="td_c"/>
    <w:basedOn w:val="DefaultParagraphFont"/>
    <w:rsid w:val="00A912F3"/>
  </w:style>
  <w:style w:type="table" w:styleId="TableGrid">
    <w:name w:val="Table Grid"/>
    <w:basedOn w:val="TableNormal"/>
    <w:uiPriority w:val="59"/>
    <w:rsid w:val="00E64C4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72852">
      <w:bodyDiv w:val="1"/>
      <w:marLeft w:val="0"/>
      <w:marRight w:val="0"/>
      <w:marTop w:val="0"/>
      <w:marBottom w:val="0"/>
      <w:divBdr>
        <w:top w:val="none" w:sz="0" w:space="0" w:color="auto"/>
        <w:left w:val="none" w:sz="0" w:space="0" w:color="auto"/>
        <w:bottom w:val="none" w:sz="0" w:space="0" w:color="auto"/>
        <w:right w:val="none" w:sz="0" w:space="0" w:color="auto"/>
      </w:divBdr>
    </w:div>
    <w:div w:id="444232067">
      <w:bodyDiv w:val="1"/>
      <w:marLeft w:val="0"/>
      <w:marRight w:val="0"/>
      <w:marTop w:val="0"/>
      <w:marBottom w:val="0"/>
      <w:divBdr>
        <w:top w:val="none" w:sz="0" w:space="0" w:color="auto"/>
        <w:left w:val="none" w:sz="0" w:space="0" w:color="auto"/>
        <w:bottom w:val="none" w:sz="0" w:space="0" w:color="auto"/>
        <w:right w:val="none" w:sz="0" w:space="0" w:color="auto"/>
      </w:divBdr>
    </w:div>
    <w:div w:id="921984802">
      <w:bodyDiv w:val="1"/>
      <w:marLeft w:val="0"/>
      <w:marRight w:val="0"/>
      <w:marTop w:val="0"/>
      <w:marBottom w:val="0"/>
      <w:divBdr>
        <w:top w:val="none" w:sz="0" w:space="0" w:color="auto"/>
        <w:left w:val="none" w:sz="0" w:space="0" w:color="auto"/>
        <w:bottom w:val="none" w:sz="0" w:space="0" w:color="auto"/>
        <w:right w:val="none" w:sz="0" w:space="0" w:color="auto"/>
      </w:divBdr>
    </w:div>
    <w:div w:id="1203248943">
      <w:bodyDiv w:val="1"/>
      <w:marLeft w:val="0"/>
      <w:marRight w:val="0"/>
      <w:marTop w:val="0"/>
      <w:marBottom w:val="0"/>
      <w:divBdr>
        <w:top w:val="none" w:sz="0" w:space="0" w:color="auto"/>
        <w:left w:val="none" w:sz="0" w:space="0" w:color="auto"/>
        <w:bottom w:val="none" w:sz="0" w:space="0" w:color="auto"/>
        <w:right w:val="none" w:sz="0" w:space="0" w:color="auto"/>
      </w:divBdr>
    </w:div>
    <w:div w:id="1368338674">
      <w:bodyDiv w:val="1"/>
      <w:marLeft w:val="0"/>
      <w:marRight w:val="0"/>
      <w:marTop w:val="0"/>
      <w:marBottom w:val="0"/>
      <w:divBdr>
        <w:top w:val="none" w:sz="0" w:space="0" w:color="auto"/>
        <w:left w:val="none" w:sz="0" w:space="0" w:color="auto"/>
        <w:bottom w:val="none" w:sz="0" w:space="0" w:color="auto"/>
        <w:right w:val="none" w:sz="0" w:space="0" w:color="auto"/>
      </w:divBdr>
    </w:div>
    <w:div w:id="1527912053">
      <w:bodyDiv w:val="1"/>
      <w:marLeft w:val="0"/>
      <w:marRight w:val="0"/>
      <w:marTop w:val="0"/>
      <w:marBottom w:val="0"/>
      <w:divBdr>
        <w:top w:val="none" w:sz="0" w:space="0" w:color="auto"/>
        <w:left w:val="none" w:sz="0" w:space="0" w:color="auto"/>
        <w:bottom w:val="none" w:sz="0" w:space="0" w:color="auto"/>
        <w:right w:val="none" w:sz="0" w:space="0" w:color="auto"/>
      </w:divBdr>
    </w:div>
    <w:div w:id="1531261958">
      <w:bodyDiv w:val="1"/>
      <w:marLeft w:val="0"/>
      <w:marRight w:val="0"/>
      <w:marTop w:val="0"/>
      <w:marBottom w:val="0"/>
      <w:divBdr>
        <w:top w:val="none" w:sz="0" w:space="0" w:color="auto"/>
        <w:left w:val="none" w:sz="0" w:space="0" w:color="auto"/>
        <w:bottom w:val="none" w:sz="0" w:space="0" w:color="auto"/>
        <w:right w:val="none" w:sz="0" w:space="0" w:color="auto"/>
      </w:divBdr>
    </w:div>
    <w:div w:id="1730306483">
      <w:bodyDiv w:val="1"/>
      <w:marLeft w:val="0"/>
      <w:marRight w:val="0"/>
      <w:marTop w:val="0"/>
      <w:marBottom w:val="0"/>
      <w:divBdr>
        <w:top w:val="none" w:sz="0" w:space="0" w:color="auto"/>
        <w:left w:val="none" w:sz="0" w:space="0" w:color="auto"/>
        <w:bottom w:val="none" w:sz="0" w:space="0" w:color="auto"/>
        <w:right w:val="none" w:sz="0" w:space="0" w:color="auto"/>
      </w:divBdr>
    </w:div>
    <w:div w:id="1807579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397</TotalTime>
  <Pages>10</Pages>
  <Words>2599</Words>
  <Characters>14817</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Everson Verissimo da Silva</cp:lastModifiedBy>
  <cp:revision>10</cp:revision>
  <cp:lastPrinted>2014-09-18T13:37:00Z</cp:lastPrinted>
  <dcterms:created xsi:type="dcterms:W3CDTF">2021-10-01T11:19:00Z</dcterms:created>
  <dcterms:modified xsi:type="dcterms:W3CDTF">2022-08-16T23:45:00Z</dcterms:modified>
</cp:coreProperties>
</file>