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B5CE0"/>
          <w:sz w:val="68"/>
        </w:rPr>
        <w:t>EIA SOFTWORKS</w:t>
      </w:r>
    </w:p>
    <w:p>
      <w:pPr>
        <w:jc w:val="center"/>
      </w:pPr>
      <w:r>
        <w:rPr>
          <w:color w:val="555866"/>
          <w:sz w:val="28"/>
        </w:rPr>
        <w:t>Informe técnico del sitio web</w:t>
        <w:br/>
        <w:t>Arquitectura, código, herramientas e identidad visual</w:t>
      </w:r>
    </w:p>
    <w:p/>
    <w:p>
      <w:pPr>
        <w:jc w:val="center"/>
      </w:pPr>
      <w:r>
        <w:rPr>
          <w:sz w:val="22"/>
        </w:rPr>
        <w:t>21 de julio de 2026</w:t>
      </w:r>
    </w:p>
    <w:p>
      <w:r>
        <w:br w:type="page"/>
      </w:r>
    </w:p>
    <w:p>
      <w:pPr>
        <w:pStyle w:val="Heading1"/>
      </w:pPr>
      <w:r>
        <w:t>1. Resumen ejecutivo</w:t>
      </w:r>
    </w:p>
    <w:p>
      <w:r>
        <w:t>EIA Softworks es un sitio web de presentación profesional (no una landing comercial agresiva) construido como HTML + CSS + JavaScript vanilla, sin build step, sin framework y sin dependencias externas. Su objetivo es transmitir confianza a dueños de negocio que evalúan contratar desarrollo de software a medida, priorizando orden, claridad y restricción visual por encima de efectos llamativos o marketing agresivo.</w:t>
      </w:r>
    </w:p>
    <w:p>
      <w:r>
        <w:t>El sitio se despliega actualmente en GitHub Pages y está preparado, por diseño, para migrar en el futuro a un stack moderno (React, Next.js, TypeScript, Tailwind, Laravel, PostgreSQL) cuando exista una necesidad funcional real (login, backend, datos dinámicos).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B5CE0"/>
          </w:tcPr>
          <w:p>
            <w:r>
              <w:rPr>
                <w:b/>
                <w:color w:val="FFFFFF"/>
              </w:rPr>
              <w:t>Aspecto</w:t>
            </w:r>
          </w:p>
        </w:tc>
        <w:tc>
          <w:tcPr>
            <w:tcW w:type="dxa" w:w="4320"/>
            <w:shd w:val="clear" w:color="auto" w:fill="2B5CE0"/>
          </w:tcPr>
          <w:p>
            <w:r>
              <w:rPr>
                <w:b/>
                <w:color w:val="FFFFFF"/>
              </w:rPr>
              <w:t>Detalle</w:t>
            </w:r>
          </w:p>
        </w:tc>
      </w:tr>
      <w:tr>
        <w:tc>
          <w:tcPr>
            <w:tcW w:type="dxa" w:w="4320"/>
          </w:tcPr>
          <w:p>
            <w:r>
              <w:t>Tipo de sitio</w:t>
            </w:r>
          </w:p>
        </w:tc>
        <w:tc>
          <w:tcPr>
            <w:tcW w:type="dxa" w:w="4320"/>
          </w:tcPr>
          <w:p>
            <w:r>
              <w:t>Presentación profesional de marca (no landing comercial)</w:t>
            </w:r>
          </w:p>
        </w:tc>
      </w:tr>
      <w:tr>
        <w:tc>
          <w:tcPr>
            <w:tcW w:type="dxa" w:w="4320"/>
          </w:tcPr>
          <w:p>
            <w:r>
              <w:t>Arquitectura</w:t>
            </w:r>
          </w:p>
        </w:tc>
        <w:tc>
          <w:tcPr>
            <w:tcW w:type="dxa" w:w="4320"/>
          </w:tcPr>
          <w:p>
            <w:r>
              <w:t>HTML + CSS + JS vanilla, sin build step, sin frameworks</w:t>
            </w:r>
          </w:p>
        </w:tc>
      </w:tr>
      <w:tr>
        <w:tc>
          <w:tcPr>
            <w:tcW w:type="dxa" w:w="4320"/>
          </w:tcPr>
          <w:p>
            <w:r>
              <w:t>Líneas de código</w:t>
            </w:r>
          </w:p>
        </w:tc>
        <w:tc>
          <w:tcPr>
            <w:tcW w:type="dxa" w:w="4320"/>
          </w:tcPr>
          <w:p>
            <w:r>
              <w:t>index.html: 610 · styles.css: 803 · main.js: 446 (≈1,860 líneas totales)</w:t>
            </w:r>
          </w:p>
        </w:tc>
      </w:tr>
      <w:tr>
        <w:tc>
          <w:tcPr>
            <w:tcW w:type="dxa" w:w="4320"/>
          </w:tcPr>
          <w:p>
            <w:r>
              <w:t>Despliegue actual</w:t>
            </w:r>
          </w:p>
        </w:tc>
        <w:tc>
          <w:tcPr>
            <w:tcW w:type="dxa" w:w="4320"/>
          </w:tcPr>
          <w:p>
            <w:r>
              <w:t>GitHub Pages (rama master), CDN Fastly, sin CI/CD</w:t>
            </w:r>
          </w:p>
        </w:tc>
      </w:tr>
      <w:tr>
        <w:tc>
          <w:tcPr>
            <w:tcW w:type="dxa" w:w="4320"/>
          </w:tcPr>
          <w:p>
            <w:r>
              <w:t>Despliegue objetivo</w:t>
            </w:r>
          </w:p>
        </w:tc>
        <w:tc>
          <w:tcPr>
            <w:tcW w:type="dxa" w:w="4320"/>
          </w:tcPr>
          <w:p>
            <w:r>
              <w:t>Hostinger (FTP / drag-and-drop) — por eso existe .htaccess</w:t>
            </w:r>
          </w:p>
        </w:tc>
      </w:tr>
      <w:tr>
        <w:tc>
          <w:tcPr>
            <w:tcW w:type="dxa" w:w="4320"/>
          </w:tcPr>
          <w:p>
            <w:r>
              <w:t>Idioma</w:t>
            </w:r>
          </w:p>
        </w:tc>
        <w:tc>
          <w:tcPr>
            <w:tcW w:type="dxa" w:w="4320"/>
          </w:tcPr>
          <w:p>
            <w:r>
              <w:t>Español (lang="es")</w:t>
            </w:r>
          </w:p>
        </w:tc>
      </w:tr>
      <w:tr>
        <w:tc>
          <w:tcPr>
            <w:tcW w:type="dxa" w:w="4320"/>
          </w:tcPr>
          <w:p>
            <w:r>
              <w:t>Secciones</w:t>
            </w:r>
          </w:p>
        </w:tc>
        <w:tc>
          <w:tcPr>
            <w:tcW w:type="dxa" w:w="4320"/>
          </w:tcPr>
          <w:p>
            <w:r>
              <w:t>Hero, Sobre mí, Servicios, Sectores, Proceso, FAQ, Tecnologías, Contacto, Footer</w:t>
            </w:r>
          </w:p>
        </w:tc>
      </w:tr>
    </w:tbl>
    <w:p/>
    <w:p>
      <w:pPr>
        <w:pStyle w:val="Heading1"/>
      </w:pPr>
      <w:r>
        <w:t>2. Arquitectura del código</w:t>
      </w:r>
    </w:p>
    <w:p>
      <w:r>
        <w:t>El sitio se organiza en tres archivos principales (sin separación por componentes ni módulos), una decisión deliberada para que el sitio funcione al abrirse directamente con doble clic (file://) y pueda subirse tal cual a un hosting compartido sin proceso de compilación.</w:t>
      </w:r>
    </w:p>
    <w:p>
      <w:pPr>
        <w:pStyle w:val="Heading2"/>
      </w:pPr>
      <w:r>
        <w:t>2.1 Estructura de archivos</w:t>
      </w:r>
    </w:p>
    <w:p>
      <w:r>
        <w:rPr>
          <w:rFonts w:ascii="Consolas" w:hAnsi="Consolas"/>
          <w:sz w:val="19"/>
        </w:rPr>
        <w:t>index.html            → estructura y contenido de toda la página (610 líneas)</w:t>
        <w:br/>
        <w:t>styles.css              → único archivo de estilos, seccionado por bloques numerados (803 líneas)</w:t>
        <w:br/>
        <w:t>main.js                 → lógica de interacción, patrón IIFE con namespace window.__BRAND__ (446 líneas)</w:t>
        <w:br/>
        <w:t>assets/</w:t>
        <w:br/>
        <w:t xml:space="preserve">  img/                   → evert-portrait.webp (retrato real del fundador, sección Sobre mí)</w:t>
        <w:br/>
        <w:t xml:space="preserve">  logos/                 → eia-mark.webp, favicons, y logos SVG de tecnologías (React, Node, Python, etc.)</w:t>
        <w:br/>
        <w:t>tools/</w:t>
        <w:br/>
        <w:t xml:space="preserve">  webp_convert.py         → script de conversión de imágenes a .webp (Pillow), no se despliega</w:t>
        <w:br/>
        <w:t>.htaccess                → cabeceras de cache para el futuro hosting en Hostinger</w:t>
        <w:br/>
        <w:t>CLAUDE.md                → documento normativo de marca, diseño y contenido del proyecto</w:t>
      </w:r>
    </w:p>
    <w:p>
      <w:pPr>
        <w:pStyle w:val="Heading2"/>
      </w:pPr>
      <w:r>
        <w:t>2.2 Por qué sin framework ni build step</w:t>
      </w:r>
    </w:p>
    <w:p>
      <w:r>
        <w:t>Es una decisión intencional para esta etapa, no una limitación técnica:</w:t>
      </w:r>
    </w:p>
    <w:p>
      <w:pPr>
        <w:pStyle w:val="ListBullet"/>
      </w:pPr>
      <w:r>
        <w:t>Debe poder subirse por FTP/drag-and-drop a un hosting compartido y funcionar tal cual.</w:t>
      </w:r>
    </w:p>
    <w:p>
      <w:pPr>
        <w:pStyle w:val="ListBullet"/>
      </w:pPr>
      <w:r>
        <w:t>Debe abrir directo con doble clic (file://) sin romperse — por eso no se usan imports de módulos ES.</w:t>
      </w:r>
    </w:p>
    <w:p>
      <w:pPr>
        <w:pStyle w:val="ListBullet"/>
      </w:pPr>
      <w:r>
        <w:t>Cache-busting manual con ?v=YYYYMMDD en &lt;link&gt;/&lt;script&gt;, con bump manual en cada deploy.</w:t>
      </w:r>
    </w:p>
    <w:p>
      <w:pPr>
        <w:pStyle w:val="ListBullet"/>
      </w:pPr>
      <w:r>
        <w:t>Todo JavaScript es &lt;script defer&gt; clásico envuelto en un único IIFE.</w:t>
      </w:r>
    </w:p>
    <w:p>
      <w:pPr>
        <w:pStyle w:val="Heading2"/>
      </w:pPr>
      <w:r>
        <w:t>2.3 Secciones de la página (index.html)</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B5CE0"/>
          </w:tcPr>
          <w:p>
            <w:r>
              <w:rPr>
                <w:b/>
                <w:color w:val="FFFFFF"/>
              </w:rPr>
              <w:t>Sección</w:t>
            </w:r>
          </w:p>
        </w:tc>
        <w:tc>
          <w:tcPr>
            <w:tcW w:type="dxa" w:w="4320"/>
            <w:shd w:val="clear" w:color="auto" w:fill="2B5CE0"/>
          </w:tcPr>
          <w:p>
            <w:r>
              <w:rPr>
                <w:b/>
                <w:color w:val="FFFFFF"/>
              </w:rPr>
              <w:t>Contenido / función</w:t>
            </w:r>
          </w:p>
        </w:tc>
      </w:tr>
      <w:tr>
        <w:tc>
          <w:tcPr>
            <w:tcW w:type="dxa" w:w="4320"/>
          </w:tcPr>
          <w:p>
            <w:r>
              <w:t>Hero</w:t>
            </w:r>
          </w:p>
        </w:tc>
        <w:tc>
          <w:tcPr>
            <w:tcW w:type="dxa" w:w="4320"/>
          </w:tcPr>
          <w:p>
            <w:r>
              <w:t>Presentación principal, título animado, franja de tecnologías (stack-strip)</w:t>
            </w:r>
          </w:p>
        </w:tc>
      </w:tr>
      <w:tr>
        <w:tc>
          <w:tcPr>
            <w:tcW w:type="dxa" w:w="4320"/>
          </w:tcPr>
          <w:p>
            <w:r>
              <w:t>Sobre mí</w:t>
            </w:r>
          </w:p>
        </w:tc>
        <w:tc>
          <w:tcPr>
            <w:tcW w:type="dxa" w:w="4320"/>
          </w:tcPr>
          <w:p>
            <w:r>
              <w:t>Retrato real del fundador + texto de posicionamiento personal</w:t>
            </w:r>
          </w:p>
        </w:tc>
      </w:tr>
      <w:tr>
        <w:tc>
          <w:tcPr>
            <w:tcW w:type="dxa" w:w="4320"/>
          </w:tcPr>
          <w:p>
            <w:r>
              <w:t>Servicios — "Lo que hacemos"</w:t>
            </w:r>
          </w:p>
        </w:tc>
        <w:tc>
          <w:tcPr>
            <w:tcW w:type="dxa" w:w="4320"/>
          </w:tcPr>
          <w:p>
            <w:r>
              <w:t>Desarrollo a medida, integraciones/automatización, consultoría de procesos</w:t>
            </w:r>
          </w:p>
        </w:tc>
      </w:tr>
      <w:tr>
        <w:tc>
          <w:tcPr>
            <w:tcW w:type="dxa" w:w="4320"/>
          </w:tcPr>
          <w:p>
            <w:r>
              <w:t>Sectores — "Dónde generamos valor"</w:t>
            </w:r>
          </w:p>
        </w:tc>
        <w:tc>
          <w:tcPr>
            <w:tcW w:type="dxa" w:w="4320"/>
          </w:tcPr>
          <w:p>
            <w:r>
              <w:t>Sectores de experiencia, tarjetas con ilustración abstracta</w:t>
            </w:r>
          </w:p>
        </w:tc>
      </w:tr>
      <w:tr>
        <w:tc>
          <w:tcPr>
            <w:tcW w:type="dxa" w:w="4320"/>
          </w:tcPr>
          <w:p>
            <w:r>
              <w:t>Proceso — "Nuestra forma de trabajar"</w:t>
            </w:r>
          </w:p>
        </w:tc>
        <w:tc>
          <w:tcPr>
            <w:tcW w:type="dxa" w:w="4320"/>
          </w:tcPr>
          <w:p>
            <w:r>
              <w:t>Explicación del método de trabajo, paso a paso</w:t>
            </w:r>
          </w:p>
        </w:tc>
      </w:tr>
      <w:tr>
        <w:tc>
          <w:tcPr>
            <w:tcW w:type="dxa" w:w="4320"/>
          </w:tcPr>
          <w:p>
            <w:r>
              <w:t>FAQ — "Antes de escribirnos"</w:t>
            </w:r>
          </w:p>
        </w:tc>
        <w:tc>
          <w:tcPr>
            <w:tcW w:type="dxa" w:w="4320"/>
          </w:tcPr>
          <w:p>
            <w:r>
              <w:t>Preguntas frecuentes en acordeón nativo (&lt;details&gt;, funciona sin JS)</w:t>
            </w:r>
          </w:p>
        </w:tc>
      </w:tr>
      <w:tr>
        <w:tc>
          <w:tcPr>
            <w:tcW w:type="dxa" w:w="4320"/>
          </w:tcPr>
          <w:p>
            <w:r>
              <w:t>Tecnologías</w:t>
            </w:r>
          </w:p>
        </w:tc>
        <w:tc>
          <w:tcPr>
            <w:tcW w:type="dxa" w:w="4320"/>
          </w:tcPr>
          <w:p>
            <w:r>
              <w:t>Stack técnico mostrado como logos flotantes (tech-tile)</w:t>
            </w:r>
          </w:p>
        </w:tc>
      </w:tr>
      <w:tr>
        <w:tc>
          <w:tcPr>
            <w:tcW w:type="dxa" w:w="4320"/>
          </w:tcPr>
          <w:p>
            <w:r>
              <w:t>Contacto</w:t>
            </w:r>
          </w:p>
        </w:tc>
        <w:tc>
          <w:tcPr>
            <w:tcW w:type="dxa" w:w="4320"/>
          </w:tcPr>
          <w:p>
            <w:r>
              <w:t>Formulario con validación, consentimiento de datos (Ley 1581 de 2012)</w:t>
            </w:r>
          </w:p>
        </w:tc>
      </w:tr>
      <w:tr>
        <w:tc>
          <w:tcPr>
            <w:tcW w:type="dxa" w:w="4320"/>
          </w:tcPr>
          <w:p>
            <w:r>
              <w:t>Footer</w:t>
            </w:r>
          </w:p>
        </w:tc>
        <w:tc>
          <w:tcPr>
            <w:tcW w:type="dxa" w:w="4320"/>
          </w:tcPr>
          <w:p>
            <w:r>
              <w:t>Datos de contacto, redes sociales (decorativas, sin enlace aún)</w:t>
            </w:r>
          </w:p>
        </w:tc>
      </w:tr>
    </w:tbl>
    <w:p/>
    <w:p>
      <w:pPr>
        <w:pStyle w:val="Heading2"/>
      </w:pPr>
      <w:r>
        <w:t>2.4 JavaScript (main.js) — funciones de inicialización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B5CE0"/>
          </w:tcPr>
          <w:p>
            <w:r>
              <w:rPr>
                <w:b/>
                <w:color w:val="FFFFFF"/>
              </w:rPr>
              <w:t>Función</w:t>
            </w:r>
          </w:p>
        </w:tc>
        <w:tc>
          <w:tcPr>
            <w:tcW w:type="dxa" w:w="4320"/>
            <w:shd w:val="clear" w:color="auto" w:fill="2B5CE0"/>
          </w:tcPr>
          <w:p>
            <w:r>
              <w:rPr>
                <w:b/>
                <w:color w:val="FFFFFF"/>
              </w:rPr>
              <w:t>Responsabilidad</w:t>
            </w:r>
          </w:p>
        </w:tc>
      </w:tr>
      <w:tr>
        <w:tc>
          <w:tcPr>
            <w:tcW w:type="dxa" w:w="4320"/>
          </w:tcPr>
          <w:p>
            <w:r>
              <w:t>initNav</w:t>
            </w:r>
          </w:p>
        </w:tc>
        <w:tc>
          <w:tcPr>
            <w:tcW w:type="dxa" w:w="4320"/>
          </w:tcPr>
          <w:p>
            <w:r>
              <w:t>Comportamiento del menú de navegación (pill flotante con glass permanente)</w:t>
            </w:r>
          </w:p>
        </w:tc>
      </w:tr>
      <w:tr>
        <w:tc>
          <w:tcPr>
            <w:tcW w:type="dxa" w:w="4320"/>
          </w:tcPr>
          <w:p>
            <w:r>
              <w:t>initSectionSpy</w:t>
            </w:r>
          </w:p>
        </w:tc>
        <w:tc>
          <w:tcPr>
            <w:tcW w:type="dxa" w:w="4320"/>
          </w:tcPr>
          <w:p>
            <w:r>
              <w:t>Resalta el enlace de navegación correspondiente a la sección visible</w:t>
            </w:r>
          </w:p>
        </w:tc>
      </w:tr>
      <w:tr>
        <w:tc>
          <w:tcPr>
            <w:tcW w:type="dxa" w:w="4320"/>
          </w:tcPr>
          <w:p>
            <w:r>
              <w:t>initMobileNav</w:t>
            </w:r>
          </w:p>
        </w:tc>
        <w:tc>
          <w:tcPr>
            <w:tcW w:type="dxa" w:w="4320"/>
          </w:tcPr>
          <w:p>
            <w:r>
              <w:t>Menú de navegación en versión móvil</w:t>
            </w:r>
          </w:p>
        </w:tc>
      </w:tr>
      <w:tr>
        <w:tc>
          <w:tcPr>
            <w:tcW w:type="dxa" w:w="4320"/>
          </w:tcPr>
          <w:p>
            <w:r>
              <w:t>initSmoothAnchors</w:t>
            </w:r>
          </w:p>
        </w:tc>
        <w:tc>
          <w:tcPr>
            <w:tcW w:type="dxa" w:w="4320"/>
          </w:tcPr>
          <w:p>
            <w:r>
              <w:t>Scroll suave al navegar por anclas internas (#servicios, #contacto, etc.)</w:t>
            </w:r>
          </w:p>
        </w:tc>
      </w:tr>
      <w:tr>
        <w:tc>
          <w:tcPr>
            <w:tcW w:type="dxa" w:w="4320"/>
          </w:tcPr>
          <w:p>
            <w:r>
              <w:t>initScrollProgress</w:t>
            </w:r>
          </w:p>
        </w:tc>
        <w:tc>
          <w:tcPr>
            <w:tcW w:type="dxa" w:w="4320"/>
          </w:tcPr>
          <w:p>
            <w:r>
              <w:t>Barra/indicador de progreso de scroll</w:t>
            </w:r>
          </w:p>
        </w:tc>
      </w:tr>
      <w:tr>
        <w:tc>
          <w:tcPr>
            <w:tcW w:type="dxa" w:w="4320"/>
          </w:tcPr>
          <w:p>
            <w:r>
              <w:t>initReveals</w:t>
            </w:r>
          </w:p>
        </w:tc>
        <w:tc>
          <w:tcPr>
            <w:tcW w:type="dxa" w:w="4320"/>
          </w:tcPr>
          <w:p>
            <w:r>
              <w:t>Animaciones de aparición al hacer scroll (IntersectionObserver)</w:t>
            </w:r>
          </w:p>
        </w:tc>
      </w:tr>
      <w:tr>
        <w:tc>
          <w:tcPr>
            <w:tcW w:type="dxa" w:w="4320"/>
          </w:tcPr>
          <w:p>
            <w:r>
              <w:t>initHeroGradient</w:t>
            </w:r>
          </w:p>
        </w:tc>
        <w:tc>
          <w:tcPr>
            <w:tcW w:type="dxa" w:w="4320"/>
          </w:tcPr>
          <w:p>
            <w:r>
              <w:t>Animación del gradiente de fondo del Hero</w:t>
            </w:r>
          </w:p>
        </w:tc>
      </w:tr>
      <w:tr>
        <w:tc>
          <w:tcPr>
            <w:tcW w:type="dxa" w:w="4320"/>
          </w:tcPr>
          <w:p>
            <w:r>
              <w:t>initTilt</w:t>
            </w:r>
          </w:p>
        </w:tc>
        <w:tc>
          <w:tcPr>
            <w:tcW w:type="dxa" w:w="4320"/>
          </w:tcPr>
          <w:p>
            <w:r>
              <w:t>Efecto de inclinación 3D (tilt) en las tarjetas .glass-card</w:t>
            </w:r>
          </w:p>
        </w:tc>
      </w:tr>
      <w:tr>
        <w:tc>
          <w:tcPr>
            <w:tcW w:type="dxa" w:w="4320"/>
          </w:tcPr>
          <w:p>
            <w:r>
              <w:t>initMarquee</w:t>
            </w:r>
          </w:p>
        </w:tc>
        <w:tc>
          <w:tcPr>
            <w:tcW w:type="dxa" w:w="4320"/>
          </w:tcPr>
          <w:p>
            <w:r>
              <w:t>Desplazamiento continuo de la franja de tecnologías</w:t>
            </w:r>
          </w:p>
        </w:tc>
      </w:tr>
      <w:tr>
        <w:tc>
          <w:tcPr>
            <w:tcW w:type="dxa" w:w="4320"/>
          </w:tcPr>
          <w:p>
            <w:r>
              <w:t>initContactForm</w:t>
            </w:r>
          </w:p>
        </w:tc>
        <w:tc>
          <w:tcPr>
            <w:tcW w:type="dxa" w:w="4320"/>
          </w:tcPr>
          <w:p>
            <w:r>
              <w:t>Validación y estado del formulario de contacto/agenda</w:t>
            </w:r>
          </w:p>
        </w:tc>
      </w:tr>
      <w:tr>
        <w:tc>
          <w:tcPr>
            <w:tcW w:type="dxa" w:w="4320"/>
          </w:tcPr>
          <w:p>
            <w:r>
              <w:t>initFab</w:t>
            </w:r>
          </w:p>
        </w:tc>
        <w:tc>
          <w:tcPr>
            <w:tcW w:type="dxa" w:w="4320"/>
          </w:tcPr>
          <w:p>
            <w:r>
              <w:t>Botón flotante de acción</w:t>
            </w:r>
          </w:p>
        </w:tc>
      </w:tr>
      <w:tr>
        <w:tc>
          <w:tcPr>
            <w:tcW w:type="dxa" w:w="4320"/>
          </w:tcPr>
          <w:p>
            <w:r>
              <w:t>initModals</w:t>
            </w:r>
          </w:p>
        </w:tc>
        <w:tc>
          <w:tcPr>
            <w:tcW w:type="dxa" w:w="4320"/>
          </w:tcPr>
          <w:p>
            <w:r>
              <w:t>Apertura/cierre de modales (agenda, política de datos), soporta anidado</w:t>
            </w:r>
          </w:p>
        </w:tc>
      </w:tr>
    </w:tbl>
    <w:p/>
    <w:p>
      <w:r>
        <w:t>Todas las animaciones (reveal, tilt, marquee, gradiente del hero) están hechas a mano con IntersectionObserver y requestAnimationFrame — no se usa GSAP ni ninguna librería de animación externa. El sitio funciona igualmente con JavaScript desactivado: el contenido crítico está hardcodeado en el HTML y el JS solo enriquece la experiencia.</w:t>
      </w:r>
    </w:p>
    <w:p>
      <w:pPr>
        <w:pStyle w:val="Heading1"/>
      </w:pPr>
      <w:r>
        <w:t>3. Herramientas y tecnologías usadas</w:t>
      </w:r>
    </w:p>
    <w:p>
      <w:pPr>
        <w:pStyle w:val="Heading2"/>
      </w:pPr>
      <w:r>
        <w:t>3.1 Construcción del sitio</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B5CE0"/>
          </w:tcPr>
          <w:p>
            <w:r>
              <w:rPr>
                <w:b/>
                <w:color w:val="FFFFFF"/>
              </w:rPr>
              <w:t>Tecnología</w:t>
            </w:r>
          </w:p>
        </w:tc>
        <w:tc>
          <w:tcPr>
            <w:tcW w:type="dxa" w:w="4320"/>
            <w:shd w:val="clear" w:color="auto" w:fill="2B5CE0"/>
          </w:tcPr>
          <w:p>
            <w:r>
              <w:rPr>
                <w:b/>
                <w:color w:val="FFFFFF"/>
              </w:rPr>
              <w:t>Uso en el proyecto</w:t>
            </w:r>
          </w:p>
        </w:tc>
      </w:tr>
      <w:tr>
        <w:tc>
          <w:tcPr>
            <w:tcW w:type="dxa" w:w="4320"/>
          </w:tcPr>
          <w:p>
            <w:r>
              <w:t>HTML5</w:t>
            </w:r>
          </w:p>
        </w:tc>
        <w:tc>
          <w:tcPr>
            <w:tcW w:type="dxa" w:w="4320"/>
          </w:tcPr>
          <w:p>
            <w:r>
              <w:t>Marcado semántico (nav, main, section, footer)</w:t>
            </w:r>
          </w:p>
        </w:tc>
      </w:tr>
      <w:tr>
        <w:tc>
          <w:tcPr>
            <w:tcW w:type="dxa" w:w="4320"/>
          </w:tcPr>
          <w:p>
            <w:r>
              <w:t>CSS3</w:t>
            </w:r>
          </w:p>
        </w:tc>
        <w:tc>
          <w:tcPr>
            <w:tcW w:type="dxa" w:w="4320"/>
          </w:tcPr>
          <w:p>
            <w:r>
              <w:t>oklch() para color, custom properties, glassmorphism, animaciones nativas</w:t>
            </w:r>
          </w:p>
        </w:tc>
      </w:tr>
      <w:tr>
        <w:tc>
          <w:tcPr>
            <w:tcW w:type="dxa" w:w="4320"/>
          </w:tcPr>
          <w:p>
            <w:r>
              <w:t>JavaScript (vanilla ES)</w:t>
            </w:r>
          </w:p>
        </w:tc>
        <w:tc>
          <w:tcPr>
            <w:tcW w:type="dxa" w:w="4320"/>
          </w:tcPr>
          <w:p>
            <w:r>
              <w:t>Sin frameworks ni librerías; patrón IIFE, namespace window.__BRAND__</w:t>
            </w:r>
          </w:p>
        </w:tc>
      </w:tr>
      <w:tr>
        <w:tc>
          <w:tcPr>
            <w:tcW w:type="dxa" w:w="4320"/>
          </w:tcPr>
          <w:p>
            <w:r>
              <w:t>Google Fonts</w:t>
            </w:r>
          </w:p>
        </w:tc>
        <w:tc>
          <w:tcPr>
            <w:tcW w:type="dxa" w:w="4320"/>
          </w:tcPr>
          <w:p>
            <w:r>
              <w:t>Inter (texto general) y JetBrains Mono (solo etiquetas técnicas/kickers)</w:t>
            </w:r>
          </w:p>
        </w:tc>
      </w:tr>
      <w:tr>
        <w:tc>
          <w:tcPr>
            <w:tcW w:type="dxa" w:w="4320"/>
          </w:tcPr>
          <w:p>
            <w:r>
              <w:t>SVG</w:t>
            </w:r>
          </w:p>
        </w:tc>
        <w:tc>
          <w:tcPr>
            <w:tcW w:type="dxa" w:w="4320"/>
          </w:tcPr>
          <w:p>
            <w:r>
              <w:t>Ilustraciones abstractas propias (.abstract-visual) y logos de tecnologías</w:t>
            </w:r>
          </w:p>
        </w:tc>
      </w:tr>
    </w:tbl>
    <w:p/>
    <w:p>
      <w:pPr>
        <w:pStyle w:val="Heading2"/>
      </w:pPr>
      <w:r>
        <w:t>3.2 Herramientas auxiliares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B5CE0"/>
          </w:tcPr>
          <w:p>
            <w:r>
              <w:rPr>
                <w:b/>
                <w:color w:val="FFFFFF"/>
              </w:rPr>
              <w:t>Herramienta</w:t>
            </w:r>
          </w:p>
        </w:tc>
        <w:tc>
          <w:tcPr>
            <w:tcW w:type="dxa" w:w="4320"/>
            <w:shd w:val="clear" w:color="auto" w:fill="2B5CE0"/>
          </w:tcPr>
          <w:p>
            <w:r>
              <w:rPr>
                <w:b/>
                <w:color w:val="FFFFFF"/>
              </w:rPr>
              <w:t>Uso</w:t>
            </w:r>
          </w:p>
        </w:tc>
      </w:tr>
      <w:tr>
        <w:tc>
          <w:tcPr>
            <w:tcW w:type="dxa" w:w="4320"/>
          </w:tcPr>
          <w:p>
            <w:r>
              <w:t>Python + Pillow</w:t>
            </w:r>
          </w:p>
        </w:tc>
        <w:tc>
          <w:tcPr>
            <w:tcW w:type="dxa" w:w="4320"/>
          </w:tcPr>
          <w:p>
            <w:r>
              <w:t>tools/webp_convert.py — conversión de imágenes a formato .webp</w:t>
            </w:r>
          </w:p>
        </w:tc>
      </w:tr>
      <w:tr>
        <w:tc>
          <w:tcPr>
            <w:tcW w:type="dxa" w:w="4320"/>
          </w:tcPr>
          <w:p>
            <w:r>
              <w:t>Git / GitHub</w:t>
            </w:r>
          </w:p>
        </w:tc>
        <w:tc>
          <w:tcPr>
            <w:tcW w:type="dxa" w:w="4320"/>
          </w:tcPr>
          <w:p>
            <w:r>
              <w:t>Control de versiones, repositorio y despliegue vía GitHub Pages</w:t>
            </w:r>
          </w:p>
        </w:tc>
      </w:tr>
      <w:tr>
        <w:tc>
          <w:tcPr>
            <w:tcW w:type="dxa" w:w="4320"/>
          </w:tcPr>
          <w:p>
            <w:r>
              <w:t>.htaccess</w:t>
            </w:r>
          </w:p>
        </w:tc>
        <w:tc>
          <w:tcPr>
            <w:tcW w:type="dxa" w:w="4320"/>
          </w:tcPr>
          <w:p>
            <w:r>
              <w:t>Cabeceras de cache preparadas para el futuro hosting en Hostinger (hoy sin efecto en GitHub Pages)</w:t>
            </w:r>
          </w:p>
        </w:tc>
      </w:tr>
    </w:tbl>
    <w:p/>
    <w:p>
      <w:pPr>
        <w:pStyle w:val="Heading2"/>
      </w:pPr>
      <w:r>
        <w:t>3.3 Despliegue</w:t>
      </w:r>
    </w:p>
    <w:p>
      <w:r>
        <w:t>Actualmente el sitio se publica en GitHub Pages (rama master, sin workflow de CI/CD): https://evertmiguel311.github.io/EIA-SOFTWORKS/. GitHub Pages sirve los archivos a través de su propio CDN (Fastly) con cache fija de 10 minutos, ignorando por completo el .htaccess. Esto implica que un cambio recién publicado puede tardar unos minutos en verse reflejado para todos los visitantes. Hostinger sigue siendo el destino de despliegue planeado a futuro (por FTP o drag-and-drop).</w:t>
      </w:r>
    </w:p>
    <w:p>
      <w:pPr>
        <w:pStyle w:val="Heading2"/>
      </w:pPr>
      <w:r>
        <w:t>3.4 Stack tecnológico mostrado en el sitio (sección Tecnologías)</w:t>
      </w:r>
    </w:p>
    <w:p>
      <w:r>
        <w:t>El sitio exhibe, como parte de su contenido (no como tecnología usada para construir la página en sí), el stack con el que se desarrollan proyectos de clientes:</w:t>
      </w:r>
    </w:p>
    <w:p>
      <w:r>
        <w:t>React, Next.js, TypeScript, Tailwind CSS, Node.js, Python, Go, PostgreSQL, MySQL, Redis, GraphQL, Docker, Kubernetes</w:t>
      </w:r>
    </w:p>
    <w:p>
      <w:pPr>
        <w:pStyle w:val="Heading2"/>
      </w:pPr>
      <w:r>
        <w:t>3.5 Stack objetivo para etapas futuras</w:t>
      </w:r>
    </w:p>
    <w:p>
      <w:r>
        <w:t>Cuando el proyecto requiera funcionalidad real (portal de cliente, dashboard, autenticación, backend), la migración planeada es a: React, Next.js, TypeScript, Tailwind CSS, Framer Motion, Laravel y PostgreSQL. Los nombres de componentes actuales en HTML/CSS ya están pensados para mapear directo a componentes React (cada .glass-card, .tech-tile, .sector-card es conceptualmente un componente).</w:t>
      </w:r>
    </w:p>
    <w:p>
      <w:pPr>
        <w:pStyle w:val="Heading1"/>
      </w:pPr>
      <w:r>
        <w:t>4. Identidad visual y paleta de colores</w:t>
      </w:r>
    </w:p>
    <w:p>
      <w:r>
        <w:t>La paleta se define mediante custom properties CSS (oklch) en :root, dentro de styles.css. Todos los componentes derivan estos tokens en lugar de usar colores sueltos, lo que permite mantener consistencia entre las secciones oscuras y claras del sitio.</w:t>
      </w:r>
    </w:p>
    <w:p>
      <w:pPr>
        <w:pStyle w:val="Heading2"/>
      </w:pPr>
      <w:r>
        <w:t>4.1 Colores base (modo oscuro — dominante)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B5CE0"/>
          </w:tcPr>
          <w:p>
            <w:r>
              <w:rPr>
                <w:b/>
                <w:color w:val="FFFFFF"/>
              </w:rPr>
              <w:t>Muestra</w:t>
            </w:r>
          </w:p>
        </w:tc>
        <w:tc>
          <w:tcPr>
            <w:tcW w:type="dxa" w:w="2160"/>
            <w:shd w:val="clear" w:color="auto" w:fill="2B5CE0"/>
          </w:tcPr>
          <w:p>
            <w:r>
              <w:rPr>
                <w:b/>
                <w:color w:val="FFFFFF"/>
              </w:rPr>
              <w:t>Token</w:t>
            </w:r>
          </w:p>
        </w:tc>
        <w:tc>
          <w:tcPr>
            <w:tcW w:type="dxa" w:w="2160"/>
            <w:shd w:val="clear" w:color="auto" w:fill="2B5CE0"/>
          </w:tcPr>
          <w:p>
            <w:r>
              <w:rPr>
                <w:b/>
                <w:color w:val="FFFFFF"/>
              </w:rPr>
              <w:t>Valor</w:t>
            </w:r>
          </w:p>
        </w:tc>
        <w:tc>
          <w:tcPr>
            <w:tcW w:type="dxa" w:w="2160"/>
            <w:shd w:val="clear" w:color="auto" w:fill="2B5CE0"/>
          </w:tcPr>
          <w:p>
            <w:r>
              <w:rPr>
                <w:b/>
                <w:color w:val="FFFFFF"/>
              </w:rPr>
              <w:t>Uso</w:t>
            </w:r>
          </w:p>
        </w:tc>
      </w:tr>
      <w:tr>
        <w:tc>
          <w:tcPr>
            <w:tcW w:type="dxa" w:w="2160"/>
            <w:shd w:val="clear" w:color="auto" w:fill="141620"/>
          </w:tcPr>
          <w:p>
            <w:r/>
          </w:p>
        </w:tc>
        <w:tc>
          <w:tcPr>
            <w:tcW w:type="dxa" w:w="2160"/>
          </w:tcPr>
          <w:p>
            <w:r>
              <w:t>--bg</w:t>
            </w:r>
          </w:p>
        </w:tc>
        <w:tc>
          <w:tcPr>
            <w:tcW w:type="dxa" w:w="2160"/>
          </w:tcPr>
          <w:p>
            <w:r>
              <w:t>oklch(8% 0.007 262)</w:t>
            </w:r>
          </w:p>
        </w:tc>
        <w:tc>
          <w:tcPr>
            <w:tcW w:type="dxa" w:w="2160"/>
          </w:tcPr>
          <w:p>
            <w:r>
              <w:t>Fondo general — negro casi puro con leve temperatura fría</w:t>
            </w:r>
          </w:p>
        </w:tc>
      </w:tr>
      <w:tr>
        <w:tc>
          <w:tcPr>
            <w:tcW w:type="dxa" w:w="2160"/>
            <w:shd w:val="clear" w:color="auto" w:fill="2B5CE0"/>
          </w:tcPr>
          <w:p>
            <w:r/>
          </w:p>
        </w:tc>
        <w:tc>
          <w:tcPr>
            <w:tcW w:type="dxa" w:w="2160"/>
          </w:tcPr>
          <w:p>
            <w:r>
              <w:t>--accent</w:t>
            </w:r>
          </w:p>
        </w:tc>
        <w:tc>
          <w:tcPr>
            <w:tcW w:type="dxa" w:w="2160"/>
          </w:tcPr>
          <w:p>
            <w:r>
              <w:t>oklch(60% 0.22 258)</w:t>
            </w:r>
          </w:p>
        </w:tc>
        <w:tc>
          <w:tcPr>
            <w:tcW w:type="dxa" w:w="2160"/>
          </w:tcPr>
          <w:p>
            <w:r>
              <w:t>Acento principal — azul eléctrico</w:t>
            </w:r>
          </w:p>
        </w:tc>
      </w:tr>
      <w:tr>
        <w:tc>
          <w:tcPr>
            <w:tcW w:type="dxa" w:w="2160"/>
            <w:shd w:val="clear" w:color="auto" w:fill="4FC3D9"/>
          </w:tcPr>
          <w:p>
            <w:r/>
          </w:p>
        </w:tc>
        <w:tc>
          <w:tcPr>
            <w:tcW w:type="dxa" w:w="2160"/>
          </w:tcPr>
          <w:p>
            <w:r>
              <w:t>--accent-2</w:t>
            </w:r>
          </w:p>
        </w:tc>
        <w:tc>
          <w:tcPr>
            <w:tcW w:type="dxa" w:w="2160"/>
          </w:tcPr>
          <w:p>
            <w:r>
              <w:t>oklch(72% 0.14 195)</w:t>
            </w:r>
          </w:p>
        </w:tc>
        <w:tc>
          <w:tcPr>
            <w:tcW w:type="dxa" w:w="2160"/>
          </w:tcPr>
          <w:p>
            <w:r>
              <w:t>Acento secundario — cyan</w:t>
            </w:r>
          </w:p>
        </w:tc>
      </w:tr>
      <w:tr>
        <w:tc>
          <w:tcPr>
            <w:tcW w:type="dxa" w:w="2160"/>
            <w:shd w:val="clear" w:color="auto" w:fill="9A5FD1"/>
          </w:tcPr>
          <w:p>
            <w:r/>
          </w:p>
        </w:tc>
        <w:tc>
          <w:tcPr>
            <w:tcW w:type="dxa" w:w="2160"/>
          </w:tcPr>
          <w:p>
            <w:r>
              <w:t>--accent-3</w:t>
            </w:r>
          </w:p>
        </w:tc>
        <w:tc>
          <w:tcPr>
            <w:tcW w:type="dxa" w:w="2160"/>
          </w:tcPr>
          <w:p>
            <w:r>
              <w:t>oklch(62% 0.14 300)</w:t>
            </w:r>
          </w:p>
        </w:tc>
        <w:tc>
          <w:tcPr>
            <w:tcW w:type="dxa" w:w="2160"/>
          </w:tcPr>
          <w:p>
            <w:r>
              <w:t>Acento terciario — morado, muy sutil, nunca protagonista</w:t>
            </w:r>
          </w:p>
        </w:tc>
      </w:tr>
      <w:tr>
        <w:tc>
          <w:tcPr>
            <w:tcW w:type="dxa" w:w="2160"/>
            <w:shd w:val="clear" w:color="auto" w:fill="F5F6F8"/>
          </w:tcPr>
          <w:p>
            <w:r/>
          </w:p>
        </w:tc>
        <w:tc>
          <w:tcPr>
            <w:tcW w:type="dxa" w:w="2160"/>
          </w:tcPr>
          <w:p>
            <w:r>
              <w:t>--ink</w:t>
            </w:r>
          </w:p>
        </w:tc>
        <w:tc>
          <w:tcPr>
            <w:tcW w:type="dxa" w:w="2160"/>
          </w:tcPr>
          <w:p>
            <w:r>
              <w:t>#f5f6f8</w:t>
            </w:r>
          </w:p>
        </w:tc>
        <w:tc>
          <w:tcPr>
            <w:tcW w:type="dxa" w:w="2160"/>
          </w:tcPr>
          <w:p>
            <w:r>
              <w:t>Texto principal — nunca blanco puro</w:t>
            </w:r>
          </w:p>
        </w:tc>
      </w:tr>
      <w:tr>
        <w:tc>
          <w:tcPr>
            <w:tcW w:type="dxa" w:w="2160"/>
            <w:shd w:val="clear" w:color="auto" w:fill="FFFFFF"/>
          </w:tcPr>
          <w:p>
            <w:r/>
          </w:p>
        </w:tc>
        <w:tc>
          <w:tcPr>
            <w:tcW w:type="dxa" w:w="2160"/>
          </w:tcPr>
          <w:p>
            <w:r>
              <w:t>--glass</w:t>
            </w:r>
          </w:p>
        </w:tc>
        <w:tc>
          <w:tcPr>
            <w:tcW w:type="dxa" w:w="2160"/>
          </w:tcPr>
          <w:p>
            <w:r>
              <w:t>rgba(255,255,255,0.04)</w:t>
            </w:r>
          </w:p>
        </w:tc>
        <w:tc>
          <w:tcPr>
            <w:tcW w:type="dxa" w:w="2160"/>
          </w:tcPr>
          <w:p>
            <w:r>
              <w:t>Superficie de tarjetas — glassmorphism ligero</w:t>
            </w:r>
          </w:p>
        </w:tc>
      </w:tr>
      <w:tr>
        <w:tc>
          <w:tcPr>
            <w:tcW w:type="dxa" w:w="2160"/>
            <w:shd w:val="clear" w:color="auto" w:fill="E2543F"/>
          </w:tcPr>
          <w:p>
            <w:r/>
          </w:p>
        </w:tc>
        <w:tc>
          <w:tcPr>
            <w:tcW w:type="dxa" w:w="2160"/>
          </w:tcPr>
          <w:p>
            <w:r>
              <w:t>--danger</w:t>
            </w:r>
          </w:p>
        </w:tc>
        <w:tc>
          <w:tcPr>
            <w:tcW w:type="dxa" w:w="2160"/>
          </w:tcPr>
          <w:p>
            <w:r>
              <w:t>oklch(66% 0.2 20)</w:t>
            </w:r>
          </w:p>
        </w:tc>
        <w:tc>
          <w:tcPr>
            <w:tcW w:type="dxa" w:w="2160"/>
          </w:tcPr>
          <w:p>
            <w:r>
              <w:t>Color de error / campos obligatorios</w:t>
            </w:r>
          </w:p>
        </w:tc>
      </w:tr>
    </w:tbl>
    <w:p/>
    <w:p>
      <w:pPr>
        <w:pStyle w:val="Heading2"/>
      </w:pPr>
      <w:r>
        <w:t>4.2 Colores para secciones claras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B5CE0"/>
          </w:tcPr>
          <w:p>
            <w:r>
              <w:rPr>
                <w:b/>
                <w:color w:val="FFFFFF"/>
              </w:rPr>
              <w:t>Muestra</w:t>
            </w:r>
          </w:p>
        </w:tc>
        <w:tc>
          <w:tcPr>
            <w:tcW w:type="dxa" w:w="2160"/>
            <w:shd w:val="clear" w:color="auto" w:fill="2B5CE0"/>
          </w:tcPr>
          <w:p>
            <w:r>
              <w:rPr>
                <w:b/>
                <w:color w:val="FFFFFF"/>
              </w:rPr>
              <w:t>Token</w:t>
            </w:r>
          </w:p>
        </w:tc>
        <w:tc>
          <w:tcPr>
            <w:tcW w:type="dxa" w:w="2160"/>
            <w:shd w:val="clear" w:color="auto" w:fill="2B5CE0"/>
          </w:tcPr>
          <w:p>
            <w:r>
              <w:rPr>
                <w:b/>
                <w:color w:val="FFFFFF"/>
              </w:rPr>
              <w:t>Valor</w:t>
            </w:r>
          </w:p>
        </w:tc>
        <w:tc>
          <w:tcPr>
            <w:tcW w:type="dxa" w:w="2160"/>
            <w:shd w:val="clear" w:color="auto" w:fill="2B5CE0"/>
          </w:tcPr>
          <w:p>
            <w:r>
              <w:rPr>
                <w:b/>
                <w:color w:val="FFFFFF"/>
              </w:rPr>
              <w:t>Uso</w:t>
            </w:r>
          </w:p>
        </w:tc>
      </w:tr>
      <w:tr>
        <w:tc>
          <w:tcPr>
            <w:tcW w:type="dxa" w:w="2160"/>
            <w:shd w:val="clear" w:color="auto" w:fill="DCDFE8"/>
          </w:tcPr>
          <w:p>
            <w:r/>
          </w:p>
        </w:tc>
        <w:tc>
          <w:tcPr>
            <w:tcW w:type="dxa" w:w="2160"/>
          </w:tcPr>
          <w:p>
            <w:r>
              <w:t>--surface-light</w:t>
            </w:r>
          </w:p>
        </w:tc>
        <w:tc>
          <w:tcPr>
            <w:tcW w:type="dxa" w:w="2160"/>
          </w:tcPr>
          <w:p>
            <w:r>
              <w:t>oklch(89% 0.014 258)</w:t>
            </w:r>
          </w:p>
        </w:tc>
        <w:tc>
          <w:tcPr>
            <w:tcW w:type="dxa" w:w="2160"/>
          </w:tcPr>
          <w:p>
            <w:r>
              <w:t>Fondo de secciones claras — gris muy claro, nunca blanco puro</w:t>
            </w:r>
          </w:p>
        </w:tc>
      </w:tr>
      <w:tr>
        <w:tc>
          <w:tcPr>
            <w:tcW w:type="dxa" w:w="2160"/>
            <w:shd w:val="clear" w:color="auto" w:fill="2E313C"/>
          </w:tcPr>
          <w:p>
            <w:r/>
          </w:p>
        </w:tc>
        <w:tc>
          <w:tcPr>
            <w:tcW w:type="dxa" w:w="2160"/>
          </w:tcPr>
          <w:p>
            <w:r>
              <w:t>--ink-on-light</w:t>
            </w:r>
          </w:p>
        </w:tc>
        <w:tc>
          <w:tcPr>
            <w:tcW w:type="dxa" w:w="2160"/>
          </w:tcPr>
          <w:p>
            <w:r>
              <w:t>oklch(20% 0.014 260)</w:t>
            </w:r>
          </w:p>
        </w:tc>
        <w:tc>
          <w:tcPr>
            <w:tcW w:type="dxa" w:w="2160"/>
          </w:tcPr>
          <w:p>
            <w:r>
              <w:t>Texto sobre fondo claro — casi negro, nunca negro puro</w:t>
            </w:r>
          </w:p>
        </w:tc>
      </w:tr>
      <w:tr>
        <w:tc>
          <w:tcPr>
            <w:tcW w:type="dxa" w:w="2160"/>
            <w:shd w:val="clear" w:color="auto" w:fill="2249AD"/>
          </w:tcPr>
          <w:p>
            <w:r/>
          </w:p>
        </w:tc>
        <w:tc>
          <w:tcPr>
            <w:tcW w:type="dxa" w:w="2160"/>
          </w:tcPr>
          <w:p>
            <w:r>
              <w:t>--accent-on-light</w:t>
            </w:r>
          </w:p>
        </w:tc>
        <w:tc>
          <w:tcPr>
            <w:tcW w:type="dxa" w:w="2160"/>
          </w:tcPr>
          <w:p>
            <w:r>
              <w:t>oklch(46% 0.2 258)</w:t>
            </w:r>
          </w:p>
        </w:tc>
        <w:tc>
          <w:tcPr>
            <w:tcW w:type="dxa" w:w="2160"/>
          </w:tcPr>
          <w:p>
            <w:r>
              <w:t>Acento principal adaptado a fondo claro</w:t>
            </w:r>
          </w:p>
        </w:tc>
      </w:tr>
      <w:tr>
        <w:tc>
          <w:tcPr>
            <w:tcW w:type="dxa" w:w="2160"/>
            <w:shd w:val="clear" w:color="auto" w:fill="2E7A8C"/>
          </w:tcPr>
          <w:p>
            <w:r/>
          </w:p>
        </w:tc>
        <w:tc>
          <w:tcPr>
            <w:tcW w:type="dxa" w:w="2160"/>
          </w:tcPr>
          <w:p>
            <w:r>
              <w:t>--accent-2-on-light</w:t>
            </w:r>
          </w:p>
        </w:tc>
        <w:tc>
          <w:tcPr>
            <w:tcW w:type="dxa" w:w="2160"/>
          </w:tcPr>
          <w:p>
            <w:r>
              <w:t>oklch(44% 0.13 195)</w:t>
            </w:r>
          </w:p>
        </w:tc>
        <w:tc>
          <w:tcPr>
            <w:tcW w:type="dxa" w:w="2160"/>
          </w:tcPr>
          <w:p>
            <w:r>
              <w:t>Acento secundario adaptado a fondo claro</w:t>
            </w:r>
          </w:p>
        </w:tc>
      </w:tr>
    </w:tbl>
    <w:p/>
    <w:p>
      <w:pPr>
        <w:pStyle w:val="Heading2"/>
      </w:pPr>
      <w:r>
        <w:t>4.3 Tipografía</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B5CE0"/>
          </w:tcPr>
          <w:p>
            <w:r>
              <w:rPr>
                <w:b/>
                <w:color w:val="FFFFFF"/>
              </w:rPr>
              <w:t>Fuente</w:t>
            </w:r>
          </w:p>
        </w:tc>
        <w:tc>
          <w:tcPr>
            <w:tcW w:type="dxa" w:w="4320"/>
            <w:shd w:val="clear" w:color="auto" w:fill="2B5CE0"/>
          </w:tcPr>
          <w:p>
            <w:r>
              <w:rPr>
                <w:b/>
                <w:color w:val="FFFFFF"/>
              </w:rPr>
              <w:t>Uso</w:t>
            </w:r>
          </w:p>
        </w:tc>
      </w:tr>
      <w:tr>
        <w:tc>
          <w:tcPr>
            <w:tcW w:type="dxa" w:w="4320"/>
          </w:tcPr>
          <w:p>
            <w:r>
              <w:t>Inter</w:t>
            </w:r>
          </w:p>
        </w:tc>
        <w:tc>
          <w:tcPr>
            <w:tcW w:type="dxa" w:w="4320"/>
          </w:tcPr>
          <w:p>
            <w:r>
              <w:t>Texto general y títulos (cuerpo de lectura)</w:t>
            </w:r>
          </w:p>
        </w:tc>
      </w:tr>
      <w:tr>
        <w:tc>
          <w:tcPr>
            <w:tcW w:type="dxa" w:w="4320"/>
          </w:tcPr>
          <w:p>
            <w:r>
              <w:t>JetBrains Mono</w:t>
            </w:r>
          </w:p>
        </w:tc>
        <w:tc>
          <w:tcPr>
            <w:tcW w:type="dxa" w:w="4320"/>
          </w:tcPr>
          <w:p>
            <w:r>
              <w:t>Solo para kickers, etiquetas técnicas y metadatos — nunca texto de lectura</w:t>
            </w:r>
          </w:p>
        </w:tc>
      </w:tr>
    </w:tbl>
    <w:p/>
    <w:p>
      <w:pPr>
        <w:pStyle w:val="Heading2"/>
      </w:pPr>
      <w:r>
        <w:t>4.4 Reglas de uso de color y diseño</w:t>
      </w:r>
    </w:p>
    <w:p>
      <w:pPr>
        <w:pStyle w:val="ListBullet"/>
      </w:pPr>
      <w:r>
        <w:t>El morado (--accent-3) es siempre un color de apoyo (ícono, halo, detalle) — nunca la base de una sección.</w:t>
      </w:r>
    </w:p>
    <w:p>
      <w:pPr>
        <w:pStyle w:val="ListBullet"/>
      </w:pPr>
      <w:r>
        <w:t>Máximo: fondo + 1 acento protagonista + 1 acento de apoyo visibles a la vez.</w:t>
      </w:r>
    </w:p>
    <w:p>
      <w:pPr>
        <w:pStyle w:val="ListBullet"/>
      </w:pPr>
      <w:r>
        <w:t>El sitio alterna secciones oscuras (mayoría) con secciones claras para dar descanso visual: Hero (oscuro) → Sobre mí (oscuro) → Servicios (claro) → Sectores (oscuro) → Proceso (oscuro) → FAQ (claro) → Tecnologías (oscuro) → Contacto (claro) → Footer (oscuro).</w:t>
      </w:r>
    </w:p>
    <w:p>
      <w:pPr>
        <w:pStyle w:val="ListBullet"/>
      </w:pPr>
      <w:r>
        <w:t>Glassmorphism ligero: blur discreto, bordes casi invisibles, nunca cristal "pesado".</w:t>
      </w:r>
    </w:p>
    <w:p>
      <w:pPr>
        <w:pStyle w:val="ListBullet"/>
      </w:pPr>
      <w:r>
        <w:t>Bordes redondeados moderados (14–20px), consistentes entre componentes.</w:t>
      </w:r>
    </w:p>
    <w:p>
      <w:pPr>
        <w:pStyle w:val="ListBullet"/>
      </w:pPr>
      <w:r>
        <w:t>Nunca blanco puro ni negro puro, en ningún modo.</w:t>
      </w:r>
    </w:p>
    <w:p>
      <w:pPr>
        <w:pStyle w:val="Heading1"/>
      </w:pPr>
      <w:r>
        <w:t>5. Componentes reutilizables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B5CE0"/>
          </w:tcPr>
          <w:p>
            <w:r>
              <w:rPr>
                <w:b/>
                <w:color w:val="FFFFFF"/>
              </w:rPr>
              <w:t>Componente</w:t>
            </w:r>
          </w:p>
        </w:tc>
        <w:tc>
          <w:tcPr>
            <w:tcW w:type="dxa" w:w="4320"/>
            <w:shd w:val="clear" w:color="auto" w:fill="2B5CE0"/>
          </w:tcPr>
          <w:p>
            <w:r>
              <w:rPr>
                <w:b/>
                <w:color w:val="FFFFFF"/>
              </w:rPr>
              <w:t>Responsabilidad</w:t>
            </w:r>
          </w:p>
        </w:tc>
      </w:tr>
      <w:tr>
        <w:tc>
          <w:tcPr>
            <w:tcW w:type="dxa" w:w="4320"/>
          </w:tcPr>
          <w:p>
            <w:r>
              <w:t>.glass-card</w:t>
            </w:r>
          </w:p>
        </w:tc>
        <w:tc>
          <w:tcPr>
            <w:tcW w:type="dxa" w:w="4320"/>
          </w:tcPr>
          <w:p>
            <w:r>
              <w:t>Superficie flotante con glassmorphism + tilt 3D + halo opcional</w:t>
            </w:r>
          </w:p>
        </w:tc>
      </w:tr>
      <w:tr>
        <w:tc>
          <w:tcPr>
            <w:tcW w:type="dxa" w:w="4320"/>
          </w:tcPr>
          <w:p>
            <w:r>
              <w:t>.btn (.btn-solid / .btn-ghost)</w:t>
            </w:r>
          </w:p>
        </w:tc>
        <w:tc>
          <w:tcPr>
            <w:tcW w:type="dxa" w:w="4320"/>
          </w:tcPr>
          <w:p>
            <w:r>
              <w:t>Acción primaria / secundaria</w:t>
            </w:r>
          </w:p>
        </w:tc>
      </w:tr>
      <w:tr>
        <w:tc>
          <w:tcPr>
            <w:tcW w:type="dxa" w:w="4320"/>
          </w:tcPr>
          <w:p>
            <w:r>
              <w:t>.tech-tile</w:t>
            </w:r>
          </w:p>
        </w:tc>
        <w:tc>
          <w:tcPr>
            <w:tcW w:type="dxa" w:w="4320"/>
          </w:tcPr>
          <w:p>
            <w:r>
              <w:t>Logo a color de una tecnología, flotando sobre el fondo (sin chip)</w:t>
            </w:r>
          </w:p>
        </w:tc>
      </w:tr>
      <w:tr>
        <w:tc>
          <w:tcPr>
            <w:tcW w:type="dxa" w:w="4320"/>
          </w:tcPr>
          <w:p>
            <w:r>
              <w:t>.sector-card</w:t>
            </w:r>
          </w:p>
        </w:tc>
        <w:tc>
          <w:tcPr>
            <w:tcW w:type="dxa" w:w="4320"/>
          </w:tcPr>
          <w:p>
            <w:r>
              <w:t>Tarjeta con ilustración de fondo + overlay + contenido</w:t>
            </w:r>
          </w:p>
        </w:tc>
      </w:tr>
      <w:tr>
        <w:tc>
          <w:tcPr>
            <w:tcW w:type="dxa" w:w="4320"/>
          </w:tcPr>
          <w:p>
            <w:r>
              <w:t>.abstract-visual</w:t>
            </w:r>
          </w:p>
        </w:tc>
        <w:tc>
          <w:tcPr>
            <w:tcW w:type="dxa" w:w="4320"/>
          </w:tcPr>
          <w:p>
            <w:r>
              <w:t>Ilustración abstracta en SVG — reemplaza fotografía de stock</w:t>
            </w:r>
          </w:p>
        </w:tc>
      </w:tr>
      <w:tr>
        <w:tc>
          <w:tcPr>
            <w:tcW w:type="dxa" w:w="4320"/>
          </w:tcPr>
          <w:p>
            <w:r>
              <w:t>.faq-item</w:t>
            </w:r>
          </w:p>
        </w:tc>
        <w:tc>
          <w:tcPr>
            <w:tcW w:type="dxa" w:w="4320"/>
          </w:tcPr>
          <w:p>
            <w:r>
              <w:t>Acordeón nativo (&lt;details&gt;), funciona sin JavaScript</w:t>
            </w:r>
          </w:p>
        </w:tc>
      </w:tr>
      <w:tr>
        <w:tc>
          <w:tcPr>
            <w:tcW w:type="dxa" w:w="4320"/>
          </w:tcPr>
          <w:p>
            <w:r>
              <w:t>[data-reveal]</w:t>
            </w:r>
          </w:p>
        </w:tc>
        <w:tc>
          <w:tcPr>
            <w:tcW w:type="dxa" w:w="4320"/>
          </w:tcPr>
          <w:p>
            <w:r>
              <w:t>Reveal on scroll — nunca oculta contenido crítico sin fallback</w:t>
            </w:r>
          </w:p>
        </w:tc>
      </w:tr>
      <w:tr>
        <w:tc>
          <w:tcPr>
            <w:tcW w:type="dxa" w:w="4320"/>
          </w:tcPr>
          <w:p>
            <w:r>
              <w:t>.about-portrait</w:t>
            </w:r>
          </w:p>
        </w:tc>
        <w:tc>
          <w:tcPr>
            <w:tcW w:type="dxa" w:w="4320"/>
          </w:tcPr>
          <w:p>
            <w:r>
              <w:t>Retrato circular con anillo de gradiente de marca</w:t>
            </w:r>
          </w:p>
        </w:tc>
      </w:tr>
      <w:tr>
        <w:tc>
          <w:tcPr>
            <w:tcW w:type="dxa" w:w="4320"/>
          </w:tcPr>
          <w:p>
            <w:r>
              <w:t>.contact-icon / .footer-icon</w:t>
            </w:r>
          </w:p>
        </w:tc>
        <w:tc>
          <w:tcPr>
            <w:tcW w:type="dxa" w:w="4320"/>
          </w:tcPr>
          <w:p>
            <w:r>
              <w:t>Ícono minimalista junto a un dato de contacto</w:t>
            </w:r>
          </w:p>
        </w:tc>
      </w:tr>
      <w:tr>
        <w:tc>
          <w:tcPr>
            <w:tcW w:type="dxa" w:w="4320"/>
          </w:tcPr>
          <w:p>
            <w:r>
              <w:t>.footer-social-link</w:t>
            </w:r>
          </w:p>
        </w:tc>
        <w:tc>
          <w:tcPr>
            <w:tcW w:type="dxa" w:w="4320"/>
          </w:tcPr>
          <w:p>
            <w:r>
              <w:t>Ícono circular de red social en el footer</w:t>
            </w:r>
          </w:p>
        </w:tc>
      </w:tr>
      <w:tr>
        <w:tc>
          <w:tcPr>
            <w:tcW w:type="dxa" w:w="4320"/>
          </w:tcPr>
          <w:p>
            <w:r>
              <w:t>[data-open-modal]</w:t>
            </w:r>
          </w:p>
        </w:tc>
        <w:tc>
          <w:tcPr>
            <w:tcW w:type="dxa" w:w="4320"/>
          </w:tcPr>
          <w:p>
            <w:r>
              <w:t>Botón que abre un modal (agenda o política de datos)</w:t>
            </w:r>
          </w:p>
        </w:tc>
      </w:tr>
      <w:tr>
        <w:tc>
          <w:tcPr>
            <w:tcW w:type="dxa" w:w="4320"/>
          </w:tcPr>
          <w:p>
            <w:r>
              <w:t>.required-mark</w:t>
            </w:r>
          </w:p>
        </w:tc>
        <w:tc>
          <w:tcPr>
            <w:tcW w:type="dxa" w:w="4320"/>
          </w:tcPr>
          <w:p>
            <w:r>
              <w:t>Asterisco de campo obligatorio, siempre junto al atributo HTML required</w:t>
            </w:r>
          </w:p>
        </w:tc>
      </w:tr>
      <w:tr>
        <w:tc>
          <w:tcPr>
            <w:tcW w:type="dxa" w:w="4320"/>
          </w:tcPr>
          <w:p>
            <w:r>
              <w:t>.field-consent / .consent-row</w:t>
            </w:r>
          </w:p>
        </w:tc>
        <w:tc>
          <w:tcPr>
            <w:tcW w:type="dxa" w:w="4320"/>
          </w:tcPr>
          <w:p>
            <w:r>
              <w:t>Checkbox de consentimiento de datos antes de enviar el formulario</w:t>
            </w:r>
          </w:p>
        </w:tc>
      </w:tr>
    </w:tbl>
    <w:p/>
    <w:p>
      <w:pPr>
        <w:pStyle w:val="Heading1"/>
      </w:pPr>
      <w:r>
        <w:t>6. Filosofía y principios del proyecto</w:t>
      </w:r>
    </w:p>
    <w:p>
      <w:r>
        <w:t>La página no busca vender software de forma agresiva: busca transmitir confianza. La pregunta que guía toda decisión de diseño o contenido es: "¿Esto genera más confianza?". Si la respuesta es no, se elimina, sin importar cuán vistoso sea el resultado.</w:t>
      </w:r>
    </w:p>
    <w:p>
      <w:pPr>
        <w:pStyle w:val="Heading2"/>
      </w:pPr>
      <w:r>
        <w:t>6.1 Referentes de diseño</w:t>
      </w:r>
    </w:p>
    <w:p>
      <w:r>
        <w:t>Apple · Linear · Stripe · Vercel · Notion · OpenAI — tipografía cuidada, espacio en blanco, un efecto distintivo por sección, jerarquía clara, restricción de color.</w:t>
      </w:r>
    </w:p>
    <w:p>
      <w:pPr>
        <w:pStyle w:val="Heading2"/>
      </w:pPr>
      <w:r>
        <w:t>6.2 Restricciones explícitas de contenido</w:t>
      </w:r>
    </w:p>
    <w:p>
      <w:r>
        <w:t>El sitio nunca incluye:</w:t>
      </w:r>
    </w:p>
    <w:p>
      <w:pPr>
        <w:pStyle w:val="ListBullet"/>
      </w:pPr>
      <w:r>
        <w:t>Testimonios</w:t>
      </w:r>
    </w:p>
    <w:p>
      <w:pPr>
        <w:pStyle w:val="ListBullet"/>
      </w:pPr>
      <w:r>
        <w:t>Estadísticas o cifras falsas</w:t>
      </w:r>
    </w:p>
    <w:p>
      <w:pPr>
        <w:pStyle w:val="ListBullet"/>
      </w:pPr>
      <w:r>
        <w:t>Clientes ficticios</w:t>
      </w:r>
    </w:p>
    <w:p>
      <w:pPr>
        <w:pStyle w:val="ListBullet"/>
      </w:pPr>
      <w:r>
        <w:t>Años de experiencia inventados</w:t>
      </w:r>
    </w:p>
    <w:p>
      <w:pPr>
        <w:pStyle w:val="ListBullet"/>
      </w:pPr>
      <w:r>
        <w:t>Frases exageradas ("líderes del mercado", "+500 clientes")</w:t>
      </w:r>
    </w:p>
    <w:p>
      <w:pPr>
        <w:pStyle w:val="ListBullet"/>
      </w:pPr>
      <w:r>
        <w:t>Marketing agresivo</w:t>
      </w:r>
    </w:p>
    <w:p>
      <w:pPr>
        <w:pStyle w:val="ListBullet"/>
      </w:pPr>
      <w:r>
        <w:t>Elementos cyberpunk exagerados</w:t>
      </w:r>
    </w:p>
    <w:p>
      <w:pPr>
        <w:pStyle w:val="ListBullet"/>
      </w:pPr>
      <w:r>
        <w:t>Mención decorativa de IA sin sustento real</w:t>
      </w:r>
    </w:p>
    <w:p>
      <w:pPr>
        <w:pStyle w:val="ListBullet"/>
      </w:pPr>
      <w:r>
        <w:t>Iconografía de robots</w:t>
      </w:r>
    </w:p>
    <w:p>
      <w:pPr>
        <w:pStyle w:val="ListBullet"/>
      </w:pPr>
      <w:r>
        <w:t>Fotografía de stock genérica</w:t>
      </w:r>
    </w:p>
    <w:p>
      <w:r>
        <w:t>Si no existe un dato real y verificable para una sección, la sección se omite — nunca se rellena con contenido inventado.</w:t>
      </w:r>
    </w:p>
    <w:p>
      <w:pPr>
        <w:pStyle w:val="Heading2"/>
      </w:pPr>
      <w:r>
        <w:t>6.3 Accesibilidad</w:t>
      </w:r>
    </w:p>
    <w:p>
      <w:pPr>
        <w:pStyle w:val="ListBullet"/>
      </w:pPr>
      <w:r>
        <w:t>Un único &lt;h1&gt; por página, jerarquía semántica de encabezados.</w:t>
      </w:r>
    </w:p>
    <w:p>
      <w:pPr>
        <w:pStyle w:val="ListBullet"/>
      </w:pPr>
      <w:r>
        <w:t>alt descriptivo en imágenes de contenido; aria-hidden en decorativas.</w:t>
      </w:r>
    </w:p>
    <w:p>
      <w:pPr>
        <w:pStyle w:val="ListBullet"/>
      </w:pPr>
      <w:r>
        <w:t>Skip-link funcional, :focus-visible siempre visible.</w:t>
      </w:r>
    </w:p>
    <w:p>
      <w:pPr>
        <w:pStyle w:val="ListBullet"/>
      </w:pPr>
      <w:r>
        <w:t>Contraste mínimo 4.5:1 (texto normal) / 3:1 (texto grande).</w:t>
      </w:r>
    </w:p>
    <w:p>
      <w:pPr>
        <w:pStyle w:val="ListBullet"/>
      </w:pPr>
      <w:r>
        <w:t>El sitio es usable con JavaScript desactivado.</w:t>
      </w:r>
    </w:p>
    <w:p>
      <w:pPr>
        <w:pStyle w:val="Heading1"/>
      </w:pPr>
      <w:r>
        <w:t>7. Cambios recientes relevantes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B5CE0"/>
          </w:tcPr>
          <w:p>
            <w:r>
              <w:rPr>
                <w:b/>
                <w:color w:val="FFFFFF"/>
              </w:rPr>
              <w:t>Fecha</w:t>
            </w:r>
          </w:p>
        </w:tc>
        <w:tc>
          <w:tcPr>
            <w:tcW w:type="dxa" w:w="4320"/>
            <w:shd w:val="clear" w:color="auto" w:fill="2B5CE0"/>
          </w:tcPr>
          <w:p>
            <w:r>
              <w:rPr>
                <w:b/>
                <w:color w:val="FFFFFF"/>
              </w:rPr>
              <w:t>Cambio</w:t>
            </w:r>
          </w:p>
        </w:tc>
      </w:tr>
      <w:tr>
        <w:tc>
          <w:tcPr>
            <w:tcW w:type="dxa" w:w="4320"/>
          </w:tcPr>
          <w:p>
            <w:r>
              <w:t>2026-07-21</w:t>
            </w:r>
          </w:p>
        </w:tc>
        <w:tc>
          <w:tcPr>
            <w:tcW w:type="dxa" w:w="4320"/>
          </w:tcPr>
          <w:p>
            <w:r>
              <w:t>Animación del Hero: gradiente en loop, isotipo flotante más rápido, flujo en líneas de red</w:t>
            </w:r>
          </w:p>
        </w:tc>
      </w:tr>
      <w:tr>
        <w:tc>
          <w:tcPr>
            <w:tcW w:type="dxa" w:w="4320"/>
          </w:tcPr>
          <w:p>
            <w:r>
              <w:t>2026-07-18</w:t>
            </w:r>
          </w:p>
        </w:tc>
        <w:tc>
          <w:tcPr>
            <w:tcW w:type="dxa" w:w="4320"/>
          </w:tcPr>
          <w:p>
            <w:r>
              <w:t>Rediseño del formulario de agenda, alternancia de tonos de sección, limpieza de código muerto</w:t>
            </w:r>
          </w:p>
        </w:tc>
      </w:tr>
      <w:tr>
        <w:tc>
          <w:tcPr>
            <w:tcW w:type="dxa" w:w="4320"/>
          </w:tcPr>
          <w:p>
            <w:r>
              <w:t>2026-07-18</w:t>
            </w:r>
          </w:p>
        </w:tc>
        <w:tc>
          <w:tcPr>
            <w:tcW w:type="dxa" w:w="4320"/>
          </w:tcPr>
          <w:p>
            <w:r>
              <w:t>Campo Empresa (opcional), teléfono ahora obligatorio, checkbox de consentimiento de datos + modal de política</w:t>
            </w:r>
          </w:p>
        </w:tc>
      </w:tr>
      <w:tr>
        <w:tc>
          <w:tcPr>
            <w:tcW w:type="dxa" w:w="4320"/>
          </w:tcPr>
          <w:p>
            <w:r>
              <w:t>2026-07-17</w:t>
            </w:r>
          </w:p>
        </w:tc>
        <w:tc>
          <w:tcPr>
            <w:tcW w:type="dxa" w:w="4320"/>
          </w:tcPr>
          <w:p>
            <w:r>
              <w:t>Corrección de alineación del correo en el footer</w:t>
            </w:r>
          </w:p>
        </w:tc>
      </w:tr>
      <w:tr>
        <w:tc>
          <w:tcPr>
            <w:tcW w:type="dxa" w:w="4320"/>
          </w:tcPr>
          <w:p>
            <w:r>
              <w:t>2026-07-18</w:t>
            </w:r>
          </w:p>
        </w:tc>
        <w:tc>
          <w:tcPr>
            <w:tcW w:type="dxa" w:w="4320"/>
          </w:tcPr>
          <w:p>
            <w:r>
              <w:t>Eliminación de la carpeta lib/ (GSAP y ScrollTrigger sin usar, manifest.js muerto)</w:t>
            </w:r>
          </w:p>
        </w:tc>
      </w:tr>
      <w:tr>
        <w:tc>
          <w:tcPr>
            <w:tcW w:type="dxa" w:w="4320"/>
          </w:tcPr>
          <w:p>
            <w:r>
              <w:t>2026-07-17</w:t>
            </w:r>
          </w:p>
        </w:tc>
        <w:tc>
          <w:tcPr>
            <w:tcW w:type="dxa" w:w="4320"/>
          </w:tcPr>
          <w:p>
            <w:r>
              <w:t>Retrato real del fundador agregado en Sobre mí (.about-portrait)</w:t>
            </w:r>
          </w:p>
        </w:tc>
      </w:tr>
      <w:tr>
        <w:tc>
          <w:tcPr>
            <w:tcW w:type="dxa" w:w="4320"/>
          </w:tcPr>
          <w:p>
            <w:r>
              <w:t>2026-07-17</w:t>
            </w:r>
          </w:p>
        </w:tc>
        <w:tc>
          <w:tcPr>
            <w:tcW w:type="dxa" w:w="4320"/>
          </w:tcPr>
          <w:p>
            <w:r>
              <w:t>Nav rediseñado como pill flotante con glass permanente</w:t>
            </w:r>
          </w:p>
        </w:tc>
      </w:tr>
      <w:tr>
        <w:tc>
          <w:tcPr>
            <w:tcW w:type="dxa" w:w="4320"/>
          </w:tcPr>
          <w:p>
            <w:r>
              <w:t>2026-07-16</w:t>
            </w:r>
          </w:p>
        </w:tc>
        <w:tc>
          <w:tcPr>
            <w:tcW w:type="dxa" w:w="4320"/>
          </w:tcPr>
          <w:p>
            <w:r>
              <w:t>Eliminación de la sección "Soluciones" por duplicar contenido de Servicios</w:t>
            </w:r>
          </w:p>
        </w:tc>
      </w:tr>
      <w:tr>
        <w:tc>
          <w:tcPr>
            <w:tcW w:type="dxa" w:w="4320"/>
          </w:tcPr>
          <w:p>
            <w:r>
              <w:t>2026-07-15</w:t>
            </w:r>
          </w:p>
        </w:tc>
        <w:tc>
          <w:tcPr>
            <w:tcW w:type="dxa" w:w="4320"/>
          </w:tcPr>
          <w:p>
            <w:r>
              <w:t>Reemplazo de toda la fotografía de stock por ilustraciones SVG propias (.abstract-visual)</w:t>
            </w:r>
          </w:p>
        </w:tc>
      </w:tr>
    </w:tbl>
    <w:p/>
    <w:p/>
    <w:p>
      <w:r>
        <w:rPr>
          <w:i/>
        </w:rPr>
        <w:t>Informe generado automáticamente a partir del estado actual del repositorio (CLAUDE.md, index.html, styles.css, main.js) el 21 de julio de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16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5CE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161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61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