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Método de uso do CEP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806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Revisão e data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00 — minuta · 20/10/2026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Situação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Aguardando validação visual e inclusão dos prints da Sprint 3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e aprovação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 pelo controle documental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Aplicação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QMS web — planejamento, limites de controle e investigação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 FINALIDADE E RESPONSABILIDADES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Programar conjuntos CEP de 25 amostras com três leituras, acompanhar o atendimento da meta e tratar as ocorrências das análises. Este complemento utiliza os métodos de coleta e cartas das Sprints 1 e 2, preservando seu histórico. As telas novas ainda precisam de validação visual; esta minuta não contém prints antigos apresentados como se fossem desta sprint.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806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Operações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Programar, coletar, analisar, aprovar ou revogar limites e tratar ocorrências.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Engenharia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Programar, coletar, analisar e tratar ocorrências.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Qualidade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Programar, analisar, aprovar ou revogar limites e tratar ocorrências.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Técnico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Coletar, vincular conjuntos e tratar ocorrências.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Leitor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Consultar programação, limites, análises, ocorrências e históricos.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2 PROGRAMAR O DIA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Acessar CEP operacional no menu. Informar a Data planejada e clicar em Consultar programação. O filtro localiza processo, título ou responsável. Sem programação, o cumprimento da meta é apresentado como indisponível, com a indicação Sem meta definida.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Expandir Nova programação. Selecionar a característica ativa, informar título, turno T1, T2 ou T3, responsável ativo, meta de 1 a 100 conjuntos e prazo na mesma data planejada. O horário é de São Paulo. Salvar programação e conferir a mensagem de registro.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Criar a coleta em Conjuntos CEP 25 × 3. Na seção Vincular uma coleta à programação, selecionar a programação e informar o ID do conjunto. Conferir característica, revisão e turno. O conjunto só pode contar em uma programação e a quantidade de vínculos não pode ultrapassar a meta.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3 ACOMPANHAR METAS E 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1872"/>
        <w:gridCol w:w="8208"/>
      </w:tblGrid>
      <w:tr>
        <w:trPr>
          <w:tblHeader/>
        </w:trPr>
        <w:tc>
          <w:tcPr>
            <w:tcW w:type="dxa" w:w="1872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8208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Condição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Planejada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Programação sem conjunto vinculado e ainda no prazo.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 coleta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Existe conjunto vinculado e a meta ainda não foi preenchida.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 análise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Meta de coleta preenchida sem todas as análises, ou investigação aberta.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Atrasada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Prazo ultrapassado sem cumprir todas as condições de conclusão.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Concluída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Meta de coletas válidas atingida, conjuntos analisados e nenhuma ocorrência aberta.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Cancelada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Cancelamento registrado por perfil autorizado, com motivo e histórico preservados.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 percentual de cumprimento compara conjuntos completos válidos com a meta, considerando somente programações não canceladas no filtro. Ele é diferente do percentual de preenchimento das 75 leituras de cada coleta. Conclusão operacional não equivale a aprovação estatística ou liberação de produto.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Se uma coleta for preenchida com turno ou revisão incompatível, ela não conta como completa para a programação. A data do painel é a data planejada e o estado mostrado é o atual. O histórico registra cada vínculo ou cancelamento; não se trata de uma fotografia congelada do encerramento do dia.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4 APROVAR E REVOGAR LIMITES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Qualidade ou Administração acessa Limites aprovados, expande Aprovar limites de uma análise e informa o ID da análise de base, validade em dias e justificativa técnica. A validade inicial é sugerida pelas definições e pode ser ajustada de 1 a 3650 dias.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 base deve usar limites estimados, ter variação intramostra positiva, não apresentar sinais nas regras avaliadas nem leituras fora da especificação e não possuir investigação aberta. A característica deve estar ativa na mesma revisão. Aprovar e registrar decisão preserva o resultado original e o usuário responsável.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Na página Cartas CEP, selecionar o conjunto e a Origem dos limites. Uma aprovação só se aplica à mesma característica e revisão, a uma coleta diferente da base e a leituras realizadas durante sua vigência. Aprovação vencida, revogada ou incompatível é rejeitada pelo servidor. O resultado preserva a origem e as linhas centrais da base aprovada.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Para interromper o uso de limites, expandir Revogar limites aprovados, escolher o registro, informar o motivo e registrar a revogação. Resultados já salvos permanecem consultáveis. Uma nova versão de limites requer nova base e nova decisão, sem editar a aprovação anterior.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5 REGRAS E INVESTIGAÇÃO DE OCORRÊNCIAS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Novas análises preservam a versão ativa das definições: fora dos limites em X̄ e R, N médias do mesmo lado da linha central, N médias estritamente crescentes ou decrescentes e proximidade da especificação. Para sequências configuráveis, N varia de 2 a 25. As duas regras próprias de sete médias crescentes acima do nominal ou decrescentes abaixo do nominal continuam fixas.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 proximidade compara a distância da média ao centro da especificação com a metade da faixa LSL–USL. Por exemplo, 95% identifica a faixa próxima às extremidades. Essa regra só é avaliada com os dois limites cadastrados. Controle e especificação continuam separados.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Sinais, leituras fora da especificação ou amplitude média zero em novas análises operacionais abrem uma ocorrência por análise. O responsável inicial é quem executou a análise, com prazo inicial de 24 horas. Conferir e ajustar o responsável e o prazo conforme a rotina do processo.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Acessar Ocorrências e ações, disponível para todas as datas. Clicar em Tratar ocorrência. Informar responsável, prazo, situação, causa, ação executada e verificação de eficácia. Para Encerrada, causa, ação e verificação são obrigatórias. Para ocorrência aberta ou em investigação, a atualização deve definir prazo futuro. Salvar investigação e conferir a mensagem.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Uma ocorrência encerrada pode ser reaberta com nova atualização, mantendo o histórico. A análise não é recalculada nem tem seus sinais apagados ao encerrar a ação. Reanalisar com as mesmas regras e limites abre o registro existente; trocar a versão das regras ou a base cria outra análise com rastreio próprio.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6 CONSULTAR HISTÓRICO E CORRIGIR REGISTROS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Usar os botões de histórico da programação, dos limites e da ocorrência. Cada evento apresenta data local, autor e registros antes/depois. Ao receber aviso de alteração simultânea, recarregar e conferir a versão atual antes de editar novamente.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Vínculos não são apagados. Para corrigir uma programação que não possa mais ser atendida pelos conjuntos vinculados, cancelar com justificativa e registrar a nova programação. Não excluir amostras, alterar datas ou remover sinais para contornar uma rejeição.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7 CONTROLE DA MINUTA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Rev. 00 — implementação da Sprint 3. Pendência de fechamento: validar os fluxos no navegador, registrar os prints reais e atualizar esta minuta. Código oficial, revisão técnica e aprovação: a preencher. A demonstração local usa admin/admin; a homologação corporativa continua em etapa própria.</w:t>
      </w:r>
    </w:p>
    <w:sectPr w:rsidR="00706B6B" w:rsidSect="000A7740">
      <w:headerReference w:type="default" r:id="rId10"/>
      <w:footerReference w:type="default" r:id="rId11"/>
      <w:pgSz w:w="12240" w:h="15840"/>
      <w:pgMar w:top="1550" w:right="1041" w:bottom="1702" w:left="993" w:header="288" w:footer="6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318D" w14:textId="77777777" w:rsidR="00374851" w:rsidRDefault="00374851">
      <w:r>
        <w:separator/>
      </w:r>
    </w:p>
  </w:endnote>
  <w:endnote w:type="continuationSeparator" w:id="0">
    <w:p w14:paraId="064EE2CC" w14:textId="77777777" w:rsidR="00374851" w:rsidRDefault="0037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FC5B" w14:textId="77777777" w:rsidR="004112D1" w:rsidRDefault="004112D1">
    <w:pPr>
      <w:pStyle w:val="Footer"/>
      <w:spacing w:before="60"/>
      <w:jc w:val="center"/>
    </w:pPr>
    <w:r>
      <w:rPr>
        <w:color w:val="5C6670"/>
        <w:sz w:val="14"/>
      </w:rPr>
      <w:t xml:space="preserve">QMS CEP — MINUTA  </w:t>
    </w:r>
    <w:r>
      <w:rPr>
        <w:color w:val="5C6670"/>
        <w:sz w:val="14"/>
      </w:rPr>
      <w:t xml:space="preserve">|  Rev. 00  |  20/10/2026  |  Página </w:t>
    </w:r>
    <w:r>
      <w:fldChar w:fldCharType="begin"/>
    </w:r>
    <w:r>
      <w:instrText>PAGE</w:instrText>
    </w:r>
    <w:r>
      <w:fldChar w:fldCharType="separate"/>
    </w:r>
    <w:r w:rsidR="00FF2A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E98B" w14:textId="77777777" w:rsidR="00374851" w:rsidRDefault="00374851">
      <w:r>
        <w:separator/>
      </w:r>
    </w:p>
  </w:footnote>
  <w:footnote w:type="continuationSeparator" w:id="0">
    <w:p w14:paraId="75D8416A" w14:textId="77777777" w:rsidR="00374851" w:rsidRDefault="00374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0" w:type="dxa"/>
      <w:tblInd w:w="-34" w:type="dxa"/>
      <w:tblBorders>
        <w:top w:val="double" w:sz="4" w:space="0" w:color="auto"/>
        <w:bottom w:val="double" w:sz="4" w:space="0" w:color="auto"/>
      </w:tblBorders>
      <w:tblLook w:val="01E0" w:firstRow="1" w:lastRow="1" w:firstColumn="1" w:lastColumn="1" w:noHBand="0" w:noVBand="0"/>
    </w:tblPr>
    <w:tblGrid>
      <w:gridCol w:w="2472"/>
      <w:gridCol w:w="5892"/>
      <w:gridCol w:w="2116"/>
    </w:tblGrid>
    <w:tr w:rsidR="004112D1" w14:paraId="26FFE84F" w14:textId="77777777" w:rsidTr="000E3A33">
      <w:trPr>
        <w:cantSplit/>
        <w:trHeight w:val="540"/>
      </w:trPr>
      <w:tc>
        <w:tcPr>
          <w:tcW w:w="2472" w:type="dxa"/>
          <w:vMerge w:val="restart"/>
        </w:tcPr>
        <w:p w14:paraId="3591B854" w14:textId="77777777" w:rsidR="004112D1" w:rsidRDefault="004112D1">
          <w:pPr>
            <w:spacing w:before="80"/>
            <w:rPr>
              <w:rFonts w:ascii="Arial Narrow" w:hAnsi="Arial Narrow" w:cs="Arial"/>
              <w:sz w:val="6"/>
              <w:szCs w:val="6"/>
            </w:rPr>
          </w:pPr>
        </w:p>
        <w:p w14:paraId="3259467C" w14:textId="77777777" w:rsidR="004112D1" w:rsidRDefault="000A7740">
          <w:pPr>
            <w:spacing w:before="80"/>
            <w:rPr>
              <w:rFonts w:ascii="Arial Narrow" w:hAnsi="Arial Narrow"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6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 wp14:anchorId="755B18AB" wp14:editId="58E1BC33">
                <wp:simplePos x="0" y="0"/>
                <wp:positionH relativeFrom="column">
                  <wp:posOffset>-29845</wp:posOffset>
                </wp:positionH>
                <wp:positionV relativeFrom="paragraph">
                  <wp:posOffset>-180000</wp:posOffset>
                </wp:positionV>
                <wp:extent cx="1463040" cy="399155"/>
                <wp:effectExtent l="0" t="0" r="0" b="0"/>
                <wp:wrapNone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39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92" w:type="dxa"/>
          <w:vMerge w:val="restart"/>
          <w:vAlign w:val="center"/>
        </w:tcPr>
        <w:p w14:paraId="25F1BFF7" w14:textId="77777777" w:rsidR="00706B6B" w:rsidRDefault="00000000">
          <w:r>
            <w:rPr>
              <w:sz w:val="16"/>
            </w:rPr>
            <w:t>Método de uso do CEP operacional</w:t>
          </w:r>
        </w:p>
      </w:tc>
      <w:tc>
        <w:tcPr>
          <w:tcW w:w="2116" w:type="dxa"/>
        </w:tcPr>
        <w:p w14:paraId="465E340E" w14:textId="77777777" w:rsidR="00706B6B" w:rsidRDefault="00000000">
          <w:r>
            <w:rPr>
              <w:sz w:val="16"/>
            </w:rPr>
            <w:t>Rev. 00</w:t>
          </w:r>
        </w:p>
      </w:tc>
    </w:tr>
    <w:tr w:rsidR="004112D1" w14:paraId="748F4ECA" w14:textId="77777777" w:rsidTr="000E3A33">
      <w:trPr>
        <w:cantSplit/>
      </w:trPr>
      <w:tc>
        <w:tcPr>
          <w:tcW w:w="2472" w:type="dxa"/>
          <w:vMerge/>
        </w:tcPr>
        <w:p w14:paraId="427FF5C4" w14:textId="77777777" w:rsidR="004112D1" w:rsidRDefault="004112D1">
          <w:pPr>
            <w:pStyle w:val="Heading2"/>
            <w:spacing w:before="80"/>
            <w:rPr>
              <w:rFonts w:ascii="Arial Narrow" w:hAnsi="Arial Narrow" w:cs="Arial"/>
              <w:sz w:val="32"/>
              <w:szCs w:val="32"/>
              <w:lang w:val="pt-BR"/>
            </w:rPr>
          </w:pPr>
        </w:p>
      </w:tc>
      <w:tc>
        <w:tcPr>
          <w:tcW w:w="5892" w:type="dxa"/>
          <w:vMerge/>
        </w:tcPr>
        <w:p w14:paraId="42043C97" w14:textId="77777777" w:rsidR="004112D1" w:rsidRDefault="004112D1">
          <w:pPr>
            <w:jc w:val="center"/>
            <w:rPr>
              <w:rFonts w:cs="Arial"/>
              <w:b/>
            </w:rPr>
          </w:pPr>
        </w:p>
      </w:tc>
      <w:tc>
        <w:tcPr>
          <w:tcW w:w="2116" w:type="dxa"/>
        </w:tcPr>
        <w:p w14:paraId="37954546" w14:textId="77777777" w:rsidR="00706B6B" w:rsidRDefault="00000000">
          <w:r>
            <w:rPr>
              <w:sz w:val="16"/>
            </w:rPr>
            <w:t>Data: 20/10/2026</w:t>
          </w:r>
        </w:p>
      </w:tc>
    </w:tr>
  </w:tbl>
  <w:p w14:paraId="38CE9CB6" w14:textId="77777777" w:rsidR="004112D1" w:rsidRDefault="004112D1">
    <w:pPr>
      <w:pStyle w:val="Header"/>
    </w:pPr>
  </w:p>
  <w:p w14:paraId="695EB95F" w14:textId="77777777" w:rsidR="004112D1" w:rsidRDefault="004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A6"/>
    <w:multiLevelType w:val="multilevel"/>
    <w:tmpl w:val="323C709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1" w15:restartNumberingAfterBreak="0">
    <w:nsid w:val="0EAC0E5A"/>
    <w:multiLevelType w:val="multilevel"/>
    <w:tmpl w:val="CEE0EFE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2" w15:restartNumberingAfterBreak="0">
    <w:nsid w:val="0F7411D3"/>
    <w:multiLevelType w:val="hybridMultilevel"/>
    <w:tmpl w:val="DBB8CED8"/>
    <w:lvl w:ilvl="0" w:tplc="023882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D0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1E376C86"/>
    <w:multiLevelType w:val="hybridMultilevel"/>
    <w:tmpl w:val="8FE4A2E2"/>
    <w:lvl w:ilvl="0" w:tplc="4D40E8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A83DEA">
      <w:numFmt w:val="none"/>
      <w:lvlText w:val=""/>
      <w:lvlJc w:val="left"/>
      <w:pPr>
        <w:tabs>
          <w:tab w:val="num" w:pos="360"/>
        </w:tabs>
      </w:pPr>
    </w:lvl>
    <w:lvl w:ilvl="2" w:tplc="92BE2E38">
      <w:numFmt w:val="none"/>
      <w:lvlText w:val=""/>
      <w:lvlJc w:val="left"/>
      <w:pPr>
        <w:tabs>
          <w:tab w:val="num" w:pos="360"/>
        </w:tabs>
      </w:pPr>
    </w:lvl>
    <w:lvl w:ilvl="3" w:tplc="7812A746">
      <w:numFmt w:val="none"/>
      <w:lvlText w:val=""/>
      <w:lvlJc w:val="left"/>
      <w:pPr>
        <w:tabs>
          <w:tab w:val="num" w:pos="360"/>
        </w:tabs>
      </w:pPr>
    </w:lvl>
    <w:lvl w:ilvl="4" w:tplc="B47C9932">
      <w:numFmt w:val="none"/>
      <w:lvlText w:val=""/>
      <w:lvlJc w:val="left"/>
      <w:pPr>
        <w:tabs>
          <w:tab w:val="num" w:pos="360"/>
        </w:tabs>
      </w:pPr>
    </w:lvl>
    <w:lvl w:ilvl="5" w:tplc="A574F2FE">
      <w:numFmt w:val="none"/>
      <w:lvlText w:val=""/>
      <w:lvlJc w:val="left"/>
      <w:pPr>
        <w:tabs>
          <w:tab w:val="num" w:pos="360"/>
        </w:tabs>
      </w:pPr>
    </w:lvl>
    <w:lvl w:ilvl="6" w:tplc="AC34CA0E">
      <w:numFmt w:val="none"/>
      <w:lvlText w:val=""/>
      <w:lvlJc w:val="left"/>
      <w:pPr>
        <w:tabs>
          <w:tab w:val="num" w:pos="360"/>
        </w:tabs>
      </w:pPr>
    </w:lvl>
    <w:lvl w:ilvl="7" w:tplc="35CADC18">
      <w:numFmt w:val="none"/>
      <w:lvlText w:val=""/>
      <w:lvlJc w:val="left"/>
      <w:pPr>
        <w:tabs>
          <w:tab w:val="num" w:pos="360"/>
        </w:tabs>
      </w:pPr>
    </w:lvl>
    <w:lvl w:ilvl="8" w:tplc="1782516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05758D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7CC6FB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C0486"/>
    <w:multiLevelType w:val="multilevel"/>
    <w:tmpl w:val="5BC63F8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0E4602"/>
    <w:multiLevelType w:val="multilevel"/>
    <w:tmpl w:val="DE806E2A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802491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076137"/>
    <w:multiLevelType w:val="multilevel"/>
    <w:tmpl w:val="187E14EE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1" w15:restartNumberingAfterBreak="0">
    <w:nsid w:val="585C0298"/>
    <w:multiLevelType w:val="hybridMultilevel"/>
    <w:tmpl w:val="3052069A"/>
    <w:lvl w:ilvl="0" w:tplc="9EA6F1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00517A">
      <w:numFmt w:val="none"/>
      <w:lvlText w:val=""/>
      <w:lvlJc w:val="left"/>
      <w:pPr>
        <w:tabs>
          <w:tab w:val="num" w:pos="360"/>
        </w:tabs>
      </w:pPr>
    </w:lvl>
    <w:lvl w:ilvl="2" w:tplc="4FD87992">
      <w:numFmt w:val="none"/>
      <w:lvlText w:val=""/>
      <w:lvlJc w:val="left"/>
      <w:pPr>
        <w:tabs>
          <w:tab w:val="num" w:pos="360"/>
        </w:tabs>
      </w:pPr>
    </w:lvl>
    <w:lvl w:ilvl="3" w:tplc="52A885DA">
      <w:numFmt w:val="none"/>
      <w:lvlText w:val=""/>
      <w:lvlJc w:val="left"/>
      <w:pPr>
        <w:tabs>
          <w:tab w:val="num" w:pos="360"/>
        </w:tabs>
      </w:pPr>
    </w:lvl>
    <w:lvl w:ilvl="4" w:tplc="77FA2C64">
      <w:numFmt w:val="none"/>
      <w:lvlText w:val=""/>
      <w:lvlJc w:val="left"/>
      <w:pPr>
        <w:tabs>
          <w:tab w:val="num" w:pos="360"/>
        </w:tabs>
      </w:pPr>
    </w:lvl>
    <w:lvl w:ilvl="5" w:tplc="6B7259DE">
      <w:numFmt w:val="none"/>
      <w:lvlText w:val=""/>
      <w:lvlJc w:val="left"/>
      <w:pPr>
        <w:tabs>
          <w:tab w:val="num" w:pos="360"/>
        </w:tabs>
      </w:pPr>
    </w:lvl>
    <w:lvl w:ilvl="6" w:tplc="27E87B76">
      <w:numFmt w:val="none"/>
      <w:lvlText w:val=""/>
      <w:lvlJc w:val="left"/>
      <w:pPr>
        <w:tabs>
          <w:tab w:val="num" w:pos="360"/>
        </w:tabs>
      </w:pPr>
    </w:lvl>
    <w:lvl w:ilvl="7" w:tplc="DA907020">
      <w:numFmt w:val="none"/>
      <w:lvlText w:val=""/>
      <w:lvlJc w:val="left"/>
      <w:pPr>
        <w:tabs>
          <w:tab w:val="num" w:pos="360"/>
        </w:tabs>
      </w:pPr>
    </w:lvl>
    <w:lvl w:ilvl="8" w:tplc="019AC1D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DB12235"/>
    <w:multiLevelType w:val="multilevel"/>
    <w:tmpl w:val="013C9D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61931261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284"/>
        </w:tabs>
      </w:pPr>
    </w:lvl>
    <w:lvl w:ilvl="2" w:tplc="57C6BCB6">
      <w:numFmt w:val="none"/>
      <w:lvlText w:val=""/>
      <w:lvlJc w:val="left"/>
      <w:pPr>
        <w:tabs>
          <w:tab w:val="num" w:pos="284"/>
        </w:tabs>
      </w:pPr>
    </w:lvl>
    <w:lvl w:ilvl="3" w:tplc="4AA62F54">
      <w:numFmt w:val="none"/>
      <w:lvlText w:val=""/>
      <w:lvlJc w:val="left"/>
      <w:pPr>
        <w:tabs>
          <w:tab w:val="num" w:pos="284"/>
        </w:tabs>
      </w:pPr>
    </w:lvl>
    <w:lvl w:ilvl="4" w:tplc="10607404">
      <w:numFmt w:val="none"/>
      <w:lvlText w:val=""/>
      <w:lvlJc w:val="left"/>
      <w:pPr>
        <w:tabs>
          <w:tab w:val="num" w:pos="284"/>
        </w:tabs>
      </w:pPr>
    </w:lvl>
    <w:lvl w:ilvl="5" w:tplc="3ABA3F1A">
      <w:numFmt w:val="none"/>
      <w:lvlText w:val=""/>
      <w:lvlJc w:val="left"/>
      <w:pPr>
        <w:tabs>
          <w:tab w:val="num" w:pos="284"/>
        </w:tabs>
      </w:pPr>
    </w:lvl>
    <w:lvl w:ilvl="6" w:tplc="26526772">
      <w:numFmt w:val="none"/>
      <w:lvlText w:val=""/>
      <w:lvlJc w:val="left"/>
      <w:pPr>
        <w:tabs>
          <w:tab w:val="num" w:pos="284"/>
        </w:tabs>
      </w:pPr>
    </w:lvl>
    <w:lvl w:ilvl="7" w:tplc="02E8F0E2">
      <w:numFmt w:val="none"/>
      <w:lvlText w:val=""/>
      <w:lvlJc w:val="left"/>
      <w:pPr>
        <w:tabs>
          <w:tab w:val="num" w:pos="284"/>
        </w:tabs>
      </w:pPr>
    </w:lvl>
    <w:lvl w:ilvl="8" w:tplc="A1C44DC8">
      <w:numFmt w:val="none"/>
      <w:lvlText w:val=""/>
      <w:lvlJc w:val="left"/>
      <w:pPr>
        <w:tabs>
          <w:tab w:val="num" w:pos="284"/>
        </w:tabs>
      </w:pPr>
    </w:lvl>
  </w:abstractNum>
  <w:abstractNum w:abstractNumId="14" w15:restartNumberingAfterBreak="0">
    <w:nsid w:val="6F3B684F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7055E3"/>
    <w:multiLevelType w:val="multilevel"/>
    <w:tmpl w:val="130638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44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38280198">
    <w:abstractNumId w:val="15"/>
  </w:num>
  <w:num w:numId="2" w16cid:durableId="1716616311">
    <w:abstractNumId w:val="6"/>
  </w:num>
  <w:num w:numId="3" w16cid:durableId="63650741">
    <w:abstractNumId w:val="13"/>
  </w:num>
  <w:num w:numId="4" w16cid:durableId="1896551490">
    <w:abstractNumId w:val="4"/>
  </w:num>
  <w:num w:numId="5" w16cid:durableId="158008354">
    <w:abstractNumId w:val="11"/>
  </w:num>
  <w:num w:numId="6" w16cid:durableId="607204880">
    <w:abstractNumId w:val="12"/>
  </w:num>
  <w:num w:numId="7" w16cid:durableId="1305159892">
    <w:abstractNumId w:val="1"/>
  </w:num>
  <w:num w:numId="8" w16cid:durableId="123237029">
    <w:abstractNumId w:val="0"/>
  </w:num>
  <w:num w:numId="9" w16cid:durableId="39015850">
    <w:abstractNumId w:val="7"/>
  </w:num>
  <w:num w:numId="10" w16cid:durableId="1418870468">
    <w:abstractNumId w:val="8"/>
  </w:num>
  <w:num w:numId="11" w16cid:durableId="1310554368">
    <w:abstractNumId w:val="10"/>
  </w:num>
  <w:num w:numId="12" w16cid:durableId="163983433">
    <w:abstractNumId w:val="14"/>
  </w:num>
  <w:num w:numId="13" w16cid:durableId="2129548660">
    <w:abstractNumId w:val="9"/>
  </w:num>
  <w:num w:numId="14" w16cid:durableId="59863454">
    <w:abstractNumId w:val="3"/>
  </w:num>
  <w:num w:numId="15" w16cid:durableId="872227490">
    <w:abstractNumId w:val="5"/>
  </w:num>
  <w:num w:numId="16" w16cid:durableId="113968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3DF"/>
    <w:rsid w:val="00022ADE"/>
    <w:rsid w:val="0002761B"/>
    <w:rsid w:val="00032F86"/>
    <w:rsid w:val="00052DEE"/>
    <w:rsid w:val="00077AAC"/>
    <w:rsid w:val="00092CE2"/>
    <w:rsid w:val="000A7740"/>
    <w:rsid w:val="000B09A6"/>
    <w:rsid w:val="000E3A33"/>
    <w:rsid w:val="00106345"/>
    <w:rsid w:val="0012797B"/>
    <w:rsid w:val="00152FC7"/>
    <w:rsid w:val="00165FFC"/>
    <w:rsid w:val="00170445"/>
    <w:rsid w:val="00173B76"/>
    <w:rsid w:val="001811F2"/>
    <w:rsid w:val="001818F9"/>
    <w:rsid w:val="001869D1"/>
    <w:rsid w:val="001A6660"/>
    <w:rsid w:val="001D097A"/>
    <w:rsid w:val="0023243B"/>
    <w:rsid w:val="002740A2"/>
    <w:rsid w:val="00275788"/>
    <w:rsid w:val="00275F8F"/>
    <w:rsid w:val="00276A0C"/>
    <w:rsid w:val="002D0AD6"/>
    <w:rsid w:val="002D7242"/>
    <w:rsid w:val="002D7AF4"/>
    <w:rsid w:val="00344707"/>
    <w:rsid w:val="00352399"/>
    <w:rsid w:val="00370B7F"/>
    <w:rsid w:val="00374851"/>
    <w:rsid w:val="003A23C0"/>
    <w:rsid w:val="003B4E8E"/>
    <w:rsid w:val="003D73AC"/>
    <w:rsid w:val="003E58C0"/>
    <w:rsid w:val="003F32BD"/>
    <w:rsid w:val="004112D1"/>
    <w:rsid w:val="0042472B"/>
    <w:rsid w:val="00431C81"/>
    <w:rsid w:val="0043781F"/>
    <w:rsid w:val="004A4B28"/>
    <w:rsid w:val="004A769F"/>
    <w:rsid w:val="004B4BF4"/>
    <w:rsid w:val="004C2D1E"/>
    <w:rsid w:val="004C44AE"/>
    <w:rsid w:val="004C69DF"/>
    <w:rsid w:val="004F1417"/>
    <w:rsid w:val="00516293"/>
    <w:rsid w:val="00541BAA"/>
    <w:rsid w:val="005523BB"/>
    <w:rsid w:val="005668ED"/>
    <w:rsid w:val="00566BA8"/>
    <w:rsid w:val="00574E6E"/>
    <w:rsid w:val="005925A3"/>
    <w:rsid w:val="005D014A"/>
    <w:rsid w:val="005F39C2"/>
    <w:rsid w:val="0060634C"/>
    <w:rsid w:val="00614764"/>
    <w:rsid w:val="006323CC"/>
    <w:rsid w:val="00651EA7"/>
    <w:rsid w:val="00665083"/>
    <w:rsid w:val="00676D84"/>
    <w:rsid w:val="006A1165"/>
    <w:rsid w:val="006D7CED"/>
    <w:rsid w:val="006E6E67"/>
    <w:rsid w:val="00706B6B"/>
    <w:rsid w:val="007143C9"/>
    <w:rsid w:val="00727ABC"/>
    <w:rsid w:val="00737505"/>
    <w:rsid w:val="0075217F"/>
    <w:rsid w:val="007803B9"/>
    <w:rsid w:val="00784284"/>
    <w:rsid w:val="007903ED"/>
    <w:rsid w:val="0079154D"/>
    <w:rsid w:val="00796FBE"/>
    <w:rsid w:val="007A166C"/>
    <w:rsid w:val="007E0C8B"/>
    <w:rsid w:val="007E5D66"/>
    <w:rsid w:val="00814EA5"/>
    <w:rsid w:val="00853922"/>
    <w:rsid w:val="00862C59"/>
    <w:rsid w:val="00880D5F"/>
    <w:rsid w:val="008A1C73"/>
    <w:rsid w:val="008A43DB"/>
    <w:rsid w:val="008D1941"/>
    <w:rsid w:val="00900F7A"/>
    <w:rsid w:val="00905CB6"/>
    <w:rsid w:val="009243DF"/>
    <w:rsid w:val="009324B6"/>
    <w:rsid w:val="00945934"/>
    <w:rsid w:val="00971BBF"/>
    <w:rsid w:val="00986C54"/>
    <w:rsid w:val="009A4C53"/>
    <w:rsid w:val="009F48D8"/>
    <w:rsid w:val="00A0567E"/>
    <w:rsid w:val="00A33C75"/>
    <w:rsid w:val="00A3549A"/>
    <w:rsid w:val="00A379EC"/>
    <w:rsid w:val="00A52CC3"/>
    <w:rsid w:val="00A72A20"/>
    <w:rsid w:val="00A9328E"/>
    <w:rsid w:val="00B65D6D"/>
    <w:rsid w:val="00B82353"/>
    <w:rsid w:val="00B90741"/>
    <w:rsid w:val="00B9235D"/>
    <w:rsid w:val="00B95469"/>
    <w:rsid w:val="00BA10FF"/>
    <w:rsid w:val="00BB4C4C"/>
    <w:rsid w:val="00BC4C6A"/>
    <w:rsid w:val="00C1252E"/>
    <w:rsid w:val="00C142FE"/>
    <w:rsid w:val="00C14BA2"/>
    <w:rsid w:val="00C174B8"/>
    <w:rsid w:val="00C24574"/>
    <w:rsid w:val="00C508E4"/>
    <w:rsid w:val="00CA1902"/>
    <w:rsid w:val="00CA5DE7"/>
    <w:rsid w:val="00CA7C3A"/>
    <w:rsid w:val="00CF2DE0"/>
    <w:rsid w:val="00D0396D"/>
    <w:rsid w:val="00D11E2F"/>
    <w:rsid w:val="00D24B4F"/>
    <w:rsid w:val="00D27B9A"/>
    <w:rsid w:val="00D41F2F"/>
    <w:rsid w:val="00D476FD"/>
    <w:rsid w:val="00D6745B"/>
    <w:rsid w:val="00D92D74"/>
    <w:rsid w:val="00DA5F32"/>
    <w:rsid w:val="00DF2EC8"/>
    <w:rsid w:val="00E3707F"/>
    <w:rsid w:val="00E45351"/>
    <w:rsid w:val="00E564BA"/>
    <w:rsid w:val="00EB3E71"/>
    <w:rsid w:val="00EF1DEE"/>
    <w:rsid w:val="00F13D33"/>
    <w:rsid w:val="00F15004"/>
    <w:rsid w:val="00F214C4"/>
    <w:rsid w:val="00F348AE"/>
    <w:rsid w:val="00F6477F"/>
    <w:rsid w:val="00FB7A0A"/>
    <w:rsid w:val="00FC5198"/>
    <w:rsid w:val="00FE134C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466A0"/>
  <w15:docId w15:val="{330DA38D-3F14-4C1C-A61D-43E784F1CC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3AC"/>
    <w:pPr>
      <w:spacing w:after="60"/>
    </w:pPr>
    <w:rPr>
      <w:rFonts w:ascii="Arial" w:hAnsi="Arial"/>
      <w:sz w:val="18"/>
      <w:szCs w:val="24"/>
    </w:rPr>
  </w:style>
  <w:style w:type="paragraph" w:styleId="Heading2">
    <w:name w:val="heading 2"/>
    <w:basedOn w:val="Normal"/>
    <w:next w:val="Normal"/>
    <w:qFormat/>
    <w:rsid w:val="003D73AC"/>
    <w:pPr>
      <w:keepNext/>
      <w:numPr>
        <w:ilvl w:val="1"/>
        <w:numId w:val="1"/>
      </w:numPr>
      <w:spacing w:before="120" w:after="100"/>
      <w:outlineLvl w:val="1"/>
    </w:pPr>
    <w:rPr>
      <w:rFonts w:eastAsia="PMingLiU"/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3D73AC"/>
    <w:pPr>
      <w:keepNext/>
      <w:numPr>
        <w:ilvl w:val="2"/>
        <w:numId w:val="1"/>
      </w:numPr>
      <w:spacing w:before="240"/>
      <w:outlineLvl w:val="2"/>
    </w:pPr>
    <w:rPr>
      <w:rFonts w:eastAsia="PMingLiU"/>
      <w:szCs w:val="20"/>
      <w:lang w:eastAsia="en-US"/>
    </w:rPr>
  </w:style>
  <w:style w:type="paragraph" w:styleId="Heading4">
    <w:name w:val="heading 4"/>
    <w:basedOn w:val="Normal"/>
    <w:next w:val="Normal"/>
    <w:qFormat/>
    <w:rsid w:val="003D73AC"/>
    <w:pPr>
      <w:keepNext/>
      <w:numPr>
        <w:ilvl w:val="3"/>
        <w:numId w:val="1"/>
      </w:numPr>
      <w:spacing w:before="240"/>
      <w:outlineLvl w:val="3"/>
    </w:pPr>
    <w:rPr>
      <w:rFonts w:eastAsia="PMingLiU"/>
      <w:szCs w:val="20"/>
      <w:lang w:eastAsia="en-US"/>
    </w:rPr>
  </w:style>
  <w:style w:type="paragraph" w:styleId="Heading5">
    <w:name w:val="heading 5"/>
    <w:basedOn w:val="Normal"/>
    <w:next w:val="Normal"/>
    <w:qFormat/>
    <w:rsid w:val="003D73AC"/>
    <w:pPr>
      <w:numPr>
        <w:ilvl w:val="4"/>
        <w:numId w:val="1"/>
      </w:numPr>
      <w:spacing w:before="240"/>
      <w:outlineLvl w:val="4"/>
    </w:pPr>
    <w:rPr>
      <w:rFonts w:eastAsia="PMingLiU"/>
      <w:szCs w:val="20"/>
      <w:lang w:eastAsia="en-US"/>
    </w:rPr>
  </w:style>
  <w:style w:type="paragraph" w:styleId="Heading6">
    <w:name w:val="heading 6"/>
    <w:basedOn w:val="Normal"/>
    <w:next w:val="Normal"/>
    <w:qFormat/>
    <w:rsid w:val="003D73AC"/>
    <w:pPr>
      <w:numPr>
        <w:ilvl w:val="5"/>
        <w:numId w:val="1"/>
      </w:numPr>
      <w:spacing w:before="240"/>
      <w:outlineLvl w:val="5"/>
    </w:pPr>
    <w:rPr>
      <w:rFonts w:eastAsia="PMingLiU"/>
      <w:i/>
      <w:sz w:val="22"/>
      <w:szCs w:val="20"/>
      <w:lang w:eastAsia="en-US"/>
    </w:rPr>
  </w:style>
  <w:style w:type="paragraph" w:styleId="Heading7">
    <w:name w:val="heading 7"/>
    <w:basedOn w:val="Normal"/>
    <w:next w:val="Normal"/>
    <w:qFormat/>
    <w:rsid w:val="003D73AC"/>
    <w:pPr>
      <w:numPr>
        <w:ilvl w:val="6"/>
        <w:numId w:val="1"/>
      </w:numPr>
      <w:spacing w:before="240"/>
      <w:outlineLvl w:val="6"/>
    </w:pPr>
    <w:rPr>
      <w:rFonts w:eastAsia="PMingLiU"/>
      <w:sz w:val="20"/>
      <w:szCs w:val="20"/>
      <w:lang w:eastAsia="en-US"/>
    </w:rPr>
  </w:style>
  <w:style w:type="paragraph" w:styleId="Heading8">
    <w:name w:val="heading 8"/>
    <w:basedOn w:val="Normal"/>
    <w:next w:val="Normal"/>
    <w:qFormat/>
    <w:rsid w:val="003D73AC"/>
    <w:pPr>
      <w:numPr>
        <w:ilvl w:val="7"/>
        <w:numId w:val="1"/>
      </w:numPr>
      <w:spacing w:before="240"/>
      <w:outlineLvl w:val="7"/>
    </w:pPr>
    <w:rPr>
      <w:rFonts w:eastAsia="PMingLiU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qFormat/>
    <w:rsid w:val="003D73AC"/>
    <w:pPr>
      <w:numPr>
        <w:ilvl w:val="8"/>
        <w:numId w:val="1"/>
      </w:numPr>
      <w:spacing w:before="240"/>
      <w:outlineLvl w:val="8"/>
    </w:pPr>
    <w:rPr>
      <w:rFonts w:eastAsia="PMingLiU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BodyTextIndent">
    <w:name w:val="Body Text Indent"/>
    <w:basedOn w:val="Normal"/>
    <w:rsid w:val="003D73AC"/>
    <w:pPr>
      <w:ind w:left="360"/>
      <w:jc w:val="both"/>
    </w:pPr>
    <w:rPr>
      <w:rFonts w:eastAsia="PMingLiU" w:cs="Arial"/>
      <w:b/>
      <w:bCs/>
      <w:szCs w:val="20"/>
      <w:lang w:eastAsia="en-US"/>
    </w:rPr>
  </w:style>
  <w:style w:type="table" w:styleId="TableGrid">
    <w:name w:val="Table Grid"/>
    <w:basedOn w:val="TableNormal"/>
    <w:rsid w:val="00FC5198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24574"/>
    <w:rPr>
      <w:color w:val="0000FF"/>
      <w:u w:val="single"/>
    </w:rPr>
  </w:style>
  <w:style w:type="paragraph" w:customStyle="1" w:styleId="Textoprincipal">
    <w:name w:val="Texto principal"/>
    <w:basedOn w:val="Normal"/>
    <w:rsid w:val="002740A2"/>
    <w:pPr>
      <w:spacing w:after="120"/>
      <w:ind w:left="1021"/>
      <w:jc w:val="both"/>
    </w:pPr>
    <w:rPr>
      <w:szCs w:val="22"/>
      <w:lang w:val="pt-PT"/>
    </w:rPr>
  </w:style>
  <w:style w:type="paragraph" w:customStyle="1" w:styleId="Default">
    <w:name w:val="Default"/>
    <w:rsid w:val="00B907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50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8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74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3C75"/>
    <w:rPr>
      <w:rFonts w:eastAsia="PMingLiU"/>
      <w:lang w:eastAsia="en-US"/>
    </w:rPr>
  </w:style>
  <w:style w:type="paragraph" w:customStyle="1" w:styleId="Title">
    <w:name w:val="Title"/>
    <w:rPr>
      <w:rFonts w:ascii="Arial" w:hAnsi="Arial"/>
      <w:color w:val="164A85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CMMSG</Company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uso do CEP operacional</dc:title>
  <dc:subject>CEP operacional — minuta da Sprint 3</dc:subject>
  <dc:creator>Everton Camargo Moreira</dc:creator>
  <cp:lastModifiedBy>Everton Camargo Moreira</cp:lastModifiedBy>
  <cp:revision>6</cp:revision>
  <cp:lastPrinted>2010-10-01T18:49:00Z</cp:lastPrinted>
  <dcterms:created xsi:type="dcterms:W3CDTF">2024-04-02T19:32:00Z</dcterms:created>
  <dcterms:modified xsi:type="dcterms:W3CDTF">2026-10-17T12:43:00Z</dcterms:modified>
</cp:coreProperties>
</file>