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DD54F">
      <w:pPr>
        <w:jc w:val="center"/>
        <w:rPr>
          <w:rFonts w:hint="eastAsia"/>
          <w:sz w:val="44"/>
          <w:szCs w:val="52"/>
          <w:lang w:val="en-US" w:eastAsia="zh-CN"/>
        </w:rPr>
      </w:pPr>
      <w:r>
        <w:t>法务小秘 AI 合同起草与谈判辅助系统用户手册</w:t>
      </w:r>
    </w:p>
    <w:p w14:paraId="4E7FB726">
      <w:pPr>
        <w:pStyle w:val="2"/>
      </w:pPr>
      <w:r>
        <w:t>1 软件功能说明</w:t>
      </w:r>
    </w:p>
    <w:p w14:paraId="75C3464B">
      <w:r>
        <w:t>法务小秘是一款面向中小企业的 AI 智能体合同起草与谈判辅助系统，旨在帮助法务或业务人员高效完成合同起草、条款审查和谈判策略制定工作。</w:t>
      </w:r>
    </w:p>
    <w:p w14:paraId="7936F643">
      <w:r>
        <w:t>普通用户能力：登录系统、选择合同类型、通过多轮对话补充合同信息、生成合同文本、预览合同、使用 RAG 知识库进行法律问题查询、进行合同谈判风险审查。</w:t>
      </w:r>
    </w:p>
    <w:p w14:paraId="5939E42E">
      <w:r>
        <w:t>管理员能力：用户管理、API Key 配置、系统日志或统计信息查看。</w:t>
      </w:r>
    </w:p>
    <w:p w14:paraId="5D341E1C">
      <w:r>
        <w:t>RAG 知识库能力：支持合同模板、法律摘要、底线规则等知识检索，帮助用户在合同起草和风险审查过程中获取相关法律依据。</w:t>
      </w:r>
    </w:p>
    <w:p w14:paraId="63D1D3CA">
      <w:r>
        <w:t>大模型能力：辅助合同起草、风险分析和谈判建议生成，具体模型服务以实际 .env 配置为准。</w:t>
      </w:r>
    </w:p>
    <w:p w14:paraId="778347F7">
      <w:r>
        <w:t>注意：系统输出内容为辅助性建议，最终合同内容仍需人工确认。</w:t>
      </w:r>
    </w:p>
    <w:p w14:paraId="3052FC23">
      <w:pPr>
        <w:pStyle w:val="2"/>
      </w:pPr>
      <w:r>
        <w:t>2 环境搭建</w:t>
      </w:r>
    </w:p>
    <w:p w14:paraId="121C2F29">
      <w:pPr>
        <w:pStyle w:val="4"/>
      </w:pPr>
      <w:r>
        <w:t>2.1 开发环境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554F1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38097F1">
            <w:r>
              <w:t>类型</w:t>
            </w:r>
          </w:p>
        </w:tc>
        <w:tc>
          <w:tcPr>
            <w:tcW w:w="4153" w:type="dxa"/>
          </w:tcPr>
          <w:p w14:paraId="139AAE51">
            <w:r>
              <w:t>工具与环境</w:t>
            </w:r>
          </w:p>
        </w:tc>
      </w:tr>
      <w:tr w14:paraId="5F97F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165EF0F">
            <w:r>
              <w:t>开发工具</w:t>
            </w:r>
          </w:p>
        </w:tc>
        <w:tc>
          <w:tcPr>
            <w:tcW w:w="4153" w:type="dxa"/>
          </w:tcPr>
          <w:p w14:paraId="274F2264">
            <w:r>
              <w:t>VS Code、Git、WSL2 Ubuntu 或本地终端</w:t>
            </w:r>
          </w:p>
        </w:tc>
      </w:tr>
      <w:tr w14:paraId="6BF5B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3E46CB9">
            <w:r>
              <w:t>后端环境</w:t>
            </w:r>
          </w:p>
        </w:tc>
        <w:tc>
          <w:tcPr>
            <w:tcW w:w="4153" w:type="dxa"/>
          </w:tcPr>
          <w:p w14:paraId="64F502B5">
            <w:r>
              <w:t>Python 3.10+、FastAPI、Uvicorn</w:t>
            </w:r>
          </w:p>
        </w:tc>
      </w:tr>
      <w:tr w14:paraId="0510E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38CAADD">
            <w:r>
              <w:t>前端环境</w:t>
            </w:r>
          </w:p>
        </w:tc>
        <w:tc>
          <w:tcPr>
            <w:tcW w:w="4153" w:type="dxa"/>
          </w:tcPr>
          <w:p w14:paraId="4CBB9580">
            <w:r>
              <w:t>Node.js 18+、npm、Vite</w:t>
            </w:r>
          </w:p>
        </w:tc>
      </w:tr>
      <w:tr w14:paraId="6083C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0D8ECD1">
            <w:r>
              <w:t>数据库</w:t>
            </w:r>
          </w:p>
        </w:tc>
        <w:tc>
          <w:tcPr>
            <w:tcW w:w="4153" w:type="dxa"/>
          </w:tcPr>
          <w:p w14:paraId="0169D57A">
            <w:r>
              <w:t>SQLite，默认数据库文件 legal_secretary.db</w:t>
            </w:r>
          </w:p>
        </w:tc>
      </w:tr>
      <w:tr w14:paraId="524C0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B0A4871">
            <w:r>
              <w:t>知识库组件</w:t>
            </w:r>
          </w:p>
        </w:tc>
        <w:tc>
          <w:tcPr>
            <w:tcW w:w="4153" w:type="dxa"/>
          </w:tcPr>
          <w:p w14:paraId="55572BFE">
            <w:r>
              <w:t>ChromaDB、FAISS、knowledge_base 目录</w:t>
            </w:r>
          </w:p>
        </w:tc>
      </w:tr>
      <w:tr w14:paraId="1E521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035035C">
            <w:r>
              <w:t>测试工具</w:t>
            </w:r>
          </w:p>
        </w:tc>
        <w:tc>
          <w:tcPr>
            <w:tcW w:w="4153" w:type="dxa"/>
          </w:tcPr>
          <w:p w14:paraId="5B7BF64F">
            <w:r>
              <w:t>pytest、Swagger UI</w:t>
            </w:r>
          </w:p>
        </w:tc>
      </w:tr>
      <w:tr w14:paraId="1A720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2159953">
            <w:r>
              <w:t>大模型接口</w:t>
            </w:r>
          </w:p>
        </w:tc>
        <w:tc>
          <w:tcPr>
            <w:tcW w:w="4153" w:type="dxa"/>
          </w:tcPr>
          <w:p w14:paraId="5D95BC5F">
            <w:r>
              <w:t>通过 .env 配置 LLM API Key（本手册不展示真实密钥）</w:t>
            </w:r>
          </w:p>
        </w:tc>
      </w:tr>
    </w:tbl>
    <w:p w14:paraId="683BF3DA">
      <w:pPr>
        <w:pStyle w:val="4"/>
      </w:pPr>
      <w:r>
        <w:t>2.2 组件描述</w:t>
      </w:r>
    </w:p>
    <w:p w14:paraId="3E983AD6">
      <w:r>
        <w:t>FastAPI：提供后端 REST API，处理前端请求并与数据库、大模型交互。</w:t>
      </w:r>
    </w:p>
    <w:p w14:paraId="105E030E">
      <w:r>
        <w:t>Uvicorn：ASGI 服务器，用于启动后端 FastAPI 服务。</w:t>
      </w:r>
    </w:p>
    <w:p w14:paraId="04EE3633">
      <w:r>
        <w:t>Vite：前端构建与开发服务器，支持热更新。</w:t>
      </w:r>
    </w:p>
    <w:p w14:paraId="6CBD9A59">
      <w:r>
        <w:t>SQLite：轻量级数据库，保存用户信息、合同数据、知识库索引等。</w:t>
      </w:r>
    </w:p>
    <w:p w14:paraId="262D13A6">
      <w:r>
        <w:t>ChromaDB / FAISS：用于知识库向量检索，支持语义搜索。</w:t>
      </w:r>
    </w:p>
    <w:p w14:paraId="428F38F1">
      <w:r>
        <w:t>RAG 知识库：用于法律条款、合同模板、底线规则检索，为合同起草和风险审查提供参考信息。</w:t>
      </w:r>
    </w:p>
    <w:p w14:paraId="36D5C3EF">
      <w:r>
        <w:t>LLM API：通过 .env 配置大模型接口，用于合同生成、风险分析与谈判建议。具体模型服务以实际 .env 配置为准。</w:t>
      </w:r>
    </w:p>
    <w:p w14:paraId="4805F26C">
      <w:pPr>
        <w:pStyle w:val="4"/>
      </w:pPr>
      <w:r>
        <w:t>2.3 源代码、资源及数据清单</w:t>
      </w:r>
    </w:p>
    <w:p w14:paraId="2BDC4BEA">
      <w:r>
        <w:t>项目主要目录及文件说明如下：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907F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249EE78">
            <w:r>
              <w:t>目录/文件</w:t>
            </w:r>
          </w:p>
        </w:tc>
        <w:tc>
          <w:tcPr>
            <w:tcW w:w="4153" w:type="dxa"/>
          </w:tcPr>
          <w:p w14:paraId="54E3DD4C">
            <w:r>
              <w:t>说明</w:t>
            </w:r>
          </w:p>
        </w:tc>
      </w:tr>
      <w:tr w14:paraId="01C40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B9E0110">
            <w:r>
              <w:t>backend/</w:t>
            </w:r>
          </w:p>
        </w:tc>
        <w:tc>
          <w:tcPr>
            <w:tcW w:w="4153" w:type="dxa"/>
          </w:tcPr>
          <w:p w14:paraId="22BD8C16">
            <w:r>
              <w:t>后端服务代码，含路由、ORM 模型、Service 层等</w:t>
            </w:r>
          </w:p>
        </w:tc>
      </w:tr>
      <w:tr w14:paraId="4787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2EC63F2">
            <w:r>
              <w:t>frontend/</w:t>
            </w:r>
          </w:p>
        </w:tc>
        <w:tc>
          <w:tcPr>
            <w:tcW w:w="4153" w:type="dxa"/>
          </w:tcPr>
          <w:p w14:paraId="7B76BFE3">
            <w:r>
              <w:t>前端页面和交互代码，基于 Vue 3</w:t>
            </w:r>
          </w:p>
        </w:tc>
      </w:tr>
      <w:tr w14:paraId="0F146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61F89D8">
            <w:r>
              <w:t>agent/</w:t>
            </w:r>
          </w:p>
        </w:tc>
        <w:tc>
          <w:tcPr>
            <w:tcW w:w="4153" w:type="dxa"/>
          </w:tcPr>
          <w:p w14:paraId="0B0B68E2">
            <w:r>
              <w:t>合同智能体与模板映射相关代码</w:t>
            </w:r>
          </w:p>
        </w:tc>
      </w:tr>
      <w:tr w14:paraId="0A2D1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87B24D5">
            <w:r>
              <w:t>knowledge_base/</w:t>
            </w:r>
          </w:p>
        </w:tc>
        <w:tc>
          <w:tcPr>
            <w:tcW w:w="4153" w:type="dxa"/>
          </w:tcPr>
          <w:p w14:paraId="5C442E25">
            <w:r>
              <w:t>合同模板、法律文档、底线规则</w:t>
            </w:r>
          </w:p>
        </w:tc>
      </w:tr>
      <w:tr w14:paraId="6651E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E3BD10B">
            <w:r>
              <w:t>scripts/</w:t>
            </w:r>
          </w:p>
        </w:tc>
        <w:tc>
          <w:tcPr>
            <w:tcW w:w="4153" w:type="dxa"/>
          </w:tcPr>
          <w:p w14:paraId="7D170BD4">
            <w:r>
              <w:t>知识库导入和辅助脚本</w:t>
            </w:r>
          </w:p>
        </w:tc>
      </w:tr>
      <w:tr w14:paraId="0357D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D4D5A9F">
            <w:r>
              <w:t>tests/</w:t>
            </w:r>
          </w:p>
        </w:tc>
        <w:tc>
          <w:tcPr>
            <w:tcW w:w="4153" w:type="dxa"/>
          </w:tcPr>
          <w:p w14:paraId="76B11144">
            <w:r>
              <w:t>自动化测试用例</w:t>
            </w:r>
          </w:p>
        </w:tc>
      </w:tr>
      <w:tr w14:paraId="7D6E6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6A7E807">
            <w:r>
              <w:t>docs/</w:t>
            </w:r>
          </w:p>
        </w:tc>
        <w:tc>
          <w:tcPr>
            <w:tcW w:w="4153" w:type="dxa"/>
          </w:tcPr>
          <w:p w14:paraId="1CD76DA5">
            <w:r>
              <w:t>项目文档、测试文档、用户手册</w:t>
            </w:r>
          </w:p>
        </w:tc>
      </w:tr>
      <w:tr w14:paraId="52C8D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C0D11B2">
            <w:r>
              <w:t>requirements.txt</w:t>
            </w:r>
          </w:p>
        </w:tc>
        <w:tc>
          <w:tcPr>
            <w:tcW w:w="4153" w:type="dxa"/>
          </w:tcPr>
          <w:p w14:paraId="64C5C32C">
            <w:r>
              <w:t>Python 依赖声明</w:t>
            </w:r>
          </w:p>
        </w:tc>
      </w:tr>
      <w:tr w14:paraId="5D946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CD283E8">
            <w:r>
              <w:t>README.md</w:t>
            </w:r>
          </w:p>
        </w:tc>
        <w:tc>
          <w:tcPr>
            <w:tcW w:w="4153" w:type="dxa"/>
          </w:tcPr>
          <w:p w14:paraId="015D4D70">
            <w:r>
              <w:t>项目说明文档</w:t>
            </w:r>
          </w:p>
        </w:tc>
      </w:tr>
      <w:tr w14:paraId="6417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C2AA1FF">
            <w:r>
              <w:t>.env.example</w:t>
            </w:r>
          </w:p>
        </w:tc>
        <w:tc>
          <w:tcPr>
            <w:tcW w:w="4153" w:type="dxa"/>
          </w:tcPr>
          <w:p w14:paraId="33548423">
            <w:r>
              <w:t>环境变量示例，不包含真实密钥</w:t>
            </w:r>
          </w:p>
        </w:tc>
      </w:tr>
      <w:tr w14:paraId="524AE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A2630D8">
            <w:r>
              <w:t>legal_secretary.db</w:t>
            </w:r>
          </w:p>
        </w:tc>
        <w:tc>
          <w:tcPr>
            <w:tcW w:w="4153" w:type="dxa"/>
          </w:tcPr>
          <w:p w14:paraId="6FCCE976">
            <w:r>
              <w:t>本地 SQLite 数据库文件，不作为正式文档提交内容</w:t>
            </w:r>
          </w:p>
        </w:tc>
      </w:tr>
    </w:tbl>
    <w:p w14:paraId="1ACF8709">
      <w:pPr>
        <w:pStyle w:val="4"/>
      </w:pPr>
      <w:r>
        <w:t>2.4 源代码与数据导入</w:t>
      </w:r>
    </w:p>
    <w:p w14:paraId="59F12F9B">
      <w:r>
        <w:t>1. 克隆项目：git clone &lt;项目地址&gt;
2. 进入项目根目录：cd legal-secretary
3. 创建并激活虚拟环境：python3 -m venv .venv &amp;&amp; source .venv/bin/activate
4. 安装 Python 依赖：pip install -r requirements.txt
5. 安装前端依赖：cd frontend &amp;&amp; npm install
6. 配置 .env：复制 .env.example 为 .env，填入 LLM API Key（注意不要提交真实密钥到 Git）
7. 执行知识库导入脚本：
   PYTHONPATH=backend python scripts/ingest_knowledge_base.py</w:t>
      </w:r>
    </w:p>
    <w:p w14:paraId="39EF589D">
      <w:pPr>
        <w:pStyle w:val="2"/>
      </w:pPr>
      <w:r>
        <w:t>3 运行环境安装与配置</w:t>
      </w:r>
    </w:p>
    <w:p w14:paraId="7574E48F">
      <w:pPr>
        <w:pStyle w:val="4"/>
      </w:pPr>
      <w:r>
        <w:t>3.1 系统部署图</w:t>
      </w:r>
    </w:p>
    <w:p w14:paraId="6D499AD2">
      <w:r>
        <w:t>系统部署关系如下（文字描述）：
浏览器前端（Vite 开发服务器）→ 通过 HTTP 请求访问后端 FastAPI API；
后端 FastAPI → 连接 SQLite 数据库、RAG 知识库和 LLM API；
RAG 知识库 → 由 knowledge_base 文件通过 ingest 脚本导入 ChromaDB / SQLite 数据库。</w:t>
      </w:r>
    </w:p>
    <w:p w14:paraId="13CC5CED">
      <w:pPr>
        <w:pStyle w:val="4"/>
      </w:pPr>
      <w:r>
        <w:t>3.2 系统要求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2A90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B570DB1">
            <w:r>
              <w:t>项目</w:t>
            </w:r>
          </w:p>
        </w:tc>
        <w:tc>
          <w:tcPr>
            <w:tcW w:w="4153" w:type="dxa"/>
          </w:tcPr>
          <w:p w14:paraId="1336CE4D">
            <w:r>
              <w:t>要求</w:t>
            </w:r>
          </w:p>
        </w:tc>
      </w:tr>
      <w:tr w14:paraId="2EA79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32120C6">
            <w:r>
              <w:t>操作系统</w:t>
            </w:r>
          </w:p>
        </w:tc>
        <w:tc>
          <w:tcPr>
            <w:tcW w:w="4153" w:type="dxa"/>
          </w:tcPr>
          <w:p w14:paraId="442F264E">
            <w:r>
              <w:t>Windows + WSL2 Ubuntu，或 Linux / macOS</w:t>
            </w:r>
          </w:p>
        </w:tc>
      </w:tr>
      <w:tr w14:paraId="12304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E69EDCE">
            <w:r>
              <w:t>Python</w:t>
            </w:r>
          </w:p>
        </w:tc>
        <w:tc>
          <w:tcPr>
            <w:tcW w:w="4153" w:type="dxa"/>
          </w:tcPr>
          <w:p w14:paraId="0653C03D">
            <w:r>
              <w:t>Python 3.10+</w:t>
            </w:r>
          </w:p>
        </w:tc>
      </w:tr>
      <w:tr w14:paraId="4696F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EABB584">
            <w:r>
              <w:t>Node.js</w:t>
            </w:r>
          </w:p>
        </w:tc>
        <w:tc>
          <w:tcPr>
            <w:tcW w:w="4153" w:type="dxa"/>
          </w:tcPr>
          <w:p w14:paraId="0CE71EC9">
            <w:r>
              <w:t>18+，支持 Vite 前端运行</w:t>
            </w:r>
          </w:p>
        </w:tc>
      </w:tr>
      <w:tr w14:paraId="25C12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43C22BC">
            <w:r>
              <w:t>浏览器</w:t>
            </w:r>
          </w:p>
        </w:tc>
        <w:tc>
          <w:tcPr>
            <w:tcW w:w="4153" w:type="dxa"/>
          </w:tcPr>
          <w:p w14:paraId="191BA6D3">
            <w:r>
              <w:t>Chrome / Edge 最新版本</w:t>
            </w:r>
          </w:p>
        </w:tc>
      </w:tr>
      <w:tr w14:paraId="68F90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3F4CDC4">
            <w:r>
              <w:t>网络</w:t>
            </w:r>
          </w:p>
        </w:tc>
        <w:tc>
          <w:tcPr>
            <w:tcW w:w="4153" w:type="dxa"/>
          </w:tcPr>
          <w:p w14:paraId="7B21B49C">
            <w:r>
              <w:t>需要能访问配置的大模型 API 端点</w:t>
            </w:r>
          </w:p>
        </w:tc>
      </w:tr>
      <w:tr w14:paraId="6787B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220388E8">
            <w:r>
              <w:t>磁盘</w:t>
            </w:r>
          </w:p>
        </w:tc>
        <w:tc>
          <w:tcPr>
            <w:tcW w:w="4153" w:type="dxa"/>
          </w:tcPr>
          <w:p w14:paraId="06832B80">
            <w:r>
              <w:t>需预留项目代码、虚拟环境、前端依赖和本地数据库空间（约 2GB）</w:t>
            </w:r>
          </w:p>
        </w:tc>
      </w:tr>
    </w:tbl>
    <w:p w14:paraId="4C78CE0C">
      <w:pPr>
        <w:pStyle w:val="4"/>
      </w:pPr>
      <w:r>
        <w:t>3.3 安装包及数据清单</w:t>
      </w:r>
    </w:p>
    <w:p w14:paraId="6152216E">
      <w:r>
        <w:t>项目源码（完整 git 仓库）</w:t>
      </w:r>
    </w:p>
    <w:p w14:paraId="56B5CF82">
      <w:r>
        <w:t>requirements.txt：Python 后端依赖声明</w:t>
      </w:r>
    </w:p>
    <w:p w14:paraId="318DD347">
      <w:r>
        <w:t>frontend/package.json：前端 Node.js 依赖声明</w:t>
      </w:r>
    </w:p>
    <w:p w14:paraId="0090F8C5">
      <w:r>
        <w:t>knowledge_base/：合同模板、法律文档和底线策略规则</w:t>
      </w:r>
    </w:p>
    <w:p w14:paraId="3DD546B6">
      <w:r>
        <w:t>.env.example：环境变量配置示例</w:t>
      </w:r>
    </w:p>
    <w:p w14:paraId="20288123">
      <w:r>
        <w:t>scripts/ingest_knowledge_base.py：知识库导入脚本</w:t>
      </w:r>
    </w:p>
    <w:p w14:paraId="3A247719">
      <w:r>
        <w:t>docs/：项目文档和测试文档</w:t>
      </w:r>
    </w:p>
    <w:p w14:paraId="77B64622">
      <w:r>
        <w:t>legal_secretary.db 为运行时生成或本地使用文件，不作为正式安装包内容。</w:t>
      </w:r>
    </w:p>
    <w:p w14:paraId="7436AB25">
      <w:pPr>
        <w:pStyle w:val="4"/>
      </w:pPr>
      <w:r>
        <w:t>3.4 系统安装与配置</w:t>
      </w:r>
    </w:p>
    <w:p w14:paraId="1D761328">
      <w:r>
        <w:t>1. 打开终端，进入项目根目录：cd ~/projects/legal-secretary
2. 激活虚拟环境：source .venv/bin/activate
3. 启动后端服务：
   PYTHONPATH=backend python -m uvicorn app.main:app --reload --host 0.0.0.0 --port 8000
4. 确认终端输出包含 Application startup complete 或 Uvicorn running</w:t>
      </w:r>
    </w:p>
    <w:p w14:paraId="1BDB4A60"/>
    <w:p w14:paraId="617207AC">
      <w:r>
        <w:t>1. 打开新终端，进入 frontend 目录：cd ~/projects/legal-secretary/frontend
2. 启动前端开发服务器：npm run dev -- --host 0.0.0.0
3. 确认终端输出 Local: http://localhost:5173/</w:t>
      </w:r>
    </w:p>
    <w:p w14:paraId="2F18A276"/>
    <w:p w14:paraId="07DF3FE0">
      <w:r>
        <w:t>Swagger 访问：http://localhost:8000/docs</w:t>
      </w:r>
    </w:p>
    <w:p w14:paraId="38ADCD15">
      <w:r>
        <w:t>前端页面访问：http://localhost:5173</w:t>
      </w:r>
    </w:p>
    <w:p w14:paraId="331211B9">
      <w:r>
        <w:t>如果在 WSL2 中 localhost 不可用，可使用 WSL IP 地址替代 localhost 访问。</w:t>
      </w:r>
    </w:p>
    <w:p w14:paraId="57623029">
      <w:pPr>
        <w:pStyle w:val="2"/>
      </w:pPr>
      <w:r>
        <w:t>4 用户操作说明</w:t>
      </w:r>
    </w:p>
    <w:p w14:paraId="44807314">
      <w:pPr>
        <w:pStyle w:val="4"/>
      </w:pPr>
      <w:r>
        <w:t>4.1 系统组成</w:t>
      </w:r>
    </w:p>
    <w:p w14:paraId="1C55A59E">
      <w:r>
        <w:t>系统主要由以下模块组成：</w:t>
      </w:r>
    </w:p>
    <w:p w14:paraId="2E805827">
      <w:r>
        <w:t>1. 登录认证模块：支持手机号+密码登录、退出登录和会话保持。</w:t>
      </w:r>
    </w:p>
    <w:p w14:paraId="64B9CD98">
      <w:r>
        <w:t>2. 合同起草模块：选择合同类型，通过多轮对话补充合同要素。</w:t>
      </w:r>
    </w:p>
    <w:p w14:paraId="2C216FBB">
      <w:r>
        <w:t>3. 合同生成与预览模块：基于已填字段流式生成合同正文，支持 Markdown 渲染预览。</w:t>
      </w:r>
    </w:p>
    <w:p w14:paraId="4712A4A6">
      <w:r>
        <w:t>4. RAG 知识库检索模块：法律问题查询，返回相关知识片段。</w:t>
      </w:r>
    </w:p>
    <w:p w14:paraId="2BFB940F">
      <w:r>
        <w:t>5. 谈判风险审查模块：对比原合同与修改稿，识别风险并生成谈判建议。</w:t>
      </w:r>
    </w:p>
    <w:p w14:paraId="06E4F150">
      <w:r>
        <w:t>6. 管理后台模块：管理员进行用户管理、API Key 配置和系统日志查看。</w:t>
      </w:r>
    </w:p>
    <w:p w14:paraId="1A890F34">
      <w:pPr>
        <w:pStyle w:val="4"/>
      </w:pPr>
      <w:r>
        <w:t>4.2 登录认证模块</w:t>
      </w:r>
    </w:p>
    <w:p w14:paraId="005AFB34">
      <w:pPr>
        <w:pStyle w:val="5"/>
      </w:pPr>
      <w:r>
        <w:t>4.2.1 普通用户登录</w:t>
      </w:r>
    </w:p>
    <w:p w14:paraId="2EF6F3DC">
      <w:r>
        <w:t>功能描述：用户在登录页面输入已注册的手机号和密码进行登录。</w:t>
      </w:r>
    </w:p>
    <w:p w14:paraId="5C1C091F">
      <w:r>
        <w:t>操作步骤：</w:t>
      </w:r>
    </w:p>
    <w:p w14:paraId="207603AE">
      <w:r>
        <w:t>1. 在浏览器中访问 http://localhost:5173
2. 页面自动跳转至登录页
3. 输入已注册的手机号和密码
4. 点击「登录」按钮</w:t>
      </w:r>
    </w:p>
    <w:p w14:paraId="12E3AE54">
      <w:r>
        <w:t>预期效果：登录成功后跳转至首页，导航栏显示用户头像和用户名。</w:t>
      </w:r>
    </w:p>
    <w:p w14:paraId="2EBD74EA">
      <w:r>
        <w:t>【截图：普通用户登录页面】</w:t>
      </w:r>
    </w:p>
    <w:p w14:paraId="7F6CA982">
      <w:pPr>
        <w:pStyle w:val="5"/>
      </w:pPr>
      <w:r>
        <w:t>4.2.2 管理员登录</w:t>
      </w:r>
    </w:p>
    <w:p w14:paraId="3E745B65">
      <w:r>
        <w:t>功能描述：管理员使用管理员账号登录，登录后可进入后台管理。</w:t>
      </w:r>
    </w:p>
    <w:p w14:paraId="7EFE0517">
      <w:r>
        <w:t>操作步骤：</w:t>
      </w:r>
    </w:p>
    <w:p w14:paraId="239D38E9">
      <w:r>
        <w:t>1. 在浏览器中访问 http://localhost:5173/login
2. 输入管理员手机号和密码
3. 点击「登录」按钮</w:t>
      </w:r>
    </w:p>
    <w:p w14:paraId="15C87AD0">
      <w:r>
        <w:t>预期效果：登录成功后导航栏右侧下拉菜单出现「后台管理」入口。</w:t>
      </w:r>
    </w:p>
    <w:p w14:paraId="2B01BC63">
      <w:r>
        <w:t>【截图：管理员登录页面】</w:t>
      </w:r>
    </w:p>
    <w:p w14:paraId="4F78534C">
      <w:pPr>
        <w:pStyle w:val="5"/>
      </w:pPr>
      <w:r>
        <w:t>4.2.3 退出登录</w:t>
      </w:r>
    </w:p>
    <w:p w14:paraId="5142EB18">
      <w:r>
        <w:t>功能描述：用户退出当前登录状态，清除会话信息。</w:t>
      </w:r>
    </w:p>
    <w:p w14:paraId="7768163C">
      <w:r>
        <w:t>操作步骤：</w:t>
      </w:r>
    </w:p>
    <w:p w14:paraId="118C5CE5">
      <w:r>
        <w:t>1. 点击导航栏右侧用户头像
2. 在弹出的下拉菜单中点击「退出登录」</w:t>
      </w:r>
    </w:p>
    <w:p w14:paraId="72820AC7">
      <w:r>
        <w:t>预期效果：退出成功后跳转至登录页，会话信息清除。</w:t>
      </w:r>
    </w:p>
    <w:p w14:paraId="60AD3293">
      <w:pPr>
        <w:pStyle w:val="4"/>
      </w:pPr>
      <w:r>
        <w:t>4.3 合同起草模块</w:t>
      </w:r>
    </w:p>
    <w:p w14:paraId="4E452F74">
      <w:pPr>
        <w:pStyle w:val="5"/>
      </w:pPr>
      <w:r>
        <w:t>4.3.1 进入合同起草页面</w:t>
      </w:r>
    </w:p>
    <w:p w14:paraId="63BF990D">
      <w:r>
        <w:t>功能描述：用户从首页进入合同起草页面，开始合同起草流程。</w:t>
      </w:r>
    </w:p>
    <w:p w14:paraId="46F7B0B1">
      <w:r>
        <w:t>操作步骤：</w:t>
      </w:r>
    </w:p>
    <w:p w14:paraId="612010AE">
      <w:r>
        <w:t>1. 登录系统后进入首页
2. 点击「合同起草」卡片或导航栏「合同起草」链接</w:t>
      </w:r>
    </w:p>
    <w:p w14:paraId="6A800AB0">
      <w:r>
        <w:t>预期效果：进入合同起草页面，显示三栏布局（类型选择、对话区、预览区）。</w:t>
      </w:r>
    </w:p>
    <w:p w14:paraId="5E311FE6">
      <w:r>
        <w:t>【截图：合同起草入口】</w:t>
      </w:r>
    </w:p>
    <w:p w14:paraId="7FC0DC45">
      <w:pPr>
        <w:pStyle w:val="5"/>
      </w:pPr>
      <w:r>
        <w:t>4.3.2 选择合同类型</w:t>
      </w:r>
    </w:p>
    <w:p w14:paraId="070BF2BE">
      <w:r>
        <w:t>功能描述：用户选择需要起草的合同类型，系统按类型引导对话。</w:t>
      </w:r>
    </w:p>
    <w:p w14:paraId="6A2FB936">
      <w:r>
        <w:t>支持合同类型：</w:t>
      </w:r>
    </w:p>
    <w:p w14:paraId="7E975A4B">
      <w:r>
        <w:t>• 技术服务合同</w:t>
      </w:r>
    </w:p>
    <w:p w14:paraId="5F346283">
      <w:r>
        <w:t>• 采购合同</w:t>
      </w:r>
    </w:p>
    <w:p w14:paraId="11F83679">
      <w:r>
        <w:t>• 劳动合同</w:t>
      </w:r>
    </w:p>
    <w:p w14:paraId="13F825DE">
      <w:r>
        <w:t>• 合作协议</w:t>
      </w:r>
    </w:p>
    <w:p w14:paraId="1EB5F7B0">
      <w:r>
        <w:t>• 保密协议</w:t>
      </w:r>
    </w:p>
    <w:p w14:paraId="770ECE53">
      <w:r>
        <w:t>操作步骤：</w:t>
      </w:r>
    </w:p>
    <w:p w14:paraId="7C096C52">
      <w:r>
        <w:t>1. 在左侧合同类型列表中点击所需类型
2. 观察中间对话区 AI 欢迎消息</w:t>
      </w:r>
    </w:p>
    <w:p w14:paraId="56150D57">
      <w:r>
        <w:t>预期效果：左侧高亮显示已选类型，中间对话区出现 AI 引导消息。</w:t>
      </w:r>
    </w:p>
    <w:p w14:paraId="27B15167">
      <w:r>
        <w:t>【截图：合同类型选择页面】</w:t>
      </w:r>
    </w:p>
    <w:p w14:paraId="59581E9F">
      <w:pPr>
        <w:pStyle w:val="5"/>
      </w:pPr>
      <w:r>
        <w:t>4.3.3 多轮对话补充合同信息</w:t>
      </w:r>
    </w:p>
    <w:p w14:paraId="38C20877">
      <w:r>
        <w:t>功能描述：用户根据系统提示，通过多轮对话填写合同要素。</w:t>
      </w:r>
    </w:p>
    <w:p w14:paraId="3D10A43C">
      <w:r>
        <w:t>操作步骤：</w:t>
      </w:r>
    </w:p>
    <w:p w14:paraId="0509493B">
      <w:r>
        <w:t>1. 在输入框中逐条填写甲方、乙方、项目名称等信息
2. 输入格式为「字段名：值」，如「甲方：北京创新科技有限公司」
3. AI 确认后继续填写下一项
4. 系统支持裸值输入推断，如直接输入「150 万元」时自动识别为金额</w:t>
      </w:r>
    </w:p>
    <w:p w14:paraId="48CC0E8C">
      <w:r>
        <w:t>预期效果：AI 逐条确认用户输入，左侧要素展示区实时更新已收集字段。</w:t>
      </w:r>
    </w:p>
    <w:p w14:paraId="41FAEE64">
      <w:r>
        <w:t>【截图：多轮对话收集合同信息】</w:t>
      </w:r>
    </w:p>
    <w:p w14:paraId="6A86A7EB">
      <w:pPr>
        <w:pStyle w:val="4"/>
      </w:pPr>
      <w:r>
        <w:t>4.4 合同生成与预览模块</w:t>
      </w:r>
    </w:p>
    <w:p w14:paraId="03A82280">
      <w:pPr>
        <w:pStyle w:val="5"/>
      </w:pPr>
      <w:r>
        <w:t>4.4.1 生成合同</w:t>
      </w:r>
    </w:p>
    <w:p w14:paraId="3BE9099D">
      <w:r>
        <w:t>功能描述：用户在对话完成必填字段后，点击生成合同按钮，系统流式生成合同正文。</w:t>
      </w:r>
    </w:p>
    <w:p w14:paraId="7A1FE578">
      <w:r>
        <w:t>操作步骤：</w:t>
      </w:r>
    </w:p>
    <w:p w14:paraId="1EE4B24F">
      <w:r>
        <w:t>1. 确认所有必填字段已填写
2. 点击「生成合同」按钮
3. 观察右侧预览区内容</w:t>
      </w:r>
    </w:p>
    <w:p w14:paraId="45818B3A">
      <w:r>
        <w:t>预期效果：右侧预览区以流式方式逐段显示合同正文。</w:t>
      </w:r>
    </w:p>
    <w:p w14:paraId="2024A8EA">
      <w:r>
        <w:t>【截图：合同生成过程】</w:t>
      </w:r>
    </w:p>
    <w:p w14:paraId="2EC505A0">
      <w:pPr>
        <w:pStyle w:val="5"/>
      </w:pPr>
      <w:r>
        <w:t>4.4.2 合同预览</w:t>
      </w:r>
    </w:p>
    <w:p w14:paraId="15809172">
      <w:r>
        <w:t>功能描述：展示已生成的合同正文，支持 Markdown 渲染。</w:t>
      </w:r>
    </w:p>
    <w:p w14:paraId="7AEE4DE5">
      <w:r>
        <w:t>操作步骤：</w:t>
      </w:r>
    </w:p>
    <w:p w14:paraId="3CB741E2">
      <w:r>
        <w:t>1. 完成合同生成后
2. 在右侧预览区查看合同全文
3. 核对甲方、乙方、金额等关键信息是否正确填入</w:t>
      </w:r>
    </w:p>
    <w:p w14:paraId="2D55BFB0">
      <w:r>
        <w:t>预期效果：合同正文以排版良好的 Markdown 格式显示，标题加粗、条款清晰。</w:t>
      </w:r>
    </w:p>
    <w:p w14:paraId="0D3FD3A5">
      <w:r>
        <w:t>【截图：合同预览页面】</w:t>
      </w:r>
    </w:p>
    <w:p w14:paraId="6FB1D456">
      <w:pPr>
        <w:pStyle w:val="5"/>
      </w:pPr>
      <w:r>
        <w:t>4.4.3 未填字段提示</w:t>
      </w:r>
    </w:p>
    <w:p w14:paraId="0ECBB53E">
      <w:r>
        <w:t>功能描述：用户未填必填字段时点击生成合同，系统提示继续补充。</w:t>
      </w:r>
    </w:p>
    <w:p w14:paraId="583641A5">
      <w:r>
        <w:t>操作步骤：</w:t>
      </w:r>
    </w:p>
    <w:p w14:paraId="5F00A7A2">
      <w:r>
        <w:t>1. 故意跳过合同金额等必填字段
2. 点击「生成合同」按钮</w:t>
      </w:r>
    </w:p>
    <w:p w14:paraId="03FF3DCC">
      <w:r>
        <w:t>预期效果：页面提示尚有必填字段未填写，建议继续补充后再生成。</w:t>
      </w:r>
    </w:p>
    <w:p w14:paraId="412FB75C">
      <w:pPr>
        <w:pStyle w:val="4"/>
      </w:pPr>
      <w:r>
        <w:t>4.5 RAG 知识库检索模块</w:t>
      </w:r>
    </w:p>
    <w:p w14:paraId="11FEB97B">
      <w:pPr>
        <w:pStyle w:val="5"/>
      </w:pPr>
      <w:r>
        <w:t>4.5.1 知识库初始化</w:t>
      </w:r>
    </w:p>
    <w:p w14:paraId="130E67F8">
      <w:r>
        <w:t>功能描述：首次使用前需执行知识库导入脚本，将 knowledge_base 中的模板和法律文档导入系统。</w:t>
      </w:r>
    </w:p>
    <w:p w14:paraId="50BF9125">
      <w:r>
        <w:t>操作步骤：</w:t>
      </w:r>
    </w:p>
    <w:p w14:paraId="6DA6CD03">
      <w:r>
        <w:t>1. 确保已安装 Python 依赖
2. 在项目根目录执行：
   PYTHONPATH=backend python scripts/ingest_knowledge_base.py</w:t>
      </w:r>
    </w:p>
    <w:p w14:paraId="5293671E">
      <w:r>
        <w:t>预期效果：终端输出导入 chunk 数量信息（约 191 条），无报错退出。</w:t>
      </w:r>
    </w:p>
    <w:p w14:paraId="45E9D02A">
      <w:pPr>
        <w:pStyle w:val="5"/>
      </w:pPr>
      <w:r>
        <w:t>4.5.2 法律问题检索</w:t>
      </w:r>
    </w:p>
    <w:p w14:paraId="33A8F50C">
      <w:r>
        <w:t>功能描述：用户输入法律相关问题，系统从知识库中检索相关知识片段。</w:t>
      </w:r>
    </w:p>
    <w:p w14:paraId="7424038B">
      <w:r>
        <w:t>支持查询示例：</w:t>
      </w:r>
    </w:p>
    <w:p w14:paraId="3CC1812F">
      <w:r>
        <w:t>• 违约金过高怎么办？</w:t>
      </w:r>
    </w:p>
    <w:p w14:paraId="326AF958">
      <w:r>
        <w:t>• 保密期限一般怎么约定？</w:t>
      </w:r>
    </w:p>
    <w:p w14:paraId="60E163F2">
      <w:r>
        <w:t>• 技术服务合同验收标准不明确有什么风险？</w:t>
      </w:r>
    </w:p>
    <w:p w14:paraId="38E7E923">
      <w:r>
        <w:t>操作步骤：</w:t>
      </w:r>
    </w:p>
    <w:p w14:paraId="24FD8172">
      <w:r>
        <w:t>1. 在系统提供的知识库检索入口或相关功能页面输入问题
2. 点击查询
3. 查看检索结果</w:t>
      </w:r>
    </w:p>
    <w:p w14:paraId="4195E19C">
      <w:r>
        <w:t>预期效果：系统返回相关知识片段和参考信息，包含法律依据。</w:t>
      </w:r>
    </w:p>
    <w:p w14:paraId="1838BA4C">
      <w:r>
        <w:t>【截图：RAG 知识库检索结果】</w:t>
      </w:r>
    </w:p>
    <w:p w14:paraId="433F639D">
      <w:pPr>
        <w:pStyle w:val="4"/>
      </w:pPr>
      <w:r>
        <w:t>4.6 谈判风险审查模块</w:t>
      </w:r>
    </w:p>
    <w:p w14:paraId="14ECB035">
      <w:pPr>
        <w:pStyle w:val="5"/>
      </w:pPr>
      <w:r>
        <w:t>4.6.1 输入原合同与修改稿</w:t>
      </w:r>
    </w:p>
    <w:p w14:paraId="0F976703">
      <w:r>
        <w:t>功能描述：用户进入谈判分析页面，输入或上传原合同文本和对方修改稿。</w:t>
      </w:r>
    </w:p>
    <w:p w14:paraId="619A856C">
      <w:r>
        <w:t>操作步骤：</w:t>
      </w:r>
    </w:p>
    <w:p w14:paraId="3E001B19">
      <w:r>
        <w:t>1. 点击导航栏「谈判辅助」进入 /negotiate
2. 选择已创建的合同
3. 输入原合同文本和对方修改稿文本；如果页面支持文件上传，可按页面提示上传 txt 或 docx 文件
4. 点击「开始分析」</w:t>
      </w:r>
    </w:p>
    <w:p w14:paraId="18E79259">
      <w:r>
        <w:t>预期效果：</w:t>
      </w:r>
      <w:r>
        <w:rPr>
          <w:rFonts w:hint="eastAsia"/>
        </w:rPr>
        <w:t>文本输入或文件上传完成后，系统开始执行差异比对和风险分析。</w:t>
      </w:r>
      <w:bookmarkStart w:id="0" w:name="_GoBack"/>
      <w:bookmarkEnd w:id="0"/>
    </w:p>
    <w:p w14:paraId="7A474F21">
      <w:r>
        <w:t>【截图：谈判风险审查输入页面】</w:t>
      </w:r>
    </w:p>
    <w:p w14:paraId="65039C8B">
      <w:pPr>
        <w:pStyle w:val="5"/>
      </w:pPr>
      <w:r>
        <w:t>4.6.2 风险点识别</w:t>
      </w:r>
    </w:p>
    <w:p w14:paraId="7BFE0C56">
      <w:r>
        <w:t>功能描述：AI 自动对比原合同与修改稿，识别风险项并分类。</w:t>
      </w:r>
    </w:p>
    <w:p w14:paraId="2B1CD601">
      <w:r>
        <w:t>可识别的风险类型：</w:t>
      </w:r>
    </w:p>
    <w:p w14:paraId="4474D52D">
      <w:r>
        <w:t>• 违约金过高：对比违约金比例变化</w:t>
      </w:r>
    </w:p>
    <w:p w14:paraId="7BEE3200">
      <w:r>
        <w:t>• 管辖地变更：识别争议管辖条款修改</w:t>
      </w:r>
    </w:p>
    <w:p w14:paraId="565956CA">
      <w:r>
        <w:t>• 单方解除权不平衡：识别解除权条款失衡</w:t>
      </w:r>
    </w:p>
    <w:p w14:paraId="657993D7">
      <w:r>
        <w:t>• 其他条款差异</w:t>
      </w:r>
    </w:p>
    <w:p w14:paraId="3F459DDD">
      <w:r>
        <w:t>操作步骤：</w:t>
      </w:r>
    </w:p>
    <w:p w14:paraId="1261129F">
      <w:r>
        <w:t>1. 在谈判分析页面查看风险列表
2. 每条风险标注等级（高/中/低）</w:t>
      </w:r>
    </w:p>
    <w:p w14:paraId="2011F01A">
      <w:r>
        <w:t>预期效果：风险列表展示差异项，包含法律引用。</w:t>
      </w:r>
    </w:p>
    <w:p w14:paraId="5486D40D">
      <w:r>
        <w:t>【截图：风险点识别结果】</w:t>
      </w:r>
    </w:p>
    <w:p w14:paraId="202EA629">
      <w:pPr>
        <w:pStyle w:val="5"/>
      </w:pPr>
      <w:r>
        <w:t>4.6.3 谈判回复建议</w:t>
      </w:r>
    </w:p>
    <w:p w14:paraId="6B0B75AB">
      <w:r>
        <w:t>功能描述：系统根据识别的风险点，生成对应谈判话术和建议。</w:t>
      </w:r>
    </w:p>
    <w:p w14:paraId="2096879D">
      <w:r>
        <w:t>操作步骤：</w:t>
      </w:r>
    </w:p>
    <w:p w14:paraId="7343A46D">
      <w:r>
        <w:t>1. 在风险列表中点击选中一条风险项
2. 在右侧详情区域查看分析结果和话术建议
3. 可复制话术内容用于实际谈判</w:t>
      </w:r>
    </w:p>
    <w:p w14:paraId="5F2F0A36">
      <w:r>
        <w:t>预期效果：详情区显示风险分析、法律依据、底线策略和谈判话术。</w:t>
      </w:r>
    </w:p>
    <w:p w14:paraId="4CBDA74E">
      <w:r>
        <w:t>【截图：谈判建议生成结果】</w:t>
      </w:r>
    </w:p>
    <w:p w14:paraId="54E11E2A">
      <w:pPr>
        <w:pStyle w:val="4"/>
      </w:pPr>
      <w:r>
        <w:t>4.7 管理后台模块</w:t>
      </w:r>
    </w:p>
    <w:p w14:paraId="574098C8">
      <w:pPr>
        <w:pStyle w:val="5"/>
      </w:pPr>
      <w:r>
        <w:t>4.7.1 用户管理</w:t>
      </w:r>
    </w:p>
    <w:p w14:paraId="5697C8E7">
      <w:r>
        <w:t>功能描述：管理员查看用户列表，管理用户状态。</w:t>
      </w:r>
    </w:p>
    <w:p w14:paraId="01DC2F29">
      <w:r>
        <w:t>操作步骤：</w:t>
      </w:r>
    </w:p>
    <w:p w14:paraId="7C379240">
      <w:r>
        <w:t>1. 以管理员身份登录
2. 点击头像下拉菜单 → 「后台管理」
3. 查看用户列表</w:t>
      </w:r>
    </w:p>
    <w:p w14:paraId="217AACD7">
      <w:r>
        <w:t>预期效果：显示用户表格，包含用户名、手机号、角色、状态、注册时间等列。</w:t>
      </w:r>
    </w:p>
    <w:p w14:paraId="55C6BC3B">
      <w:r>
        <w:t>【截图：用户管理页面】</w:t>
      </w:r>
    </w:p>
    <w:p w14:paraId="7E4B920A">
      <w:pPr>
        <w:pStyle w:val="5"/>
      </w:pPr>
      <w:r>
        <w:t>4.7.2 API Key 配置</w:t>
      </w:r>
    </w:p>
    <w:p w14:paraId="5DF4CE92">
      <w:r>
        <w:t>功能描述：管理员或配置人员查看和编辑 API Key 配置。</w:t>
      </w:r>
    </w:p>
    <w:p w14:paraId="5019408D">
      <w:r>
        <w:t>操作步骤：</w:t>
      </w:r>
    </w:p>
    <w:p w14:paraId="50BE8B4F">
      <w:r>
        <w:t>1. 进入后台管理页面
2. 切换到「API Key 管理」选项卡</w:t>
      </w:r>
    </w:p>
    <w:p w14:paraId="18C28107">
      <w:r>
        <w:t>预期效果：显示 API Key 配置页面，密钥已打码显示。</w:t>
      </w:r>
    </w:p>
    <w:p w14:paraId="79230EDE">
      <w:r>
        <w:t>注意：本文档不展示真实密钥，配置时请确保密钥不外泄。</w:t>
      </w:r>
    </w:p>
    <w:p w14:paraId="5F3D950E">
      <w:r>
        <w:t>【截图：API Key 配置页面，密钥需打码】</w:t>
      </w:r>
    </w:p>
    <w:p w14:paraId="110A7430">
      <w:pPr>
        <w:pStyle w:val="5"/>
      </w:pPr>
      <w:r>
        <w:t>4.7.3 日志或统计页面</w:t>
      </w:r>
    </w:p>
    <w:p w14:paraId="3EEE91BD">
      <w:r>
        <w:t>功能描述：管理员查看系统运行日志或统计信息。</w:t>
      </w:r>
    </w:p>
    <w:p w14:paraId="22BE2316">
      <w:r>
        <w:t>操作步骤：</w:t>
      </w:r>
    </w:p>
    <w:p w14:paraId="5BBC9FA1">
      <w:r>
        <w:t>1. 进入后台管理页面
2. 切换到「系统日志」或「系统统计」选项卡</w:t>
      </w:r>
    </w:p>
    <w:p w14:paraId="0AE39A35">
      <w:r>
        <w:t>预期效果：管理员可查看系统提供的用户管理、API Key 配置、日志或统计信息；具体可用功能以当前版本后台页面为准。</w:t>
      </w:r>
    </w:p>
    <w:p w14:paraId="3ADC10B3">
      <w:r>
        <w:t>【截图：日志或统计页面，如当前版本提供该页面】</w:t>
      </w:r>
    </w:p>
    <w:p w14:paraId="38EAB218">
      <w:pPr>
        <w:pStyle w:val="4"/>
      </w:pPr>
      <w:r>
        <w:t>4.8 常见问题与注意事项</w:t>
      </w:r>
    </w:p>
    <w:p w14:paraId="4008B250">
      <w:r>
        <w:t>• 后端启动失败时检查虚拟环境是否激活、依赖是否完整、.env 是否正确配置。</w:t>
      </w:r>
    </w:p>
    <w:p w14:paraId="03D0573F">
      <w:r>
        <w:t>• 前端启动失败时检查 Node.js 版本、是否执行过 npm install。</w:t>
      </w:r>
    </w:p>
    <w:p w14:paraId="7274A04B">
      <w:r>
        <w:t>• RAG 知识库返回为空时，请先执行 ingest_knowledge_base.py 导入知识库数据。</w:t>
      </w:r>
    </w:p>
    <w:p w14:paraId="1AFC3B76">
      <w:r>
        <w:t>• 登录失效时请重新登录，Token 有效期为 7 天。</w:t>
      </w:r>
    </w:p>
    <w:p w14:paraId="2AC41EED">
      <w:r>
        <w:t>• API Key 不得写入 README、测试文档、用户手册或提交到 Git 仓库。</w:t>
      </w:r>
    </w:p>
    <w:p w14:paraId="7EB9977F">
      <w:r>
        <w:t>• 本系统输出内容仅作为辅助建议，最终合同文本需人工审核确认。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7F35C"/>
    <w:multiLevelType w:val="multilevel"/>
    <w:tmpl w:val="9DE7F35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C14C7"/>
    <w:rsid w:val="01AF5CDA"/>
    <w:rsid w:val="02B518F1"/>
    <w:rsid w:val="04B50D49"/>
    <w:rsid w:val="11D73671"/>
    <w:rsid w:val="226D701C"/>
    <w:rsid w:val="24B20130"/>
    <w:rsid w:val="2CF24098"/>
    <w:rsid w:val="2EE304F4"/>
    <w:rsid w:val="3B336B52"/>
    <w:rsid w:val="45765A1C"/>
    <w:rsid w:val="47FC2393"/>
    <w:rsid w:val="4B8E433E"/>
    <w:rsid w:val="4C6325CE"/>
    <w:rsid w:val="57FC14C7"/>
    <w:rsid w:val="621C0705"/>
    <w:rsid w:val="6A2B3B74"/>
    <w:rsid w:val="716F3B77"/>
    <w:rsid w:val="7CF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4"/>
    <w:qFormat/>
    <w:uiPriority w:val="0"/>
    <w:pPr>
      <w:widowControl/>
      <w:numPr>
        <w:ilvl w:val="0"/>
        <w:numId w:val="1"/>
      </w:numPr>
      <w:adjustRightInd/>
      <w:spacing w:before="240" w:beforeLines="0" w:after="240" w:afterLines="0"/>
      <w:ind w:left="0" w:firstLine="0" w:firstLineChars="0"/>
      <w:jc w:val="left"/>
      <w:outlineLvl w:val="0"/>
    </w:pPr>
    <w:rPr>
      <w:rFonts w:ascii="Times New Roman" w:hAnsi="Times New Roman" w:eastAsia="黑体"/>
      <w:bCs/>
      <w:sz w:val="30"/>
      <w:szCs w:val="36"/>
    </w:rPr>
  </w:style>
  <w:style w:type="paragraph" w:styleId="4">
    <w:name w:val="heading 2"/>
    <w:basedOn w:val="3"/>
    <w:next w:val="1"/>
    <w:link w:val="15"/>
    <w:unhideWhenUsed/>
    <w:qFormat/>
    <w:uiPriority w:val="0"/>
    <w:pPr>
      <w:widowControl/>
      <w:numPr>
        <w:ilvl w:val="1"/>
        <w:numId w:val="1"/>
      </w:numPr>
      <w:tabs>
        <w:tab w:val="left" w:pos="500"/>
      </w:tabs>
      <w:adjustRightInd/>
      <w:spacing w:before="120" w:beforeLines="0" w:after="120" w:afterLines="0"/>
      <w:ind w:left="0" w:firstLine="0" w:firstLineChars="0"/>
      <w:jc w:val="left"/>
      <w:outlineLvl w:val="1"/>
    </w:pPr>
    <w:rPr>
      <w:rFonts w:ascii="Times New Roman" w:hAnsi="Times New Roman" w:eastAsia="黑体"/>
      <w:bCs/>
      <w:sz w:val="28"/>
      <w:szCs w:val="32"/>
    </w:rPr>
  </w:style>
  <w:style w:type="paragraph" w:styleId="5">
    <w:name w:val="heading 3"/>
    <w:basedOn w:val="3"/>
    <w:next w:val="6"/>
    <w:link w:val="16"/>
    <w:unhideWhenUsed/>
    <w:qFormat/>
    <w:uiPriority w:val="0"/>
    <w:pPr>
      <w:widowControl/>
      <w:numPr>
        <w:ilvl w:val="2"/>
        <w:numId w:val="1"/>
      </w:numPr>
      <w:adjustRightInd/>
      <w:spacing w:before="120" w:beforeLines="0" w:after="120" w:afterLines="0"/>
      <w:ind w:left="0" w:firstLine="0" w:firstLineChars="0"/>
      <w:jc w:val="left"/>
      <w:outlineLvl w:val="2"/>
    </w:pPr>
    <w:rPr>
      <w:rFonts w:ascii="Times New Roman" w:hAnsi="Times New Roman" w:eastAsia="黑体"/>
      <w:bCs/>
      <w:sz w:val="24"/>
      <w:szCs w:val="30"/>
    </w:rPr>
  </w:style>
  <w:style w:type="paragraph" w:styleId="6">
    <w:name w:val="heading 4"/>
    <w:basedOn w:val="1"/>
    <w:next w:val="1"/>
    <w:link w:val="17"/>
    <w:semiHidden/>
    <w:unhideWhenUsed/>
    <w:qFormat/>
    <w:uiPriority w:val="0"/>
    <w:pPr>
      <w:widowControl/>
      <w:numPr>
        <w:ilvl w:val="3"/>
        <w:numId w:val="1"/>
      </w:numPr>
      <w:adjustRightInd/>
      <w:spacing w:beforeLines="0" w:afterLines="0"/>
      <w:ind w:left="0" w:firstLine="0" w:firstLineChars="0"/>
      <w:jc w:val="left"/>
      <w:outlineLvl w:val="3"/>
    </w:pPr>
    <w:rPr>
      <w:rFonts w:ascii="Times New Roman" w:hAnsi="Times New Roman" w:eastAsia="黑体"/>
      <w:b/>
      <w:bCs/>
      <w:sz w:val="21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14">
    <w:name w:val="标题 1 Char"/>
    <w:link w:val="2"/>
    <w:qFormat/>
    <w:uiPriority w:val="0"/>
    <w:rPr>
      <w:rFonts w:ascii="Times New Roman" w:hAnsi="Times New Roman" w:eastAsia="黑体"/>
      <w:b/>
      <w:bCs/>
      <w:sz w:val="30"/>
      <w:szCs w:val="36"/>
      <w:lang w:val="en-US" w:eastAsia="zh-CN" w:bidi="ar-SA"/>
    </w:rPr>
  </w:style>
  <w:style w:type="character" w:customStyle="1" w:styleId="15">
    <w:name w:val="标题 2 Char"/>
    <w:link w:val="4"/>
    <w:qFormat/>
    <w:uiPriority w:val="0"/>
    <w:rPr>
      <w:rFonts w:ascii="Times New Roman" w:hAnsi="Times New Roman" w:eastAsia="黑体"/>
      <w:b/>
      <w:bCs/>
      <w:sz w:val="28"/>
      <w:szCs w:val="32"/>
      <w:lang w:val="en-US" w:eastAsia="zh-CN" w:bidi="ar-SA"/>
    </w:rPr>
  </w:style>
  <w:style w:type="character" w:customStyle="1" w:styleId="16">
    <w:name w:val="标题 3 Char"/>
    <w:link w:val="5"/>
    <w:qFormat/>
    <w:uiPriority w:val="0"/>
    <w:rPr>
      <w:rFonts w:ascii="Times New Roman" w:hAnsi="Times New Roman" w:eastAsia="黑体"/>
      <w:b/>
      <w:bCs/>
      <w:sz w:val="24"/>
      <w:szCs w:val="30"/>
      <w:lang w:val="en-US" w:eastAsia="zh-CN" w:bidi="ar-SA"/>
    </w:rPr>
  </w:style>
  <w:style w:type="character" w:customStyle="1" w:styleId="17">
    <w:name w:val="标题 4 Char"/>
    <w:link w:val="6"/>
    <w:qFormat/>
    <w:uiPriority w:val="0"/>
    <w:rPr>
      <w:rFonts w:ascii="Times New Roman" w:hAnsi="Times New Roman" w:eastAsia="黑体"/>
      <w:b/>
      <w:bCs/>
      <w:sz w:val="21"/>
      <w:szCs w:val="28"/>
    </w:rPr>
  </w:style>
  <w:style w:type="paragraph" w:customStyle="1" w:styleId="18">
    <w:name w:val="1 正文"/>
    <w:basedOn w:val="1"/>
    <w:qFormat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3995</Words>
  <Characters>5515</Characters>
  <Lines>0</Lines>
  <Paragraphs>0</Paragraphs>
  <TotalTime>22</TotalTime>
  <ScaleCrop>false</ScaleCrop>
  <LinksUpToDate>false</LinksUpToDate>
  <CharactersWithSpaces>5868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2019-05-21T03:22:00Z</dcterms:created>
  <dc:creator>紫依</dc:creator>
  <cp:lastModifiedBy>张怀月</cp:lastModifiedBy>
  <dcterms:modified xsi:type="dcterms:W3CDTF">2026-06-30T03:23:00Z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eyJoZGlkIjoiYTA4ZDcwN2M2MGQxNThlOGZhYTU1NjM0YWYwZDQxYzciLCJ1c2VySWQiOiIxNjM1NDY3OTczIn0=</vt:lpwstr>
  </property>
  <property fmtid="{D5CDD505-2E9C-101B-9397-08002B2CF9AE}" pid="4" name="ICV">
    <vt:lpwstr>8F327B4A346346008FDDFED596B33F75_12</vt:lpwstr>
  </property>
</Properties>
</file>