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Task 4 – CAP Tenant Manager: Design Decisions</w:t>
      </w:r>
    </w:p>
    <w:p>
      <w:pPr>
        <w:pStyle w:val="Heading2"/>
      </w:pPr>
      <w:r>
        <w:t>Q13 — How was tenant_id extracted from the JWT? Which CAP feature?</w:t>
      </w:r>
    </w:p>
    <w:p>
      <w:r>
        <w:t>CAP's built-in multitenancy middleware handles this automatically. No explicit JWT-parsing code is needed in application handlers.</w:t>
      </w:r>
    </w:p>
    <w:p>
      <w:r>
        <w:t>The exact code in a custom handler would be:</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srv/tenant-service.js</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const cds = require('@sap/cds');</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module.exports = cds.service.impl(async function (srv)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srv.before('CREATE', 'Tenants', (req) =&gt;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const tenantId = req.user.tenant;  // CAP extracts this from JWT 'zid' claim</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req.data.id = req.data.id || cds.utils.uuid();</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w:t>
      </w:r>
    </w:p>
    <w:p>
      <w:r/>
      <w:r>
        <w:rPr>
          <w:b/>
        </w:rPr>
        <w:t>CAP feature used:</w:t>
      </w:r>
      <w:r>
        <w:t xml:space="preserve"> </w:t>
      </w:r>
      <w:r>
        <w:rPr>
          <w:rFonts w:ascii="Courier New" w:hAnsi="Courier New"/>
          <w:sz w:val="19"/>
        </w:rPr>
        <w:t>cds.middlewares.auth</w:t>
      </w:r>
      <w:r>
        <w:t xml:space="preserve"> (part of </w:t>
      </w:r>
      <w:r>
        <w:rPr>
          <w:rFonts w:ascii="Courier New" w:hAnsi="Courier New"/>
          <w:sz w:val="19"/>
        </w:rPr>
        <w:t>@sap/cds</w:t>
      </w:r>
      <w:r>
        <w:t xml:space="preserve"> core). When the app is bound to an XSUAA service instance, CAP automatically validates the JWT on every request and exposes </w:t>
      </w:r>
      <w:r>
        <w:rPr>
          <w:rFonts w:ascii="Courier New" w:hAnsi="Courier New"/>
          <w:sz w:val="19"/>
        </w:rPr>
        <w:t>req.user.tenant</w:t>
      </w:r>
      <w:r>
        <w:t xml:space="preserve"> as the </w:t>
      </w:r>
      <w:r>
        <w:rPr>
          <w:rFonts w:ascii="Courier New" w:hAnsi="Courier New"/>
          <w:sz w:val="19"/>
        </w:rPr>
        <w:t>zid</w:t>
      </w:r>
      <w:r>
        <w:t xml:space="preserve"> (zone ID) claim from the token. This is part of CAP's </w:t>
      </w:r>
      <w:r>
        <w:rPr>
          <w:b/>
        </w:rPr>
        <w:t>authentication strategy</w:t>
      </w:r>
      <w:r>
        <w:t xml:space="preserve"> — the framework populates the </w:t>
      </w:r>
      <w:r>
        <w:rPr>
          <w:rFonts w:ascii="Courier New" w:hAnsi="Courier New"/>
          <w:sz w:val="19"/>
        </w:rPr>
        <w:t>cds.User</w:t>
      </w:r>
      <w:r>
        <w:t xml:space="preserve"> object so application code never needs to decode or verify JWTs directly.</w:t>
      </w:r>
    </w:p>
    <w:p>
      <w:r>
        <w:t xml:space="preserve">The </w:t>
      </w:r>
      <w:r>
        <w:rPr>
          <w:rFonts w:ascii="Courier New" w:hAnsi="Courier New"/>
          <w:sz w:val="19"/>
        </w:rPr>
        <w:t>zid</w:t>
      </w:r>
      <w:r>
        <w:t xml:space="preserve"> claim is the BTP subaccount ID of the calling tenant. It is always present in tokens issued by XSUAA for multi-tenant apps.</w:t>
      </w:r>
    </w:p>
    <w:p>
      <w:pPr>
        <w:pBdr>
          <w:bottom w:val="single" w:sz="6" w:space="1" w:color="AAAAAA"/>
        </w:pBdr>
      </w:pPr>
    </w:p>
    <w:p>
      <w:pPr>
        <w:pStyle w:val="Heading2"/>
      </w:pPr>
      <w:r>
        <w:t>Q14 — Idempotent upserts on (systemid, tenant_id): CREATE vs something else? Race condition?</w:t>
      </w:r>
    </w:p>
    <w:p>
      <w:r/>
      <w:r>
        <w:rPr>
          <w:b/>
        </w:rPr>
        <w:t>The current schema has `key id: UUID` — there is no `(systemid, tenant_id)` composite key.</w:t>
      </w:r>
      <w:r>
        <w:t xml:space="preserve"> The schema would need to be extended:</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entity SystemRegistrations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key systemid  : String(10);</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key tenant_id : String(36);</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status        : String(20);</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registeredAt  : Timestamp;</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w:t>
      </w:r>
    </w:p>
    <w:p>
      <w:r/>
      <w:r>
        <w:rPr>
          <w:b/>
        </w:rPr>
        <w:t>Handler choice: a custom `CREATE` handler with upsert semantics</w:t>
      </w:r>
      <w:r>
        <w:t>, not the default generated CREATE.</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srv.on('CREATE', 'SystemRegistrations', async (req) =&gt;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const { systemid, tenant_id } = req.data;</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const existing = await SELECT.one.from('SystemRegistrations')</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.where({ systemid, tenant_id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if (existing) return existing;  // idempotent: return what's already there</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return INSERT.into('SystemRegistrations').entries(req.data);</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w:t>
      </w:r>
    </w:p>
    <w:p>
      <w:r/>
      <w:r>
        <w:rPr>
          <w:b/>
        </w:rPr>
        <w:t>Race condition with two simultaneous POSTs:</w:t>
      </w:r>
      <w:r/>
    </w:p>
    <w:p>
      <w:r>
        <w:t xml:space="preserve">Both requests execute </w:t>
      </w:r>
      <w:r>
        <w:rPr>
          <w:rFonts w:ascii="Courier New" w:hAnsi="Courier New"/>
          <w:sz w:val="19"/>
        </w:rPr>
        <w:t>SELECT ... WHERE systemid = X AND tenant_id = Y</w:t>
      </w:r>
      <w:r>
        <w:t xml:space="preserve">, both get </w:t>
      </w:r>
      <w:r>
        <w:rPr>
          <w:rFonts w:ascii="Courier New" w:hAnsi="Courier New"/>
          <w:sz w:val="19"/>
        </w:rPr>
        <w:t>null</w:t>
      </w:r>
      <w:r>
        <w:t xml:space="preserve"> (row doesn't exist yet), both proceed to </w:t>
      </w:r>
      <w:r>
        <w:rPr>
          <w:rFonts w:ascii="Courier New" w:hAnsi="Courier New"/>
          <w:sz w:val="19"/>
        </w:rPr>
        <w:t>INSERT</w:t>
      </w:r>
      <w:r>
        <w:t xml:space="preserve">. The second </w:t>
      </w:r>
      <w:r>
        <w:rPr>
          <w:rFonts w:ascii="Courier New" w:hAnsi="Courier New"/>
          <w:sz w:val="19"/>
        </w:rPr>
        <w:t>INSERT</w:t>
      </w:r>
      <w:r>
        <w:t xml:space="preserve"> hits a </w:t>
      </w:r>
      <w:r>
        <w:rPr>
          <w:b/>
        </w:rPr>
        <w:t>primary key constraint violation</w:t>
      </w:r>
      <w:r>
        <w:t xml:space="preserve"> at the DB level (HANA: </w:t>
      </w:r>
      <w:r>
        <w:rPr>
          <w:rFonts w:ascii="Courier New" w:hAnsi="Courier New"/>
          <w:sz w:val="19"/>
        </w:rPr>
        <w:t>unique constraint violated</w:t>
      </w:r>
      <w:r>
        <w:t>). CAP surfaces this as HTTP 409 Conflict.</w:t>
      </w:r>
    </w:p>
    <w:p>
      <w:r/>
      <w:r>
        <w:rPr>
          <w:b/>
        </w:rPr>
        <w:t>How to handle:</w:t>
      </w:r>
      <w:r>
        <w:t xml:space="preserve"> wrap in a DB-level </w:t>
      </w:r>
      <w:r>
        <w:rPr>
          <w:rFonts w:ascii="Courier New" w:hAnsi="Courier New"/>
          <w:sz w:val="19"/>
        </w:rPr>
        <w:t>UPSERT</w:t>
      </w:r>
      <w:r>
        <w:t xml:space="preserve"> (HANA supports </w:t>
      </w:r>
      <w:r>
        <w:rPr>
          <w:rFonts w:ascii="Courier New" w:hAnsi="Courier New"/>
          <w:sz w:val="19"/>
        </w:rPr>
        <w:t>UPSERT INTO ... VALUES ... WHERE ...</w:t>
      </w:r>
      <w:r>
        <w:t>) or catch the 409 in the handler and re-read:</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try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await INSERT.into('SystemRegistrations').entries(req.data);</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catch (e)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if (e.code === '23000') {  // unique constraint</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return SELECT.one.from('SystemRegistrations').where({ systemid, tenant_id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 xml:space="preserve">  throw e;</w:t>
      </w:r>
    </w:p>
    <w:p>
      <w:pPr>
        <w:ind w:left="432"/>
        <w:pBdr>
          <w:top w:val="single" w:sz="4" w:space="1" w:color="AAAAAA"/>
          <w:left w:val="single" w:sz="4" w:space="1" w:color="AAAAAA"/>
          <w:bottom w:val="single" w:sz="4" w:space="1" w:color="AAAAAA"/>
          <w:right w:val="single" w:sz="4" w:space="1" w:color="AAAAAA"/>
        </w:pBdr>
        <w:shd w:val="clear" w:color="auto" w:fill="F4F4F4"/>
      </w:pPr>
      <w:r>
        <w:rPr>
          <w:rFonts w:ascii="Courier New" w:hAnsi="Courier New"/>
          <w:color w:val="1F1F1F"/>
          <w:sz w:val="18"/>
        </w:rPr>
        <w:t>}</w:t>
      </w:r>
    </w:p>
    <w:p>
      <w:r>
        <w:t xml:space="preserve">The true fix is a </w:t>
      </w:r>
      <w:r>
        <w:rPr>
          <w:b/>
        </w:rPr>
        <w:t>DB-level unique index</w:t>
      </w:r>
      <w:r>
        <w:t xml:space="preserve"> that makes the race condition's second INSERT always fail deterministically, then handle the error gracefully.</w:t>
      </w:r>
    </w:p>
    <w:p>
      <w:pPr>
        <w:pBdr>
          <w:bottom w:val="single" w:sz="6" w:space="1" w:color="AAAAAA"/>
        </w:pBdr>
      </w:pPr>
    </w:p>
    <w:p>
      <w:pPr>
        <w:pStyle w:val="Heading2"/>
      </w:pPr>
      <w:r>
        <w:t>Q15 — BTP Trial quotas that constrained deployment</w:t>
      </w:r>
    </w:p>
    <w:p>
      <w:r>
        <w:t xml:space="preserve">The </w:t>
      </w:r>
      <w:r>
        <w:rPr>
          <w:rFonts w:ascii="Courier New" w:hAnsi="Courier New"/>
          <w:sz w:val="19"/>
        </w:rPr>
        <w:t>xs-security.json</w:t>
      </w:r>
      <w:r>
        <w:t xml:space="preserve"> defines a single scope and role-template — deliberately minimal to stay within Trial constraints:</w:t>
      </w:r>
    </w:p>
    <w:p>
      <w:r/>
      <w:r>
        <w:rPr>
          <w:b/>
        </w:rPr>
        <w:t>Constraints encountered:</w:t>
      </w:r>
      <w:r/>
    </w:p>
    <w:p>
      <w:pPr>
        <w:pStyle w:val="ListNumber"/>
      </w:pPr>
      <w:r/>
      <w:r>
        <w:rPr>
          <w:b/>
        </w:rPr>
        <w:t>XSUAA service instances:</w:t>
      </w:r>
      <w:r>
        <w:t xml:space="preserve"> Trial allows 1 </w:t>
      </w:r>
      <w:r>
        <w:rPr>
          <w:rFonts w:ascii="Courier New" w:hAnsi="Courier New"/>
          <w:sz w:val="19"/>
        </w:rPr>
        <w:t>application</w:t>
      </w:r>
      <w:r>
        <w:t xml:space="preserve"> plan XSUAA instance per Cloud Foundry space. The security descriptor was kept to one app (</w:t>
      </w:r>
      <w:r>
        <w:rPr>
          <w:rFonts w:ascii="Courier New" w:hAnsi="Courier New"/>
          <w:sz w:val="19"/>
        </w:rPr>
        <w:t>s4accelerate-tenant-manager</w:t>
      </w:r>
      <w:r>
        <w:t>) rather than splitting into separate microservice descriptors.</w:t>
      </w:r>
    </w:p>
    <w:p>
      <w:pPr>
        <w:pStyle w:val="ListNumber"/>
      </w:pPr>
      <w:r/>
      <w:r>
        <w:rPr>
          <w:b/>
        </w:rPr>
        <w:t>Cloud Foundry memory quota:</w:t>
      </w:r>
      <w:r>
        <w:t xml:space="preserve"> Trial provides 2 GB total across all app instances. The CAP service runs with </w:t>
      </w:r>
      <w:r>
        <w:rPr>
          <w:rFonts w:ascii="Courier New" w:hAnsi="Courier New"/>
          <w:sz w:val="19"/>
        </w:rPr>
        <w:t>memory: 256M</w:t>
      </w:r>
      <w:r>
        <w:t xml:space="preserve"> in </w:t>
      </w:r>
      <w:r>
        <w:rPr>
          <w:rFonts w:ascii="Courier New" w:hAnsi="Courier New"/>
          <w:sz w:val="19"/>
        </w:rPr>
        <w:t>manifest.yml</w:t>
      </w:r>
      <w:r>
        <w:t xml:space="preserve"> to leave room for the HANA Cloud Trial instance's CF-side tooling.</w:t>
      </w:r>
    </w:p>
    <w:p>
      <w:pPr>
        <w:pStyle w:val="ListNumber"/>
      </w:pPr>
      <w:r/>
      <w:r>
        <w:rPr>
          <w:b/>
        </w:rPr>
        <w:t>HANA Cloud Trial:</w:t>
      </w:r>
      <w:r>
        <w:t xml:space="preserve"> Only one HANA Cloud instance is permitted. The schema uses a single namespace (</w:t>
      </w:r>
      <w:r>
        <w:rPr>
          <w:rFonts w:ascii="Courier New" w:hAnsi="Courier New"/>
          <w:sz w:val="19"/>
        </w:rPr>
        <w:t>s4a.tenant</w:t>
      </w:r>
      <w:r>
        <w:t>) and a flat entity model rather than multiple namespaces that would benefit from separate HDI containers — Trial only allows one HDI container group.</w:t>
      </w:r>
    </w:p>
    <w:p>
      <w:r/>
      <w:r>
        <w:rPr>
          <w:b/>
        </w:rPr>
        <w:t>Workaround for XSUAA:</w:t>
      </w:r>
      <w:r>
        <w:t xml:space="preserve"> role-collections are created manually in the BTP cockpit rather than via the MTA deployer, since the </w:t>
      </w:r>
      <w:r>
        <w:rPr>
          <w:rFonts w:ascii="Courier New" w:hAnsi="Courier New"/>
          <w:sz w:val="19"/>
        </w:rPr>
        <w:t>xs-security.json</w:t>
      </w:r>
      <w:r>
        <w:t xml:space="preserve"> deployer extension for auto-creating role-collections requires the </w:t>
      </w:r>
      <w:r>
        <w:rPr>
          <w:rFonts w:ascii="Courier New" w:hAnsi="Courier New"/>
          <w:sz w:val="19"/>
        </w:rPr>
        <w:t>xs-role-collection</w:t>
      </w:r>
      <w:r>
        <w:t xml:space="preserve"> MTA module type which is not available on Trial.</w:t>
      </w:r>
    </w:p>
    <w:p>
      <w:pPr>
        <w:pBdr>
          <w:bottom w:val="single" w:sz="6" w:space="1" w:color="AAAAAA"/>
        </w:pBdr>
      </w:pPr>
    </w:p>
    <w:p>
      <w:pPr>
        <w:pStyle w:val="Heading2"/>
      </w:pPr>
      <w:r>
        <w:t>Q16 — If switching from CAP to Express + Sequelize, which CAP features would be missed most?</w:t>
      </w:r>
    </w:p>
    <w:p>
      <w:r/>
      <w:r>
        <w:rPr>
          <w:b/>
        </w:rPr>
        <w:t>1. Automatic OData V4 protocol generation.</w:t>
      </w:r>
      <w:r/>
    </w:p>
    <w:p>
      <w:r>
        <w:t xml:space="preserve">CAP generates a fully spec-compliant OData V4 endpoint (including </w:t>
      </w:r>
      <w:r>
        <w:rPr>
          <w:rFonts w:ascii="Courier New" w:hAnsi="Courier New"/>
          <w:sz w:val="19"/>
        </w:rPr>
        <w:t>$filter</w:t>
      </w:r>
      <w:r>
        <w:t xml:space="preserve">, </w:t>
      </w:r>
      <w:r>
        <w:rPr>
          <w:rFonts w:ascii="Courier New" w:hAnsi="Courier New"/>
          <w:sz w:val="19"/>
        </w:rPr>
        <w:t>$expand</w:t>
      </w:r>
      <w:r>
        <w:t xml:space="preserve">, </w:t>
      </w:r>
      <w:r>
        <w:rPr>
          <w:rFonts w:ascii="Courier New" w:hAnsi="Courier New"/>
          <w:sz w:val="19"/>
        </w:rPr>
        <w:t>$orderby</w:t>
      </w:r>
      <w:r>
        <w:t xml:space="preserve">, </w:t>
      </w:r>
      <w:r>
        <w:rPr>
          <w:rFonts w:ascii="Courier New" w:hAnsi="Courier New"/>
          <w:sz w:val="19"/>
        </w:rPr>
        <w:t>$count</w:t>
      </w:r>
      <w:r>
        <w:t xml:space="preserve">, </w:t>
      </w:r>
      <w:r>
        <w:rPr>
          <w:rFonts w:ascii="Courier New" w:hAnsi="Courier New"/>
          <w:sz w:val="19"/>
        </w:rPr>
        <w:t>$batch</w:t>
      </w:r>
      <w:r>
        <w:t xml:space="preserve">) from the CDS service definition with zero hand-written routing code. Replicating this in Express would require either </w:t>
      </w:r>
      <w:r>
        <w:rPr>
          <w:rFonts w:ascii="Courier New" w:hAnsi="Courier New"/>
          <w:sz w:val="19"/>
        </w:rPr>
        <w:t>odata-v4-metadata</w:t>
      </w:r>
      <w:r>
        <w:t xml:space="preserve"> + a custom router layer or a library like </w:t>
      </w:r>
      <w:r>
        <w:rPr>
          <w:rFonts w:ascii="Courier New" w:hAnsi="Courier New"/>
          <w:sz w:val="19"/>
        </w:rPr>
        <w:t>odata-sequelize</w:t>
      </w:r>
      <w:r>
        <w:t xml:space="preserve"> — neither is complete or maintained at the same level.</w:t>
      </w:r>
    </w:p>
    <w:p>
      <w:r/>
      <w:r>
        <w:rPr>
          <w:b/>
        </w:rPr>
        <w:t>2. Built-in multitenancy isolation via `@sap/cds-mtxs`.</w:t>
      </w:r>
      <w:r/>
    </w:p>
    <w:p>
      <w:r>
        <w:t>CAP's MTX extension automatically routes DB connections to the correct HDI container per tenant (</w:t>
      </w:r>
      <w:r>
        <w:rPr>
          <w:rFonts w:ascii="Courier New" w:hAnsi="Courier New"/>
          <w:sz w:val="19"/>
        </w:rPr>
        <w:t>zid</w:t>
      </w:r>
      <w:r>
        <w:t xml:space="preserve">) at the framework level. In Express + Sequelize, you would need to maintain a connection pool map keyed by tenant ID, implement the subscribe/unsubscribe lifecycle (HDI container create/drop), and wire JWT tenant extraction into every route manually — roughly 500–1000 lines of boilerplate that CAP handles in one </w:t>
      </w:r>
      <w:r>
        <w:rPr>
          <w:rFonts w:ascii="Courier New" w:hAnsi="Courier New"/>
          <w:sz w:val="19"/>
        </w:rPr>
        <w:t>mtx: true</w:t>
      </w:r>
      <w:r>
        <w:t xml:space="preserve"> config line.</w:t>
      </w:r>
    </w:p>
    <w:p>
      <w:r/>
      <w:r>
        <w:rPr>
          <w:b/>
        </w:rPr>
        <w:t>3. CDS query language and compile-time schema validation.</w:t>
      </w:r>
      <w:r/>
    </w:p>
    <w:p>
      <w:r/>
      <w:r>
        <w:rPr>
          <w:rFonts w:ascii="Courier New" w:hAnsi="Courier New"/>
          <w:sz w:val="19"/>
        </w:rPr>
        <w:t>SELECT.from('Tenants').where(...)</w:t>
      </w:r>
      <w:r>
        <w:t xml:space="preserve"> is type-safe against the CDS model at compile time (with the CDS LSP). Sequelize models are defined separately from any CDS schema, so schema drift between the data layer and the service contract is only caught at runtime. The CDS </w:t>
      </w:r>
      <w:r>
        <w:rPr>
          <w:rFonts w:ascii="Courier New" w:hAnsi="Courier New"/>
          <w:sz w:val="19"/>
        </w:rPr>
        <w:t>deploy</w:t>
      </w:r>
      <w:r>
        <w:t xml:space="preserve"> + HDI integration also handles schema migrations automatically; Sequelize migrations must be written and sequenced by hand.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