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6 – CPI / Event Mesh Pipeline: Design Decisions</w:t>
      </w:r>
    </w:p>
    <w:p>
      <w:pPr>
        <w:pStyle w:val="Heading2"/>
      </w:pPr>
      <w:r>
        <w:t>Q25 — HMAC verification implementation: Groovy, Message Mapping, or other?</w:t>
      </w:r>
    </w:p>
    <w:p>
      <w:r>
        <w:t xml:space="preserve">Implemented in </w:t>
      </w:r>
      <w:r>
        <w:rPr>
          <w:b/>
        </w:rPr>
        <w:t>Node.js</w:t>
      </w:r>
      <w:r>
        <w:t xml:space="preserve"> as a reusable module (</w:t>
      </w:r>
      <w:r>
        <w:rPr>
          <w:rFonts w:ascii="Courier New" w:hAnsi="Courier New"/>
          <w:sz w:val="19"/>
        </w:rPr>
        <w:t>signature_check.js</w:t>
      </w:r>
      <w:r>
        <w:t>), not in Groovy or a CPI Message Mapping: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crypto = require('crypto');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function verifySignature(payload, secret, incomingSignature)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const computedSignature = crypto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.createHmac('sha256', secret)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.update(JSON.stringify(payload))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.digest('hex');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return computedSignature === incomingSignature;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r/>
      <w:r>
        <w:rPr>
          <w:b/>
        </w:rPr>
        <w:t>Algorithm:</w:t>
      </w:r>
      <w:r>
        <w:t xml:space="preserve"> HMAC-SHA256. The payload object is serialised with </w:t>
      </w:r>
      <w:r>
        <w:rPr>
          <w:rFonts w:ascii="Courier New" w:hAnsi="Courier New"/>
          <w:sz w:val="19"/>
        </w:rPr>
        <w:t>JSON.stringify</w:t>
      </w:r>
      <w:r>
        <w:t xml:space="preserve"> before hashing, and the result is compared as lowercase hex against </w:t>
      </w:r>
      <w:r>
        <w:rPr>
          <w:rFonts w:ascii="Courier New" w:hAnsi="Courier New"/>
          <w:sz w:val="19"/>
        </w:rPr>
        <w:t>incomingSignature</w:t>
      </w:r>
      <w:r>
        <w:t>.</w:t>
      </w:r>
    </w:p>
    <w:p>
      <w:r/>
      <w:r>
        <w:rPr>
          <w:b/>
        </w:rPr>
        <w:t>Why Node.js rather than Groovy/CPI:</w:t>
      </w:r>
      <w:r>
        <w:t xml:space="preserve"> The pipeline in this task is orchestrated by the Node.js layer (</w:t>
      </w:r>
      <w:r>
        <w:rPr>
          <w:rFonts w:ascii="Courier New" w:hAnsi="Courier New"/>
          <w:sz w:val="19"/>
        </w:rPr>
        <w:t>orchestrator.js</w:t>
      </w:r>
      <w:r>
        <w:t xml:space="preserve">). CPI Groovy would be the right implementation if the signature check were inside a CPI iFlow; here it lives on the consumer side (CAP/Node app) that receives Event Mesh push deliveries. The </w:t>
      </w:r>
      <w:r>
        <w:rPr>
          <w:rFonts w:ascii="Courier New" w:hAnsi="Courier New"/>
          <w:sz w:val="19"/>
        </w:rPr>
        <w:t>verifySignature</w:t>
      </w:r>
      <w:r>
        <w:t xml:space="preserve"> function is imported by the orchestrator and called before any business logic executes.</w:t>
      </w:r>
    </w:p>
    <w:p>
      <w:r/>
      <w:r>
        <w:rPr>
          <w:b/>
        </w:rPr>
        <w:t>Critical assumption:</w:t>
      </w:r>
      <w:r>
        <w:t xml:space="preserve"> both the publisher (CPI iFlow) and this consumer must serialise the JSON payload in the same property order before hashing. </w:t>
      </w:r>
      <w:r>
        <w:rPr>
          <w:rFonts w:ascii="Courier New" w:hAnsi="Courier New"/>
          <w:sz w:val="19"/>
        </w:rPr>
        <w:t>JSON.stringify</w:t>
      </w:r>
      <w:r>
        <w:t xml:space="preserve"> in Node.js produces deterministic ordering for a given object, but if the payload was stringified on the CPI side before sending, the consumer must hash the raw string body — not re-stringify a parsed object. This is a known fragility (see Task 7, Q32).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Q26 — Event Mesh webhook vs CPI-polled subscription: which was chosen and why?</w:t>
      </w:r>
    </w:p>
    <w:p>
      <w:r/>
      <w:r>
        <w:rPr>
          <w:b/>
        </w:rPr>
        <w:t>Webhook push subscription was chosen</w:t>
      </w:r>
      <w:r>
        <w:t xml:space="preserve"> — Event Mesh pushes events to the Node.js app's HTTP endpoint, which calls </w:t>
      </w:r>
      <w:r>
        <w:rPr>
          <w:rFonts w:ascii="Courier New" w:hAnsi="Courier New"/>
          <w:sz w:val="19"/>
        </w:rPr>
        <w:t>verifySignature</w:t>
      </w:r>
      <w:r>
        <w:t xml:space="preserve"> on the inbound payload.</w:t>
      </w:r>
    </w:p>
    <w:p>
      <w:r/>
      <w:r>
        <w:rPr>
          <w:b/>
        </w:rPr>
        <w:t>Difference: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Webhook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CPI-polled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 Mesh → consumer (push)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Consumer → Event Mesh (pull)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Near-real-time (milliseconds after publish)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Depends on poll interval (seconds to minutes)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 Mesh retries on non-2xx response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Consumer controls retry on poll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Consumer uptime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Must be reachable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Can be intermittent</w:t>
            </w:r>
          </w:p>
        </w:tc>
      </w:tr>
    </w:tbl>
    <w:p/>
    <w:p>
      <w:r/>
      <w:r>
        <w:rPr>
          <w:b/>
        </w:rPr>
        <w:t>Why webhook:</w:t>
      </w:r>
      <w:r>
        <w:t xml:space="preserve"> The discovery completion event (</w:t>
      </w:r>
      <w:r>
        <w:rPr>
          <w:rFonts w:ascii="Courier New" w:hAnsi="Courier New"/>
          <w:sz w:val="19"/>
        </w:rPr>
        <w:t>s4a/{tenantId}/discovery/completed</w:t>
      </w:r>
      <w:r>
        <w:t>) is time-sensitive — downstream CAP processing should start as soon as the ABAP extractor finishes, not on the next poll cycle. The Node.js orchestrator is a long-running CF app, so it is always reachable. The webhook model also avoids the CPI iFlow needing an outbound HTTP adapter to the Event Mesh management API for polling — it only needs to publish.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Q27 — If CPI is down for 30 minutes: what happens to published events? Do they arrive when CPI returns?</w:t>
      </w:r>
    </w:p>
    <w:p>
      <w:r/>
      <w:r>
        <w:rPr>
          <w:b/>
        </w:rPr>
        <w:t>Yes — if the events were published by the ABAP/CAP side to Event Mesh before CPI went down.</w:t>
      </w:r>
      <w:r/>
    </w:p>
    <w:p>
      <w:r>
        <w:t xml:space="preserve">SAP Event Mesh is a </w:t>
      </w:r>
      <w:r>
        <w:rPr>
          <w:b/>
        </w:rPr>
        <w:t>durable message broker</w:t>
      </w:r>
      <w:r>
        <w:t>. Messages published to a queue are persisted to disk and retained until:</w:t>
      </w:r>
    </w:p>
    <w:p>
      <w:pPr>
        <w:pStyle w:val="ListBullet"/>
      </w:pPr>
      <w:r>
        <w:t>A consumer acknowledges them (AT_LEAST_ONCE delivery), or</w:t>
      </w:r>
    </w:p>
    <w:p>
      <w:pPr>
        <w:pStyle w:val="ListBullet"/>
      </w:pPr>
      <w:r>
        <w:t>The retention period expires (Trial: ~1 hour; production: configurable, default 7 days).</w:t>
      </w:r>
    </w:p>
    <w:p>
      <w:r>
        <w:t>When CPI (the consumer, or in the webhook model the subscriber that triggers CPI) returns:</w:t>
      </w:r>
    </w:p>
    <w:p>
      <w:pPr>
        <w:pStyle w:val="ListBullet"/>
      </w:pPr>
      <w:r>
        <w:t xml:space="preserve">If CPI is the </w:t>
      </w:r>
      <w:r>
        <w:rPr>
          <w:b/>
        </w:rPr>
        <w:t>webhook subscriber</w:t>
      </w:r>
      <w:r>
        <w:t>: Event Mesh will redeliver unacknowledged messages once the endpoint becomes reachable again. The exact retry backoff is configurable in the queue subscription (default: exponential, up to 10 retries before dead-lettering).</w:t>
      </w:r>
    </w:p>
    <w:p>
      <w:pPr>
        <w:pStyle w:val="ListBullet"/>
      </w:pPr>
      <w:r>
        <w:t xml:space="preserve">If CPI is </w:t>
      </w:r>
      <w:r>
        <w:rPr>
          <w:b/>
        </w:rPr>
        <w:t>polling the queue</w:t>
      </w:r>
      <w:r>
        <w:t>: it simply catches up on the accumulated backlog when it reconnects.</w:t>
      </w:r>
    </w:p>
    <w:p>
      <w:r/>
      <w:r>
        <w:rPr>
          <w:b/>
        </w:rPr>
        <w:t>How to confirm:</w:t>
      </w:r>
      <w:r>
        <w:t xml:space="preserve"> Check the Event Mesh management dashboard → Queue monitoring → look at </w:t>
      </w:r>
      <w:r>
        <w:rPr>
          <w:rFonts w:ascii="Courier New" w:hAnsi="Courier New"/>
          <w:sz w:val="19"/>
        </w:rPr>
        <w:t>Queued Message Count</w:t>
      </w:r>
      <w:r>
        <w:t>. Before CPI returns it should show the backlogged count. After CPI processes the backlog it should return to 0. Alternatively, enable dead-letter queue (DLQ) monitoring — messages that exhausted retries during the downtime window will appear there.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Q28 — Event Mesh Trial quotas: what to change for production?</w:t>
      </w:r>
    </w:p>
    <w:p>
      <w:r>
        <w:t>Trial Event Mesh (</w:t>
      </w:r>
      <w:r>
        <w:rPr>
          <w:rFonts w:ascii="Courier New" w:hAnsi="Courier New"/>
          <w:sz w:val="19"/>
        </w:rPr>
        <w:t>default</w:t>
      </w:r>
      <w:r>
        <w:t xml:space="preserve"> service plan) constraints: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Trial limit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Production change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Queue depth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~100 messages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Upgrade to </w:t>
            </w:r>
            <w:r>
              <w:rPr>
                <w:rFonts w:ascii="Courier New" w:hAnsi="Courier New"/>
                <w:sz w:val="19"/>
              </w:rPr>
              <w:t>standard</w:t>
            </w:r>
            <w:r>
              <w:rPr>
                <w:sz w:val="19"/>
              </w:rPr>
              <w:t xml:space="preserve"> plan: 10M+ messages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Message retention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~1 hour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Configure to 7 days minimum; use persistent storage tier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Message 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MB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 default 1 MB; increase to 64 MB if payloads grow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Throughput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~10 msg/sec per 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standard</w:t>
            </w:r>
            <w:r>
              <w:rPr>
                <w:sz w:val="19"/>
              </w:rPr>
              <w:t xml:space="preserve"> plan: 1000+ msg/sec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Dead-letter 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Not available on Trial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Enable DLQ per queue; set </w:t>
            </w:r>
            <w:r>
              <w:rPr>
                <w:rFonts w:ascii="Courier New" w:hAnsi="Courier New"/>
                <w:sz w:val="19"/>
              </w:rPr>
              <w:t>maxDeliveryAttempts</w:t>
            </w:r>
            <w:r>
              <w:rPr>
                <w:sz w:val="19"/>
              </w:rPr>
            </w:r>
          </w:p>
        </w:tc>
      </w:tr>
    </w:tbl>
    <w:p/>
    <w:p>
      <w:r/>
      <w:r>
        <w:rPr>
          <w:b/>
        </w:rPr>
        <w:t>Specific production changes for this pipeline:</w:t>
      </w:r>
      <w:r/>
    </w:p>
    <w:p>
      <w:pPr>
        <w:pStyle w:val="ListNumber"/>
      </w:pPr>
      <w:r/>
      <w:r>
        <w:rPr>
          <w:b/>
        </w:rPr>
        <w:t>Switch to `standard` service plan</w:t>
      </w:r>
      <w:r>
        <w:t xml:space="preserve"> — enables higher queue depth, longer retention, and DLQ support.</w:t>
      </w:r>
    </w:p>
    <w:p>
      <w:pPr>
        <w:pStyle w:val="ListNumber"/>
      </w:pPr>
      <w:r/>
      <w:r>
        <w:rPr>
          <w:b/>
        </w:rPr>
        <w:t>Enable DLQ on the `s4a.discovery` queue</w:t>
      </w:r>
      <w:r>
        <w:t xml:space="preserve"> — events that fail repeated delivery (e.g. orchestrator returning 500) must not be silently dropped. DLQ allows manual replay or alerting.</w:t>
      </w:r>
    </w:p>
    <w:p>
      <w:pPr>
        <w:pStyle w:val="ListNumber"/>
      </w:pPr>
      <w:r/>
      <w:r>
        <w:rPr>
          <w:b/>
        </w:rPr>
        <w:t>Set `queueMaxMessageSizeInBytes` to at least 256 KB</w:t>
      </w:r>
      <w:r>
        <w:t xml:space="preserve"> — the discovery payload for large system profiles can exceed the 1 MB default if tenant data is embedded; consider chunking payloads and using the queue for event references only (pointer pattern).</w:t>
      </w:r>
    </w:p>
    <w:p>
      <w:pPr>
        <w:pStyle w:val="ListNumber"/>
      </w:pPr>
      <w:r/>
      <w:r>
        <w:rPr>
          <w:b/>
        </w:rPr>
        <w:t>Configure alert rules on queue depth</w:t>
      </w:r>
      <w:r>
        <w:t xml:space="preserve"> — if depth exceeds N messages, trigger a BTP alert to signal that the consumer is lagging.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