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7 – Orchestration Layer: Design Decisions</w:t>
      </w:r>
    </w:p>
    <w:p>
      <w:pPr>
        <w:pStyle w:val="Heading2"/>
      </w:pPr>
      <w:r>
        <w:t>Q32 — What broke first when connecting the three layers?</w:t>
      </w:r>
    </w:p>
    <w:p>
      <w:r/>
      <w:r>
        <w:rPr>
          <w:b/>
        </w:rPr>
        <w:t>Signature mismatch — the 401 thrown by `verifySignature`.</w:t>
      </w:r>
      <w:r/>
    </w:p>
    <w:p>
      <w:r>
        <w:t xml:space="preserve">The specific error: </w:t>
      </w:r>
      <w:r>
        <w:rPr>
          <w:rFonts w:ascii="Courier New" w:hAnsi="Courier New"/>
          <w:sz w:val="19"/>
        </w:rPr>
        <w:t>Error: 401 Unauthorized: Context processing signature authentication failure.</w:t>
      </w:r>
      <w:r/>
    </w:p>
    <w:p>
      <w:r>
        <w:t xml:space="preserve">The root cause is in how </w:t>
      </w:r>
      <w:r>
        <w:rPr>
          <w:rFonts w:ascii="Courier New" w:hAnsi="Courier New"/>
          <w:sz w:val="19"/>
        </w:rPr>
        <w:t>verifySignature</w:t>
      </w:r>
      <w:r>
        <w:t xml:space="preserve"> constructs the HMAC:</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const computedSignature = crypto</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.createHmac('sha256', secret)</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.update(JSON.stringify(payload))  // ← re-stringifies a parsed object</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.digest('hex');</w:t>
      </w:r>
    </w:p>
    <w:p>
      <w:r>
        <w:t>When Event Mesh (or CPI) publishes an event, the message body is a JSON string. The webhook receiver parses it (</w:t>
      </w:r>
      <w:r>
        <w:rPr>
          <w:rFonts w:ascii="Courier New" w:hAnsi="Courier New"/>
          <w:sz w:val="19"/>
        </w:rPr>
        <w:t>JSON.parse</w:t>
      </w:r>
      <w:r>
        <w:t xml:space="preserve">) before passing it to </w:t>
      </w:r>
      <w:r>
        <w:rPr>
          <w:rFonts w:ascii="Courier New" w:hAnsi="Courier New"/>
          <w:sz w:val="19"/>
        </w:rPr>
        <w:t>runCoordinationFlow</w:t>
      </w:r>
      <w:r>
        <w:t xml:space="preserve">. </w:t>
      </w:r>
      <w:r>
        <w:rPr>
          <w:rFonts w:ascii="Courier New" w:hAnsi="Courier New"/>
          <w:sz w:val="19"/>
        </w:rPr>
        <w:t>JSON.stringify</w:t>
      </w:r>
      <w:r>
        <w:t xml:space="preserve"> on a re-parsed object does </w:t>
      </w:r>
      <w:r>
        <w:rPr>
          <w:b/>
        </w:rPr>
        <w:t>not guarantee the same byte sequence</w:t>
      </w:r>
      <w:r>
        <w:t xml:space="preserve"> as the original string — property insertion order depends on how the upstream serialiser wrote the JSON. If the CPI Groovy script used </w:t>
      </w:r>
      <w:r>
        <w:rPr>
          <w:rFonts w:ascii="Courier New" w:hAnsi="Courier New"/>
          <w:sz w:val="19"/>
        </w:rPr>
        <w:t>JsonOutput.toJson(map)</w:t>
      </w:r>
      <w:r>
        <w:t xml:space="preserve"> and the receiver used </w:t>
      </w:r>
      <w:r>
        <w:rPr>
          <w:rFonts w:ascii="Courier New" w:hAnsi="Courier New"/>
          <w:sz w:val="19"/>
        </w:rPr>
        <w:t>JSON.stringify(parsedObject)</w:t>
      </w:r>
      <w:r>
        <w:t>, any difference in key ordering produces a completely different HMAC.</w:t>
      </w:r>
    </w:p>
    <w:p>
      <w:r/>
      <w:r>
        <w:rPr>
          <w:b/>
        </w:rPr>
        <w:t>Fix:</w:t>
      </w:r>
      <w:r>
        <w:t xml:space="preserve"> hash the raw request body bytes before JSON parsing:</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app.post('/events', express.raw({ type: 'application/json' }), (req, res) =&gt;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const rawBody = req.body.toString('utf8');</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const isValid = verifySignature(rawBody, process.env.S4A_HMAC_SECRET, req.headers['x-signature']);</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if (!isValid) return res.status(401).end();</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const payload = JSON.parse(rawBody);</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runCoordinationFlow(payload.tenantId, payload, req.headers['x-signature']);</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res.status(200).end();</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w:t>
      </w:r>
    </w:p>
    <w:p>
      <w:pPr>
        <w:pBdr>
          <w:bottom w:val="single" w:sz="6" w:space="1" w:color="AAAAAA"/>
        </w:pBdr>
      </w:pPr>
    </w:p>
    <w:p>
      <w:pPr>
        <w:pStyle w:val="Heading2"/>
      </w:pPr>
      <w:r>
        <w:t>Q33 — OAuth2 from CPI to ABAP: which grant type and why?</w:t>
      </w:r>
    </w:p>
    <w:p>
      <w:r/>
      <w:r>
        <w:rPr>
          <w:b/>
        </w:rPr>
        <w:t>Client Credentials grant (`grant_type=client_credentials`).</w:t>
      </w:r>
      <w:r/>
    </w:p>
    <w:p>
      <w:r>
        <w:t>CPI iFlows authenticate to the ABAP OData service (exposed via SAP BTP Connectivity or directly via ABAP OAuth2 server) using a pre-configured OAuth2 client (</w:t>
      </w:r>
      <w:r>
        <w:rPr>
          <w:rFonts w:ascii="Courier New" w:hAnsi="Courier New"/>
          <w:sz w:val="19"/>
        </w:rPr>
        <w:t>clientId</w:t>
      </w:r>
      <w:r>
        <w:t xml:space="preserve"> + </w:t>
      </w:r>
      <w:r>
        <w:rPr>
          <w:rFonts w:ascii="Courier New" w:hAnsi="Courier New"/>
          <w:sz w:val="19"/>
        </w:rPr>
        <w:t>clientSecret</w:t>
      </w:r>
      <w:r>
        <w:t xml:space="preserve">) registered in the ABAP system's OAuth2 configuration (transaction </w:t>
      </w:r>
      <w:r>
        <w:rPr>
          <w:rFonts w:ascii="Courier New" w:hAnsi="Courier New"/>
          <w:sz w:val="19"/>
        </w:rPr>
        <w:t>SOAUTH2</w:t>
      </w:r>
      <w:r>
        <w:t>).</w:t>
      </w:r>
    </w:p>
    <w:p>
      <w:r/>
      <w:r>
        <w:rPr>
          <w:b/>
        </w:rPr>
        <w:t>Why Client Credentials and not Authorization Code or SAML Bearer:</w:t>
      </w:r>
      <w:r/>
    </w:p>
    <w:p>
      <w:pPr>
        <w:pStyle w:val="ListBullet"/>
      </w:pPr>
      <w:r/>
      <w:r>
        <w:rPr>
          <w:b/>
        </w:rPr>
        <w:t>No user context:</w:t>
      </w:r>
      <w:r>
        <w:t xml:space="preserve"> The CPI iFlow runs as a background system process. There is no logged-in user whose identity should flow to ABAP. Client Credentials is the correct OAuth2 flow for machine-to-machine (M2M) / service-account scenarios.</w:t>
      </w:r>
    </w:p>
    <w:p>
      <w:pPr>
        <w:pStyle w:val="ListBullet"/>
      </w:pPr>
      <w:r/>
      <w:r>
        <w:rPr>
          <w:b/>
        </w:rPr>
        <w:t>No browser redirect:</w:t>
      </w:r>
      <w:r>
        <w:t xml:space="preserve"> Authorization Code requires a redirect URI and an interactive consent step — impossible inside a CPI iFlow runtime.</w:t>
      </w:r>
    </w:p>
    <w:p>
      <w:pPr>
        <w:pStyle w:val="ListBullet"/>
      </w:pPr>
      <w:r/>
      <w:r>
        <w:rPr>
          <w:b/>
        </w:rPr>
        <w:t>SAML Bearer</w:t>
      </w:r>
      <w:r>
        <w:t xml:space="preserve"> (the other common S2S option in SAP landscapes) requires a SAML assertion signed by an IDP that ABAP trusts. It adds a dependency on a third-party IDP being available at call time. Client Credentials only requires ABAP's own OAuth2 server.</w:t>
      </w:r>
    </w:p>
    <w:p>
      <w:r>
        <w:t xml:space="preserve">The CPI HTTP adapter is configured with: Authentication = </w:t>
      </w:r>
      <w:r>
        <w:rPr>
          <w:rFonts w:ascii="Courier New" w:hAnsi="Courier New"/>
          <w:sz w:val="19"/>
        </w:rPr>
        <w:t>OAuth2 Client Credentials</w:t>
      </w:r>
      <w:r>
        <w:t xml:space="preserve">, Token Service URL = </w:t>
      </w:r>
      <w:r>
        <w:rPr>
          <w:rFonts w:ascii="Courier New" w:hAnsi="Courier New"/>
          <w:sz w:val="19"/>
        </w:rPr>
        <w:t>https://&lt;abap-host&gt;/sap/bc/sec/oauth2/token</w:t>
      </w:r>
      <w:r>
        <w:t>, Client ID and Secret stored in CPI Secure Parameters.</w:t>
      </w:r>
    </w:p>
    <w:p>
      <w:pPr>
        <w:pBdr>
          <w:bottom w:val="single" w:sz="6" w:space="1" w:color="AAAAAA"/>
        </w:pBdr>
      </w:pPr>
    </w:p>
    <w:p>
      <w:pPr>
        <w:pStyle w:val="Heading2"/>
      </w:pPr>
      <w:r>
        <w:t>Q34 — Exact code/config that subscribes CAP to Event Mesh. Does CAP miss messages on restart?</w:t>
      </w:r>
    </w:p>
    <w:p>
      <w:r>
        <w:t xml:space="preserve">The </w:t>
      </w:r>
      <w:r>
        <w:rPr>
          <w:rFonts w:ascii="Courier New" w:hAnsi="Courier New"/>
          <w:sz w:val="19"/>
        </w:rPr>
        <w:t>orchestrator.js</w:t>
      </w:r>
      <w:r>
        <w:t xml:space="preserve"> does not contain explicit Event Mesh subscription code — it exposes a function </w:t>
      </w:r>
      <w:r>
        <w:rPr>
          <w:rFonts w:ascii="Courier New" w:hAnsi="Courier New"/>
          <w:sz w:val="19"/>
        </w:rPr>
        <w:t>runCoordinationFlow</w:t>
      </w:r>
      <w:r>
        <w:t xml:space="preserve"> that is called when an inbound event arrives. The subscription is configured in the Event Mesh service instance, not in application code.</w:t>
      </w:r>
    </w:p>
    <w:p>
      <w:r/>
      <w:r>
        <w:rPr>
          <w:b/>
        </w:rPr>
        <w:t>The subscription config (Event Mesh management UI or REST API):</w:t>
      </w:r>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"subscriptionName": "s4a-orchestrator-sub",</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"queue":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"name": "s4a/discovery/completed"</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"webhookUrl": "https://&lt;cf-app-url&gt;/events/discovery",</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"authentication":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"type": "NoAuthentication"</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"handshakeOnSubscriptionCreate": true,</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"qos": 1</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w:t>
      </w:r>
    </w:p>
    <w:p>
      <w:r/>
      <w:r>
        <w:rPr>
          <w:rFonts w:ascii="Courier New" w:hAnsi="Courier New"/>
          <w:sz w:val="19"/>
        </w:rPr>
        <w:t>qos: 1</w:t>
      </w:r>
      <w:r>
        <w:t xml:space="preserve"> = AT_LEAST_ONCE delivery. Event Mesh does not mark a message as delivered until it receives HTTP 200 from the webhook endpoint.</w:t>
      </w:r>
    </w:p>
    <w:p>
      <w:r/>
      <w:r>
        <w:rPr>
          <w:b/>
        </w:rPr>
        <w:t>Does CAP miss messages on restart?</w:t>
      </w:r>
      <w:r/>
    </w:p>
    <w:p>
      <w:r/>
      <w:r>
        <w:rPr>
          <w:b/>
        </w:rPr>
        <w:t>No — with `qos: 1`.</w:t>
      </w:r>
      <w:r>
        <w:t xml:space="preserve"> If the CF app restarts (crash or redeploy), in-flight messages that were pushed but not acknowledged (no 200 received) will be redelivered by Event Mesh once the endpoint becomes reachable again. Messages published during the downtime window are queued and delivered in order when the app returns.</w:t>
      </w:r>
    </w:p>
    <w:p>
      <w:r/>
      <w:r>
        <w:rPr>
          <w:b/>
        </w:rPr>
        <w:t>What could cause message loss:</w:t>
      </w:r>
      <w:r>
        <w:t xml:space="preserve"> if </w:t>
      </w:r>
      <w:r>
        <w:rPr>
          <w:rFonts w:ascii="Courier New" w:hAnsi="Courier New"/>
          <w:sz w:val="19"/>
        </w:rPr>
        <w:t>qos: 0</w:t>
      </w:r>
      <w:r>
        <w:t xml:space="preserve"> (AT_MOST_ONCE) were used, Event Mesh would not retry. With </w:t>
      </w:r>
      <w:r>
        <w:rPr>
          <w:rFonts w:ascii="Courier New" w:hAnsi="Courier New"/>
          <w:sz w:val="19"/>
        </w:rPr>
        <w:t>qos: 1</w:t>
      </w:r>
      <w:r>
        <w:t xml:space="preserve"> and a DLQ configured, messages that exhaust retries land in the DLQ rather than being dropped.</w:t>
      </w:r>
    </w:p>
    <w:p>
      <w:pPr>
        <w:pBdr>
          <w:bottom w:val="single" w:sz="6" w:space="1" w:color="AAAAAA"/>
        </w:pBdr>
      </w:pPr>
    </w:p>
    <w:p>
      <w:pPr>
        <w:pStyle w:val="Heading2"/>
      </w:pPr>
      <w:r>
        <w:t>Q35 — With 2 more days, what's the first production-readiness addition?</w:t>
      </w:r>
    </w:p>
    <w:p>
      <w:r/>
      <w:r>
        <w:rPr>
          <w:b/>
        </w:rPr>
        <w:t>Externalise the hardcoded `'S4A_SECRET_KEY'` in `orchestrator.js` to a bound credential.</w:t>
      </w:r>
      <w:r/>
    </w:p>
    <w:p>
      <w:r>
        <w:t>Current code:</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const isValid = verifySignature(eventPayload, 'S4A_SECRET_KEY', secretHeader);</w:t>
      </w:r>
    </w:p>
    <w:p>
      <w:r>
        <w:t xml:space="preserve">This is a </w:t>
      </w:r>
      <w:r>
        <w:rPr>
          <w:b/>
        </w:rPr>
        <w:t>P0 security issue</w:t>
      </w:r>
      <w:r>
        <w:t>, not a nice-to-have. A hardcoded secret means:</w:t>
      </w:r>
    </w:p>
    <w:p>
      <w:pPr>
        <w:pStyle w:val="ListBullet"/>
      </w:pPr>
      <w:r>
        <w:t>The key is in git history permanently — rotating it requires a code change and redeploy, not a credential rotation.</w:t>
      </w:r>
    </w:p>
    <w:p>
      <w:pPr>
        <w:pStyle w:val="ListBullet"/>
      </w:pPr>
      <w:r>
        <w:t>Every environment (dev, test, prod) shares the same key — a compromise of one compromises all.</w:t>
      </w:r>
    </w:p>
    <w:p>
      <w:pPr>
        <w:pStyle w:val="ListBullet"/>
      </w:pPr>
      <w:r>
        <w:t>The key is visible to anyone with repo read access.</w:t>
      </w:r>
    </w:p>
    <w:p>
      <w:r/>
      <w:r>
        <w:rPr>
          <w:b/>
        </w:rPr>
        <w:t>Concrete change:</w:t>
      </w:r>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orchestrator.js</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const HMAC_SECRET = process.env.S4A_HMAC_SECRET;</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if (!HMAC_SECRET) throw new Error('S4A_HMAC_SECRET is not set — refusing to start');</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const isValid = verifySignature(eventPayload, HMAC_SECRET, secretHeader);</w:t>
      </w:r>
    </w:p>
    <w:p>
      <w:r>
        <w:t>On BTP/CF, bind the secret via a User-Provided Service or a BTP Credential Store binding:</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manifest.yml</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env:</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S4A_HMAC_SECRET: ((hmac-secret))   # injected by pipeline from BTP Credential Store</w:t>
      </w:r>
    </w:p>
    <w:p>
      <w:r>
        <w:t>The startup guard (</w:t>
      </w:r>
      <w:r>
        <w:rPr>
          <w:rFonts w:ascii="Courier New" w:hAnsi="Courier New"/>
          <w:sz w:val="19"/>
        </w:rPr>
        <w:t>if (!HMAC_SECRET) throw</w:t>
      </w:r>
      <w:r>
        <w:t>) ensures the app fails fast on misconfiguration rather than silently accepting all payloads or crashing on the first inbound event.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