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Dear Martin Gonzalez and Professor Melissa Valentine,</w:t>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propose a Point of View article speculating on how multimodal large language models will transform the empirical science of team and organizational behavior by offering a scalable and reliable method for measuring micro-interactions that influence macro-outcomes.</w:t>
      </w:r>
    </w:p>
    <w:p w:rsidR="00000000" w:rsidDel="00000000" w:rsidP="00000000" w:rsidRDefault="00000000" w:rsidRPr="00000000" w14:paraId="00000004">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core problem.</w:t>
      </w:r>
      <w:r w:rsidDel="00000000" w:rsidR="00000000" w:rsidRPr="00000000">
        <w:rPr>
          <w:rFonts w:ascii="Times New Roman" w:cs="Times New Roman" w:eastAsia="Times New Roman" w:hAnsi="Times New Roman"/>
          <w:rtl w:val="0"/>
        </w:rPr>
        <w:t xml:space="preserve"> The team science literature reveals brief observations of team behavior can predict long-term outcomes. For example, Gottman and Levenson (2000) showed that fifteen minutes of observation predicted divorce with over 90% accuracy. Woolley et al. (2010) demonstrated that participation equality and social sensitivity, not individual intelligence, drive collective intelligence. Jung (2016) found that five minutes of team interaction predicted performance weeks later. We have the existence proofs showing micro-interactions matter. Now, the question is when and where can these brief observations predict long-term outcomes. The empirical study of organization behavior has been limited by technology, which has primarily been retrospective surveys with notable exceptions including sociometric badges and digital exhaust from Slack and Zoom. But, the gap between what team science knows matters and what organizations can actually see remains vast because of insufficient instrumentation.</w:t>
      </w:r>
    </w:p>
    <w:p w:rsidR="00000000" w:rsidDel="00000000" w:rsidP="00000000" w:rsidRDefault="00000000" w:rsidRPr="00000000" w14:paraId="00000006">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has changed.</w:t>
      </w:r>
      <w:r w:rsidDel="00000000" w:rsidR="00000000" w:rsidRPr="00000000">
        <w:rPr>
          <w:rFonts w:ascii="Times New Roman" w:cs="Times New Roman" w:eastAsia="Times New Roman" w:hAnsi="Times New Roman"/>
          <w:rtl w:val="0"/>
        </w:rPr>
        <w:t xml:space="preserve"> Multimodal AI systems now process video, audio, and text simultaneously at roughly one dollar per hour of footage, which is orders of magnitude cheaper than expert behavioral coding. Our preliminary validation work suggests these systems achieve reliability comparable to trained human coders across constructs central to team science: participation architecture, building versus blocking behaviors, affective trajectories, and temporal dynamics. </w:t>
      </w:r>
    </w:p>
    <w:p w:rsidR="00000000" w:rsidDel="00000000" w:rsidP="00000000" w:rsidRDefault="00000000" w:rsidRPr="00000000" w14:paraId="00000008">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research agenda.</w:t>
      </w:r>
      <w:r w:rsidDel="00000000" w:rsidR="00000000" w:rsidRPr="00000000">
        <w:rPr>
          <w:rFonts w:ascii="Times New Roman" w:cs="Times New Roman" w:eastAsia="Times New Roman" w:hAnsi="Times New Roman"/>
          <w:rtl w:val="0"/>
        </w:rPr>
        <w:t xml:space="preserve"> We outline seven research questions that team science has long recognized as important but could not adequately answer due to measurement constraints: (1) the minimum observation window needed to predict team outcomes (building on Ambady &amp; Rosenthal, 1992; Curhan &amp; Pentland, 2007); (2) whether successful teams exhibit distinct temporal signatures (extending Gersick, 1988; Tuckman, 1965); (3) gaps between espoused values and enacted behaviors (operationalizing Argyris, 1976; Edmondson, 1999); (4) which features of participation architecture causally drive collective intelligence (decomposing Woolley et al., 2010; Engel et al., 2014); (5) optimal timing for team interventions (testing Hackman &amp; Wageman, 2005; Tannenbaum &amp; Cerasoli, 2013); (6) whether dynamics in flash teams differ from stable teams (extending Valentine et al., 2017; Mortensen &amp; Haas, 2018); and (7) what distinguishes productive conflict recovery from dysfunction (moving beyond De Dreu &amp; Weingart, 2003; Behfar et al., 2008). Each question was previously constrained by infrastructure, not insight.</w:t>
      </w:r>
    </w:p>
    <w:p w:rsidR="00000000" w:rsidDel="00000000" w:rsidP="00000000" w:rsidRDefault="00000000" w:rsidRPr="00000000" w14:paraId="0000000A">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address privacy, reductionism, and generalizability concerns head-on. The piece is designed to catalyze empirical work at the intersection of team science and AI measurement, which is a research program with direct implications for organization design.</w:t>
      </w:r>
    </w:p>
    <w:p w:rsidR="00000000" w:rsidDel="00000000" w:rsidP="00000000" w:rsidRDefault="00000000" w:rsidRPr="00000000" w14:paraId="0000000C">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Sincerely,</w:t>
      </w:r>
    </w:p>
    <w:p w:rsidR="00000000" w:rsidDel="00000000" w:rsidP="00000000" w:rsidRDefault="00000000" w:rsidRPr="00000000" w14:paraId="0000000E">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Matt Groh, Evey Huang, and Brian Uzzi</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Team Science from the Lens of Multimodal Large Language Models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