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1781175</wp:posOffset>
            </wp:positionH>
            <wp:positionV relativeFrom="paragraph">
              <wp:posOffset>635</wp:posOffset>
            </wp:positionV>
            <wp:extent cx="2377440" cy="128016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Московский государственный университет имени М.В. Ломоносова</w:t>
      </w:r>
    </w:p>
    <w:p>
      <w:pPr>
        <w:pStyle w:val="Style12"/>
        <w:spacing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Факультет Вычислительной математики и кибернетики</w:t>
      </w:r>
    </w:p>
    <w:p>
      <w:pPr>
        <w:pStyle w:val="Style12"/>
        <w:spacing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Кафедра Алгоритмических языков</w:t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Отчет по заданию практикума по объектно-ориентированному программированию</w:t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color w:val="000000"/>
          <w:sz w:val="36"/>
          <w:szCs w:val="36"/>
        </w:rPr>
        <w:t>Система управления инвестиционным портфелем</w:t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center"/>
        <w:rPr/>
      </w:pPr>
      <w:r>
        <w:rPr/>
      </w:r>
    </w:p>
    <w:p>
      <w:pPr>
        <w:pStyle w:val="Style12"/>
        <w:spacing w:before="0" w:after="12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 xml:space="preserve">Выполнил: </w:t>
      </w:r>
    </w:p>
    <w:p>
      <w:pPr>
        <w:pStyle w:val="Style12"/>
        <w:spacing w:before="0" w:after="12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студент 424 группы</w:t>
      </w:r>
    </w:p>
    <w:p>
      <w:pPr>
        <w:pStyle w:val="Style12"/>
        <w:spacing w:before="0" w:after="12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Гончаренко Евгений</w:t>
      </w:r>
    </w:p>
    <w:p>
      <w:pPr>
        <w:pStyle w:val="Style12"/>
        <w:spacing w:before="0" w:after="120"/>
        <w:jc w:val="right"/>
        <w:rPr/>
      </w:pPr>
      <w:r>
        <w:rPr/>
      </w:r>
    </w:p>
    <w:p>
      <w:pPr>
        <w:pStyle w:val="Style12"/>
        <w:spacing w:before="0" w:after="120"/>
        <w:jc w:val="right"/>
        <w:rPr/>
      </w:pPr>
      <w:r>
        <w:rPr/>
      </w:r>
    </w:p>
    <w:p>
      <w:pPr>
        <w:pStyle w:val="Style12"/>
        <w:spacing w:before="0" w:after="120"/>
        <w:rPr/>
      </w:pPr>
      <w:r>
        <w:rPr/>
      </w:r>
    </w:p>
    <w:p>
      <w:pPr>
        <w:pStyle w:val="Style12"/>
        <w:spacing w:before="0" w:after="120"/>
        <w:jc w:val="right"/>
        <w:rPr/>
      </w:pPr>
      <w:r>
        <w:rPr/>
      </w:r>
    </w:p>
    <w:p>
      <w:pPr>
        <w:pStyle w:val="Style12"/>
        <w:spacing w:before="0" w:after="120"/>
        <w:jc w:val="right"/>
        <w:rPr/>
      </w:pPr>
      <w:r>
        <w:rPr/>
      </w:r>
    </w:p>
    <w:p>
      <w:pPr>
        <w:pStyle w:val="Style12"/>
        <w:spacing w:before="0" w:after="120"/>
        <w:jc w:val="right"/>
        <w:rPr/>
      </w:pPr>
      <w:r>
        <w:rPr/>
      </w:r>
    </w:p>
    <w:p>
      <w:pPr>
        <w:pStyle w:val="Style12"/>
        <w:spacing w:before="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</w:t>
      </w:r>
      <w:r>
        <w:rPr>
          <w:rFonts w:cs="Times New Roman" w:ascii="Times New Roman" w:hAnsi="Times New Roman"/>
          <w:sz w:val="24"/>
          <w:szCs w:val="24"/>
        </w:rPr>
        <w:t>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/>
            <w:rPr>
              <w:lang w:val="en-US" w:eastAsia="en-US"/>
            </w:rPr>
          </w:pPr>
          <w:r>
            <w:rPr>
              <w:lang w:val="en-US" w:eastAsia="en-US"/>
            </w:rPr>
            <w:t>Оглавление</w:t>
            <w:br/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1495_2230964193">
            <w:r>
              <w:rPr>
                <w:webHidden/>
                <w:rStyle w:val="IndexLink"/>
              </w:rPr>
              <w:t>Уточнение постановки 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81497_2230964193">
            <w:r>
              <w:rPr>
                <w:webHidden/>
                <w:rStyle w:val="IndexLink"/>
              </w:rPr>
              <w:t>Диаграмма классов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81499_2230964193">
            <w:r>
              <w:rPr>
                <w:webHidden/>
                <w:rStyle w:val="IndexLink"/>
              </w:rPr>
              <w:t>Текстовые спецификации интерфейса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81501_2230964193">
            <w:r>
              <w:rPr>
                <w:webHidden/>
                <w:rStyle w:val="IndexLink"/>
              </w:rPr>
              <w:t>Инструментальные средства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81503_2230964193">
            <w:r>
              <w:rPr>
                <w:webHidden/>
                <w:rStyle w:val="IndexLink"/>
              </w:rPr>
              <w:t>Описание файловой структуры программы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81505_2230964193">
            <w:r>
              <w:rPr>
                <w:webHidden/>
                <w:rStyle w:val="IndexLink"/>
              </w:rPr>
              <w:t>Пользовательский интерфейс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Droid Sans Fallback" w:cs="Times New Roman"/>
          <w:sz w:val="24"/>
          <w:szCs w:val="24"/>
          <w:lang w:val="en-US" w:eastAsia="en-US"/>
        </w:rPr>
      </w:pPr>
      <w:r>
        <w:rPr>
          <w:rFonts w:eastAsia="Droid Sans Fallback" w:cs="Times New Roman" w:ascii="Times New Roman" w:hAnsi="Times New Roman"/>
          <w:sz w:val="24"/>
          <w:szCs w:val="24"/>
          <w:lang w:val="en-US" w:eastAsia="en-US"/>
        </w:rPr>
      </w:r>
    </w:p>
    <w:p>
      <w:pPr>
        <w:pStyle w:val="Normal"/>
        <w:spacing w:lineRule="auto" w:line="259" w:before="0" w:after="16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240" w:after="0"/>
        <w:contextualSpacing/>
        <w:jc w:val="center"/>
        <w:rPr>
          <w:rFonts w:ascii="Arial" w:hAnsi="Arial" w:cs="Arial"/>
          <w:b/>
          <w:b/>
          <w:color w:val="auto"/>
        </w:rPr>
      </w:pPr>
      <w:bookmarkStart w:id="0" w:name="__RefHeading___Toc81495_2230964193"/>
      <w:bookmarkStart w:id="1" w:name="_Toc2282323"/>
      <w:bookmarkEnd w:id="0"/>
      <w:r>
        <w:rPr>
          <w:rFonts w:cs="Arial" w:ascii="Arial" w:hAnsi="Arial"/>
          <w:b/>
          <w:color w:val="auto"/>
        </w:rPr>
        <w:t>Уточнение постановки задачи</w:t>
      </w:r>
      <w:bookmarkEnd w:id="1"/>
    </w:p>
    <w:p>
      <w:pPr>
        <w:pStyle w:val="Normal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cs="Arial" w:ascii="Arial" w:hAnsi="Arial"/>
          <w:color w:val="000000"/>
          <w:sz w:val="23"/>
          <w:szCs w:val="23"/>
        </w:rPr>
      </w:r>
    </w:p>
    <w:p>
      <w:pPr>
        <w:pStyle w:val="Normal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</w:rPr>
        <w:t>Задача – создать Систем</w:t>
      </w:r>
      <w:r>
        <w:rPr>
          <w:rFonts w:cs="Arial" w:ascii="Arial" w:hAnsi="Arial"/>
          <w:color w:val="000000"/>
          <w:sz w:val="24"/>
          <w:szCs w:val="24"/>
        </w:rPr>
        <w:t>у</w:t>
      </w:r>
      <w:r>
        <w:rPr>
          <w:rFonts w:cs="Arial" w:ascii="Arial" w:hAnsi="Arial"/>
          <w:color w:val="000000"/>
          <w:sz w:val="24"/>
          <w:szCs w:val="24"/>
        </w:rPr>
        <w:t xml:space="preserve"> управления инвестиционным портфелем, 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позволяющ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ую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Вводить цены на активы и содержимое портфеля в json-файле, в том числе, цену актива, дивиденты и риски активов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Отслеживать изменения цен на активы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Эмулировать по крайней мере два тренды на рынке: бычий и медвежий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Обеспечивающую дружественный пользователю вывод информации о состояния портфеля, извлеченных дивидендах и общей прибыли</w:t>
      </w:r>
    </w:p>
    <w:p>
      <w:pPr>
        <w:pStyle w:val="ListParagraph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Heading1"/>
        <w:spacing w:before="240" w:after="0"/>
        <w:contextualSpacing/>
        <w:jc w:val="center"/>
        <w:rPr>
          <w:rFonts w:ascii="Arial" w:hAnsi="Arial" w:cs="Arial"/>
          <w:b/>
          <w:b/>
          <w:color w:val="auto"/>
        </w:rPr>
      </w:pPr>
      <w:bookmarkStart w:id="2" w:name="__RefHeading___Toc81497_2230964193"/>
      <w:bookmarkStart w:id="3" w:name="_Toc2282324"/>
      <w:bookmarkEnd w:id="2"/>
      <w:r>
        <w:rPr>
          <w:rFonts w:cs="Arial" w:ascii="Arial" w:hAnsi="Arial"/>
          <w:b/>
          <w:color w:val="auto"/>
        </w:rPr>
        <w:t>Диаграмма классов</w:t>
      </w:r>
      <w:bookmarkEnd w:id="3"/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121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Rule="auto" w:line="360" w:before="240" w:after="0"/>
        <w:contextualSpacing/>
        <w:jc w:val="center"/>
        <w:rPr>
          <w:rFonts w:ascii="Arial" w:hAnsi="Arial" w:cs="Arial"/>
          <w:b/>
          <w:b/>
          <w:color w:val="auto"/>
        </w:rPr>
      </w:pPr>
      <w:bookmarkStart w:id="4" w:name="__RefHeading___Toc81499_2230964193"/>
      <w:bookmarkStart w:id="5" w:name="_Toc2282325"/>
      <w:bookmarkEnd w:id="4"/>
      <w:r>
        <w:rPr>
          <w:rFonts w:cs="Arial" w:ascii="Arial" w:hAnsi="Arial"/>
          <w:b/>
          <w:color w:val="auto"/>
        </w:rPr>
        <w:t>Текстовые спецификации интерфейса</w:t>
      </w:r>
      <w:bookmarkEnd w:id="5"/>
    </w:p>
    <w:p>
      <w:pPr>
        <w:pStyle w:val="Normal"/>
        <w:spacing w:lineRule="auto" w:line="360" w:before="0" w:after="200"/>
        <w:contextualSpacing/>
        <w:rPr/>
      </w:pPr>
      <w:r>
        <w:rPr/>
        <w:t>Класс конъюнктура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>class Conjuncture : public std::enable_shared_from_this&lt;Conjuncture&gt;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 </w:t>
            </w:r>
            <w:r>
              <w:rPr>
                <w:rFonts w:ascii="Mono" w:hAnsi="Mono"/>
              </w:rPr>
              <w:t>{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</w:t>
            </w:r>
            <w:r>
              <w:rPr>
                <w:rFonts w:ascii="Mono" w:hAnsi="Mono" w:eastAsiaTheme="minorEastAsia"/>
                <w:i/>
                <w:iCs/>
                <w:shd w:fill="81D41A" w:val="clear"/>
              </w:rPr>
              <w:t xml:space="preserve"> </w:t>
            </w:r>
            <w:r>
              <w:rPr>
                <w:rFonts w:ascii="Mono" w:hAnsi="Mono" w:eastAsiaTheme="minorEastAsia"/>
                <w:i/>
                <w:iCs/>
                <w:shd w:fill="81D41A" w:val="clear"/>
              </w:rPr>
              <w:t>Цены риски и цены активов, тренд(бычий или медвежий)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 </w:t>
            </w:r>
            <w:r>
              <w:rPr>
                <w:rFonts w:ascii="Mono" w:hAnsi="Mono"/>
              </w:rPr>
              <w:t>std::map&lt;std::string, double&gt; market_cost;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 </w:t>
            </w:r>
            <w:r>
              <w:rPr>
                <w:rFonts w:ascii="Mono" w:hAnsi="Mono"/>
              </w:rPr>
              <w:t>std::map&lt;std::string, double&gt; market_risks;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 </w:t>
            </w:r>
            <w:r>
              <w:rPr>
                <w:rFonts w:ascii="Mono" w:hAnsi="Mono"/>
              </w:rPr>
              <w:t>char trend = 'B';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 </w:t>
            </w:r>
            <w:r>
              <w:rPr>
                <w:rFonts w:ascii="Mono" w:hAnsi="Mono"/>
              </w:rPr>
              <w:t>public: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</w:t>
            </w:r>
            <w:r>
              <w:rPr>
                <w:rFonts w:ascii="Mono" w:hAnsi="Mono" w:eastAsiaTheme="minorEastAsia"/>
                <w:i/>
                <w:iCs/>
                <w:shd w:fill="81D41A" w:val="clear"/>
              </w:rPr>
              <w:t>Конструктор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     </w:t>
            </w:r>
            <w:r>
              <w:rPr>
                <w:rFonts w:ascii="Mono" w:hAnsi="Mono"/>
              </w:rPr>
              <w:t>Conjuncture(json config, char trend_passed = 'B');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</w:t>
            </w:r>
            <w:r>
              <w:rPr>
                <w:rFonts w:ascii="Mono" w:hAnsi="Mono" w:eastAsiaTheme="minorEastAsia"/>
                <w:i/>
                <w:iCs/>
                <w:shd w:fill="81D41A" w:val="clear"/>
              </w:rPr>
              <w:t xml:space="preserve"> </w:t>
            </w:r>
            <w:r>
              <w:rPr>
                <w:rFonts w:ascii="Mono" w:hAnsi="Mono" w:eastAsiaTheme="minorEastAsia"/>
                <w:i/>
                <w:iCs/>
                <w:shd w:fill="81D41A" w:val="clear"/>
              </w:rPr>
              <w:t>Совершить шаг моделирования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     </w:t>
            </w:r>
            <w:r>
              <w:rPr>
                <w:rFonts w:ascii="Mono" w:hAnsi="Mono"/>
              </w:rPr>
              <w:t>void make_time_step();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</w:t>
            </w:r>
            <w:r>
              <w:rPr>
                <w:rFonts w:ascii="Mono" w:hAnsi="Mono" w:eastAsiaTheme="minorEastAsia"/>
                <w:i/>
                <w:iCs/>
                <w:shd w:fill="81D41A" w:val="clear"/>
              </w:rPr>
              <w:t xml:space="preserve"> </w:t>
            </w:r>
            <w:r>
              <w:rPr>
                <w:rFonts w:ascii="Mono" w:hAnsi="Mono" w:eastAsiaTheme="minorEastAsia"/>
                <w:i/>
                <w:iCs/>
                <w:shd w:fill="81D41A" w:val="clear"/>
              </w:rPr>
              <w:t>Получить рыночную цену актива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     </w:t>
            </w:r>
            <w:r>
              <w:rPr>
                <w:rFonts w:ascii="Mono" w:hAnsi="Mono"/>
              </w:rPr>
              <w:t>double get_market_cost(std::string asset_name);</w:t>
            </w:r>
          </w:p>
          <w:p>
            <w:pPr>
              <w:pStyle w:val="TableContents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     </w:t>
            </w:r>
            <w:r>
              <w:rPr>
                <w:rFonts w:ascii="Mono" w:hAnsi="Mono"/>
              </w:rPr>
              <w:t>~Conjuncture()</w:t>
            </w:r>
          </w:p>
          <w:p>
            <w:pPr>
              <w:pStyle w:val="TableContents"/>
              <w:spacing w:before="0" w:after="200"/>
              <w:rPr>
                <w:rFonts w:ascii="Mono" w:hAnsi="Mono"/>
              </w:rPr>
            </w:pPr>
            <w:r>
              <w:rPr>
                <w:rFonts w:ascii="Mono" w:hAnsi="Mono"/>
              </w:rPr>
              <w:t xml:space="preserve">    </w:t>
            </w:r>
            <w:r>
              <w:rPr>
                <w:rFonts w:ascii="Mono" w:hAnsi="Mono"/>
              </w:rPr>
              <w:t>};</w:t>
            </w:r>
          </w:p>
        </w:tc>
      </w:tr>
    </w:tbl>
    <w:p>
      <w:pPr>
        <w:pStyle w:val="Normal"/>
        <w:spacing w:lineRule="auto" w:line="240" w:before="0" w:after="200"/>
        <w:contextualSpacing/>
        <w:rPr>
          <w:rFonts w:ascii="Arial" w:hAnsi="Arial" w:cs="Arial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200"/>
        <w:contextualSpacing/>
        <w:rPr/>
      </w:pPr>
      <w:r>
        <w:rPr/>
        <w:t>Класс вложение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>class Investition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</w:t>
            </w:r>
            <w:r>
              <w:rPr>
                <w:rFonts w:ascii="Mono" w:hAnsi="Mono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 w:eastAsiaTheme="minorEastAsia"/>
                <w:i/>
                <w:iCs/>
                <w:sz w:val="20"/>
                <w:szCs w:val="20"/>
                <w:shd w:fill="81D41A" w:val="clear"/>
              </w:rPr>
              <w:t>Цена и риск единицы вложения; количество единиц вложения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</w:t>
            </w:r>
            <w:r>
              <w:rPr>
                <w:rFonts w:ascii="Mono" w:hAnsi="Mono"/>
                <w:sz w:val="20"/>
                <w:szCs w:val="20"/>
              </w:rPr>
              <w:t>protected: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double cost = 0;            //calculated due to market info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double risk = 0;            //attached to an asset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int quantity = 0;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 w:eastAsiaTheme="minorEastAsia"/>
                <w:i/>
                <w:iCs/>
                <w:sz w:val="20"/>
                <w:szCs w:val="20"/>
                <w:shd w:fill="81D41A" w:val="clear"/>
              </w:rPr>
              <w:t>Связь с конъюнктурой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std::shared_ptr&lt;Conjuncture&gt; conjuncture_ptr = nullptr;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</w:t>
            </w:r>
            <w:r>
              <w:rPr>
                <w:rFonts w:ascii="Mono" w:hAnsi="Mono"/>
                <w:sz w:val="20"/>
                <w:szCs w:val="20"/>
              </w:rPr>
              <w:t>public: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 w:eastAsiaTheme="minorEastAsia"/>
                <w:i/>
                <w:iCs/>
                <w:sz w:val="20"/>
                <w:szCs w:val="20"/>
                <w:shd w:fill="81D41A" w:val="clear"/>
              </w:rPr>
              <w:t>К</w:t>
            </w:r>
            <w:r>
              <w:rPr>
                <w:rFonts w:ascii="Mono" w:hAnsi="Mono" w:eastAsiaTheme="minorEastAsia"/>
                <w:i/>
                <w:iCs/>
                <w:sz w:val="20"/>
                <w:szCs w:val="20"/>
                <w:shd w:fill="81D41A" w:val="clear"/>
              </w:rPr>
              <w:t xml:space="preserve">онструктор 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Investition( json &amp; invest_json, std::shared_ptr&lt;Conjuncture&gt; conjuncture_ptr_passed)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double get_cost()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double get_risk()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double get_investition_time()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void set_investition_time(double var)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void set_cost(double var)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void set_risk(double var)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~Investition()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 w:eastAsiaTheme="minorEastAsia"/>
                <w:i/>
                <w:iCs/>
                <w:sz w:val="20"/>
                <w:szCs w:val="20"/>
                <w:shd w:fill="81D41A" w:val="clear"/>
              </w:rPr>
              <w:t>П</w:t>
            </w:r>
            <w:r>
              <w:rPr>
                <w:rFonts w:ascii="Mono" w:hAnsi="Mono" w:eastAsiaTheme="minorEastAsia"/>
                <w:i/>
                <w:iCs/>
                <w:sz w:val="20"/>
                <w:szCs w:val="20"/>
                <w:shd w:fill="81D41A" w:val="clear"/>
              </w:rPr>
              <w:t>олучить обновление цены от конъюнктуры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virtual void get_update_from_conjuncture() = 0;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 w:eastAsiaTheme="minorEastAsia"/>
                <w:i/>
                <w:iCs/>
                <w:sz w:val="20"/>
                <w:szCs w:val="20"/>
                <w:shd w:fill="81D41A" w:val="clear"/>
              </w:rPr>
              <w:t xml:space="preserve">Получить имя актива 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virtual std::string get_name() = 0;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 w:eastAsiaTheme="minorEastAsia"/>
                <w:i/>
                <w:iCs/>
                <w:sz w:val="20"/>
                <w:szCs w:val="20"/>
                <w:shd w:fill="81D41A" w:val="clear"/>
              </w:rPr>
              <w:t>Извлечь прибыль от актива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    </w:t>
            </w:r>
            <w:r>
              <w:rPr>
                <w:rFonts w:ascii="Mono" w:hAnsi="Mono"/>
                <w:sz w:val="20"/>
                <w:szCs w:val="20"/>
              </w:rPr>
              <w:t>virtual double extract_profit() = 0;</w:t>
            </w:r>
          </w:p>
          <w:p>
            <w:pPr>
              <w:pStyle w:val="TableContents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</w:r>
          </w:p>
          <w:p>
            <w:pPr>
              <w:pStyle w:val="TableContents"/>
              <w:spacing w:before="0" w:after="200"/>
              <w:rPr>
                <w:rFonts w:ascii="Mono" w:hAnsi="Mono"/>
                <w:sz w:val="20"/>
                <w:szCs w:val="20"/>
              </w:rPr>
            </w:pPr>
            <w:r>
              <w:rPr>
                <w:rFonts w:ascii="Mono" w:hAnsi="Mono"/>
                <w:sz w:val="20"/>
                <w:szCs w:val="20"/>
              </w:rPr>
              <w:t xml:space="preserve">    </w:t>
            </w:r>
            <w:r>
              <w:rPr>
                <w:rFonts w:ascii="Mono" w:hAnsi="Mono"/>
                <w:sz w:val="20"/>
                <w:szCs w:val="20"/>
              </w:rPr>
              <w:t>};</w:t>
            </w:r>
          </w:p>
        </w:tc>
      </w:tr>
    </w:tbl>
    <w:p>
      <w:pPr>
        <w:pStyle w:val="Normal"/>
        <w:spacing w:lineRule="auto" w:line="240" w:before="0" w:after="200"/>
        <w:contextualSpacing/>
        <w:rPr>
          <w:rFonts w:ascii="Arial" w:hAnsi="Arial" w:cs="Arial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200"/>
        <w:contextualSpacing/>
        <w:rPr/>
      </w:pPr>
      <w:r>
        <w:rPr/>
        <w:t>Класс вклад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>class Deposit : public Investition {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И</w:t>
            </w: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мя банка и название валюты хранения, процент по вкладу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private: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std::string bank_name;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 xml:space="preserve">double currency_value = 0; 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std::string currency_name;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double deposit_percent = 0;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public: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Deposit( json invest_json, std::shared_ptr&lt;Conjuncture&gt; conjuncture_ptr_passed )  :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std::string get_name()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std::string get_bank_name()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double get_deposit_percent()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void set_deposit_percent(double var)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double extract_profit()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json close_deposit()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~Deposit()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void get_update_from_conjuncture()</w:t>
            </w:r>
          </w:p>
          <w:p>
            <w:pPr>
              <w:pStyle w:val="TableContents"/>
              <w:spacing w:before="0" w:after="200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>};</w:t>
            </w:r>
          </w:p>
        </w:tc>
      </w:tr>
    </w:tbl>
    <w:p>
      <w:pPr>
        <w:pStyle w:val="Normal"/>
        <w:spacing w:lineRule="auto" w:line="240" w:before="0" w:after="20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Arial" w:hAnsi="Arial" w:cs="Arial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200"/>
        <w:contextualSpacing/>
        <w:rPr/>
      </w:pPr>
      <w:r>
        <w:rPr/>
        <w:t>Класс акция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>class Stock : public Investition {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private: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Имя компани и процент по дивиденду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std::string company_name;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//One market share cost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double share_market_cost  = 0;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double divident_percent  = 0;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public: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Конструктор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Stock(  json invest_json, std::shared_ptr&lt;Conjuncture&gt; conjuncture_ptr_passed ) :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std::string get_name()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double get_share_market_cost()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double set_share_market_cost(double var)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double get_divident_percent()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double set_divident_percent(double var)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double extract_profit()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void get_update_from_conjuncture()</w:t>
            </w:r>
          </w:p>
          <w:p>
            <w:pPr>
              <w:pStyle w:val="TableContents"/>
              <w:spacing w:before="0" w:after="200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>};</w:t>
            </w:r>
          </w:p>
        </w:tc>
      </w:tr>
    </w:tbl>
    <w:p>
      <w:pPr>
        <w:pStyle w:val="Normal"/>
        <w:spacing w:lineRule="auto" w:line="240" w:before="0" w:after="200"/>
        <w:contextualSpacing/>
        <w:rPr>
          <w:rFonts w:ascii="Arial" w:hAnsi="Arial" w:cs="Arial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200"/>
        <w:contextualSpacing/>
        <w:rPr/>
      </w:pPr>
      <w:r>
        <w:rPr/>
        <w:t>Класс инвестфонд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>class InvestFund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>{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private: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Список вложений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std::vector&lt;std::shared_ptr&lt;Investition&gt;&gt; fund_briefcase;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Накопленные извлесенные прибыли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std::vector&lt;double&gt; briefcase_total_profits;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Изначальные стоимости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std::vector&lt;double&gt; initial_costs;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Связь с конъюнктурой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std::shared_ptr&lt;Conjuncture&gt; conjuncture_ptr = nullptr;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public: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Конструктор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InvestFund( nlohmann::json  invest_fund_config, std::shared_ptr&lt;Conjuncture&gt; conjuncture_ptr_passed)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Сделать шаг по времени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void make_time_step()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Геттеры: имен активов, их количества, текущих стоимостей, накопленных извлеченных прибылей, изначальных стоимотей, дохода(убытка) от владения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std::vector&lt;std::string&gt; get_names()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int get_q_briefcase()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std::vector&lt;double&gt; get_costs()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std::vector&lt;double&gt; get_profits()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std::vector&lt;double&gt; get_initial_costs()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std::vector&lt;double&gt; get_won_by_buying()</w:t>
            </w:r>
          </w:p>
          <w:p>
            <w:pPr>
              <w:pStyle w:val="TableContents"/>
              <w:spacing w:before="0" w:after="200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>};</w:t>
            </w:r>
          </w:p>
        </w:tc>
      </w:tr>
    </w:tbl>
    <w:p>
      <w:pPr>
        <w:pStyle w:val="Normal"/>
        <w:spacing w:lineRule="auto" w:line="240" w:before="0" w:after="200"/>
        <w:contextualSpacing/>
        <w:rPr>
          <w:rFonts w:ascii="Arial" w:hAnsi="Arial" w:cs="Arial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200"/>
        <w:contextualSpacing/>
        <w:rPr/>
      </w:pPr>
      <w:r>
        <w:rPr/>
        <w:t>Класс окружение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>class Environment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{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unique_ptr&lt;InvestFund&gt; investfund_ptr = nullptr;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shared_ptr&lt;Conjuncture&gt; conjuncture_ptr = nullptr;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public: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Конструктор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Environment(json  got_on_input, char trend)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Сделать шаг во времени для конъюнктуры и фонда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void step()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 w:eastAsiaTheme="minorEastAsia"/>
                <w:i/>
                <w:iCs/>
                <w:sz w:val="18"/>
                <w:szCs w:val="18"/>
                <w:shd w:fill="81D41A" w:val="clear"/>
              </w:rPr>
              <w:t>Геттеры: имен активов, их количества, текущих стоимостей, накопленных извлеченных прибылей, изначальных стоимотей, дохода(убытка) от владения, реально будут запрошены геттеры у единственного фонда, который моделируется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std::vector&lt;std::string&gt; get_names()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int get_q_briefcase()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std::vector&lt;double&gt; get_costs()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std::vector&lt;double&gt; get_profits()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std::vector&lt;double&gt; get_initial_costs()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    </w:t>
            </w:r>
            <w:r>
              <w:rPr>
                <w:rFonts w:ascii="Mono" w:hAnsi="Mono"/>
                <w:sz w:val="18"/>
                <w:szCs w:val="18"/>
              </w:rPr>
              <w:t>std::vector&lt;double&gt; get_won_by_buying()</w:t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</w:r>
          </w:p>
          <w:p>
            <w:pPr>
              <w:pStyle w:val="TableContents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</w:r>
          </w:p>
          <w:p>
            <w:pPr>
              <w:pStyle w:val="TableContents"/>
              <w:spacing w:before="0" w:after="200"/>
              <w:rPr>
                <w:rFonts w:ascii="Mono" w:hAnsi="Mono"/>
                <w:sz w:val="18"/>
                <w:szCs w:val="18"/>
              </w:rPr>
            </w:pPr>
            <w:r>
              <w:rPr>
                <w:rFonts w:ascii="Mono" w:hAnsi="Mono"/>
                <w:sz w:val="18"/>
                <w:szCs w:val="18"/>
              </w:rPr>
              <w:t xml:space="preserve">    </w:t>
            </w:r>
            <w:r>
              <w:rPr>
                <w:rFonts w:ascii="Mono" w:hAnsi="Mono"/>
                <w:sz w:val="18"/>
                <w:szCs w:val="18"/>
              </w:rPr>
              <w:t>};</w:t>
            </w:r>
          </w:p>
        </w:tc>
      </w:tr>
    </w:tbl>
    <w:p>
      <w:pPr>
        <w:pStyle w:val="Normal"/>
        <w:spacing w:lineRule="auto" w:line="240" w:before="0" w:after="200"/>
        <w:contextualSpacing/>
        <w:rPr>
          <w:rFonts w:ascii="Arial" w:hAnsi="Arial" w:cs="Arial"/>
          <w:sz w:val="24"/>
          <w:szCs w:val="24"/>
        </w:rPr>
      </w:pPr>
      <w:r>
        <w:rPr/>
      </w:r>
      <w:r>
        <w:br w:type="page"/>
      </w:r>
    </w:p>
    <w:p>
      <w:pPr>
        <w:pStyle w:val="Heading1"/>
        <w:jc w:val="center"/>
        <w:rPr>
          <w:rFonts w:ascii="Arial" w:hAnsi="Arial" w:cs="Arial"/>
          <w:b/>
          <w:b/>
          <w:color w:val="000000" w:themeColor="text1"/>
        </w:rPr>
      </w:pPr>
      <w:bookmarkStart w:id="6" w:name="__RefHeading___Toc81501_2230964193"/>
      <w:bookmarkEnd w:id="6"/>
      <w:r>
        <w:rPr>
          <w:rFonts w:cs="Arial" w:ascii="Arial" w:hAnsi="Arial"/>
          <w:b/>
          <w:color w:val="000000" w:themeColor="text1"/>
        </w:rPr>
        <w:t>И</w:t>
      </w:r>
      <w:bookmarkStart w:id="7" w:name="_Toc2282335"/>
      <w:r>
        <w:rPr>
          <w:rFonts w:cs="Arial" w:ascii="Arial" w:hAnsi="Arial"/>
          <w:b/>
          <w:color w:val="000000" w:themeColor="text1"/>
        </w:rPr>
        <w:t>нструментальные средства</w:t>
      </w:r>
      <w:bookmarkEnd w:id="7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ind w:left="714" w:hanging="357"/>
        <w:contextualSpacing w:val="false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Язык программирования – </w:t>
      </w:r>
      <w:r>
        <w:rPr>
          <w:rFonts w:cs="Arial" w:ascii="Arial" w:hAnsi="Arial"/>
          <w:sz w:val="24"/>
          <w:szCs w:val="24"/>
        </w:rPr>
        <w:t>С++</w:t>
      </w:r>
      <w:r>
        <w:rPr>
          <w:rFonts w:cs="Arial" w:ascii="Arial" w:hAnsi="Arial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ind w:left="714" w:hanging="357"/>
        <w:contextualSpacing w:val="false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Среда разработки – </w:t>
      </w:r>
      <w:r>
        <w:rPr>
          <w:rFonts w:cs="Arial" w:ascii="Arial" w:hAnsi="Arial"/>
          <w:sz w:val="24"/>
          <w:szCs w:val="24"/>
        </w:rPr>
        <w:t>Geany</w:t>
      </w:r>
      <w:r>
        <w:rPr>
          <w:rFonts w:cs="Arial" w:ascii="Arial" w:hAnsi="Arial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ind w:left="714" w:hanging="357"/>
        <w:contextualSpacing w:val="false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Используемая графическая библиотека – </w:t>
      </w:r>
      <w:r>
        <w:rPr>
          <w:rFonts w:cs="Arial" w:ascii="Arial" w:hAnsi="Arial"/>
          <w:sz w:val="24"/>
          <w:szCs w:val="24"/>
        </w:rPr>
        <w:t>Qt</w:t>
      </w:r>
      <w:r>
        <w:rPr>
          <w:rFonts w:cs="Arial" w:ascii="Arial" w:hAnsi="Arial"/>
          <w:sz w:val="24"/>
          <w:szCs w:val="24"/>
          <w:lang w:val="en-US"/>
        </w:rPr>
        <w:t>.</w:t>
      </w:r>
    </w:p>
    <w:p>
      <w:pPr>
        <w:pStyle w:val="Heading1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Heading1"/>
        <w:jc w:val="center"/>
        <w:rPr>
          <w:rFonts w:ascii="Arial" w:hAnsi="Arial" w:cs="Arial"/>
          <w:b/>
          <w:b/>
          <w:color w:val="000000" w:themeColor="text1"/>
        </w:rPr>
      </w:pPr>
      <w:bookmarkStart w:id="8" w:name="__RefHeading___Toc81503_2230964193"/>
      <w:bookmarkStart w:id="9" w:name="_Toc2282336"/>
      <w:bookmarkEnd w:id="8"/>
      <w:r>
        <w:rPr>
          <w:rFonts w:cs="Arial" w:ascii="Arial" w:hAnsi="Arial"/>
          <w:b/>
          <w:color w:val="000000" w:themeColor="text1"/>
        </w:rPr>
        <w:t>Описание файловой структуры программы</w:t>
      </w:r>
      <w:bookmarkEnd w:id="9"/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Корневой каталог: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GONCHARENKO.pro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main.cpp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mainwindow.h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mainwindow.cpp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fund.cpp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config.json</w:t>
      </w:r>
    </w:p>
    <w:p>
      <w:pPr>
        <w:pStyle w:val="Heading1"/>
        <w:jc w:val="center"/>
        <w:rPr>
          <w:rFonts w:ascii="Arial" w:hAnsi="Arial" w:cs="Arial"/>
          <w:b/>
          <w:b/>
          <w:color w:val="000000" w:themeColor="text1"/>
        </w:rPr>
      </w:pPr>
      <w:r>
        <w:rPr/>
      </w:r>
      <w:r>
        <w:br w:type="page"/>
      </w:r>
    </w:p>
    <w:p>
      <w:pPr>
        <w:pStyle w:val="Heading1"/>
        <w:jc w:val="center"/>
        <w:rPr>
          <w:rFonts w:ascii="Arial" w:hAnsi="Arial" w:cs="Arial"/>
          <w:b/>
          <w:b/>
          <w:color w:val="000000" w:themeColor="text1"/>
        </w:rPr>
      </w:pPr>
      <w:bookmarkStart w:id="10" w:name="__RefHeading___Toc81505_2230964193"/>
      <w:bookmarkStart w:id="11" w:name="_Toc2282337"/>
      <w:bookmarkEnd w:id="10"/>
      <w:r>
        <w:rPr>
          <w:rFonts w:cs="Arial" w:ascii="Arial" w:hAnsi="Arial"/>
          <w:b/>
          <w:color w:val="000000" w:themeColor="text1"/>
        </w:rPr>
        <w:t>Пользовательский интерфейс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Три экрана для ввода информации:</w:t>
      </w:r>
    </w:p>
    <w:p>
      <w:pPr>
        <w:pStyle w:val="Normal"/>
        <w:rPr/>
      </w:pPr>
      <w:r>
        <w:rPr/>
        <w:t>1) о параметрах моделирования</w:t>
      </w:r>
    </w:p>
    <w:p>
      <w:pPr>
        <w:pStyle w:val="Normal"/>
        <w:rPr/>
      </w:pPr>
      <w:r>
        <w:rPr/>
        <w:t>2) о данных активов</w:t>
      </w:r>
    </w:p>
    <w:p>
      <w:pPr>
        <w:pStyle w:val="Normal"/>
        <w:rPr/>
      </w:pPr>
      <w:r>
        <w:rPr/>
        <w:t>3) о наполнении портфеля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-68580</wp:posOffset>
            </wp:positionH>
            <wp:positionV relativeFrom="paragraph">
              <wp:posOffset>-106680</wp:posOffset>
            </wp:positionV>
            <wp:extent cx="5905500" cy="38385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450850</wp:posOffset>
            </wp:positionH>
            <wp:positionV relativeFrom="paragraph">
              <wp:posOffset>4029710</wp:posOffset>
            </wp:positionV>
            <wp:extent cx="5038725" cy="41052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188595</wp:posOffset>
            </wp:positionH>
            <wp:positionV relativeFrom="paragraph">
              <wp:posOffset>123190</wp:posOffset>
            </wp:positionV>
            <wp:extent cx="4469130" cy="42932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один экран для взаимодействия с моделированием: шаг вперед или до конца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-167640</wp:posOffset>
            </wp:positionH>
            <wp:positionV relativeFrom="paragraph">
              <wp:posOffset>42545</wp:posOffset>
            </wp:positionV>
            <wp:extent cx="5608955" cy="47574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  <w:bookmarkStart w:id="12" w:name="_GoBack"/>
      <w:bookmarkStart w:id="13" w:name="_GoBack"/>
      <w:bookmarkEnd w:id="13"/>
    </w:p>
    <w:sectPr>
      <w:footerReference w:type="defaul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9972863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190b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9f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9f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59f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559f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c53b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Hyperlink"/>
    <w:basedOn w:val="DefaultParagraphFont"/>
    <w:uiPriority w:val="99"/>
    <w:unhideWhenUsed/>
    <w:rsid w:val="002213d9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4267"/>
    <w:rPr>
      <w:rFonts w:ascii="Segoe UI" w:hAnsi="Segoe UI" w:eastAsia="" w:cs="Segoe UI" w:eastAsiaTheme="minorEastAsia"/>
      <w:sz w:val="18"/>
      <w:szCs w:val="18"/>
      <w:lang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24267"/>
    <w:rPr>
      <w:rFonts w:eastAsia="" w:eastAsiaTheme="minorEastAsia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24267"/>
    <w:rPr>
      <w:rFonts w:eastAsia="" w:eastAsiaTheme="minorEastAsia"/>
      <w:lang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2" w:customStyle="1">
    <w:name w:val="Базовый"/>
    <w:qFormat/>
    <w:rsid w:val="00fd190b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559f8"/>
    <w:pPr>
      <w:spacing w:lineRule="auto" w:line="259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a5bb0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c53b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rsid w:val="002213d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213d9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426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242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242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D5D0B-3E5B-4B61-BB8D-EB5C6CC04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Application>LibreOffice/7.3.7.2$Linux_X86_64 LibreOffice_project/30$Build-2</Application>
  <AppVersion>15.0000</AppVersion>
  <Pages>12</Pages>
  <Words>572</Words>
  <Characters>4738</Characters>
  <CharactersWithSpaces>5785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2019-02-21T14:44:00Z</dcterms:created>
  <dc:creator>Катя Коробова</dc:creator>
  <dc:description/>
  <dc:language>en-US</dc:language>
  <cp:lastModifiedBy/>
  <cp:lastPrinted>2019-02-28T18:41:00Z</cp:lastPrinted>
  <dcterms:modified xsi:type="dcterms:W3CDTF">2023-05-03T13:52:45Z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