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CellMar>
          <w:left w:w="0" w:type="dxa"/>
          <w:right w:w="0" w:type="dxa"/>
        </w:tblCellMar>
        <w:tblLook w:val="04A0" w:firstRow="1" w:lastRow="0" w:firstColumn="1" w:lastColumn="0" w:noHBand="0" w:noVBand="1"/>
      </w:tblPr>
      <w:tblGrid>
        <w:gridCol w:w="9781"/>
        <w:gridCol w:w="425"/>
        <w:gridCol w:w="425"/>
      </w:tblGrid>
      <w:tr w:rsidR="005A21E7" w:rsidRPr="005A21E7" w:rsidTr="005A21E7">
        <w:trPr>
          <w:tblCellSpacing w:w="0" w:type="dxa"/>
        </w:trPr>
        <w:tc>
          <w:tcPr>
            <w:tcW w:w="4600" w:type="pct"/>
            <w:vAlign w:val="center"/>
            <w:hideMark/>
          </w:tcPr>
          <w:p w:rsidR="005A21E7" w:rsidRPr="005A21E7" w:rsidRDefault="005A21E7" w:rsidP="005A21E7">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bookmarkStart w:id="0" w:name="_GoBack"/>
            <w:r w:rsidRPr="005A21E7">
              <w:rPr>
                <w:rFonts w:ascii="Times New Roman" w:eastAsia="Times New Roman" w:hAnsi="Times New Roman" w:cs="Times New Roman"/>
                <w:b/>
                <w:bCs/>
                <w:kern w:val="36"/>
                <w:sz w:val="48"/>
                <w:szCs w:val="48"/>
                <w:lang w:eastAsia="ru-RU"/>
              </w:rPr>
              <w:t>Развитие речи: как разговорить молчуна</w:t>
            </w:r>
            <w:bookmarkEnd w:id="0"/>
          </w:p>
        </w:tc>
        <w:tc>
          <w:tcPr>
            <w:tcW w:w="200" w:type="pct"/>
            <w:vAlign w:val="center"/>
            <w:hideMark/>
          </w:tcPr>
          <w:p w:rsidR="005A21E7" w:rsidRPr="005A21E7" w:rsidRDefault="005A21E7" w:rsidP="005A21E7">
            <w:pPr>
              <w:spacing w:after="0" w:line="240" w:lineRule="auto"/>
              <w:jc w:val="right"/>
              <w:rPr>
                <w:rFonts w:ascii="Times New Roman" w:eastAsia="Times New Roman" w:hAnsi="Times New Roman" w:cs="Times New Roman"/>
                <w:sz w:val="24"/>
                <w:szCs w:val="24"/>
                <w:lang w:eastAsia="ru-RU"/>
              </w:rPr>
            </w:pPr>
          </w:p>
        </w:tc>
        <w:tc>
          <w:tcPr>
            <w:tcW w:w="200" w:type="pct"/>
            <w:vAlign w:val="center"/>
            <w:hideMark/>
          </w:tcPr>
          <w:p w:rsidR="005A21E7" w:rsidRPr="005A21E7" w:rsidRDefault="005A21E7" w:rsidP="005A21E7">
            <w:pPr>
              <w:spacing w:after="0" w:line="240" w:lineRule="auto"/>
              <w:jc w:val="right"/>
              <w:rPr>
                <w:rFonts w:ascii="Times New Roman" w:eastAsia="Times New Roman" w:hAnsi="Times New Roman" w:cs="Times New Roman"/>
                <w:sz w:val="24"/>
                <w:szCs w:val="24"/>
                <w:lang w:eastAsia="ru-RU"/>
              </w:rPr>
            </w:pPr>
          </w:p>
        </w:tc>
      </w:tr>
    </w:tbl>
    <w:p w:rsidR="005A21E7" w:rsidRPr="005A21E7" w:rsidRDefault="005A21E7" w:rsidP="005A21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extent cx="4276725" cy="3200400"/>
            <wp:effectExtent l="0" t="0" r="9525" b="0"/>
            <wp:docPr id="2" name="Рисунок 2" descr="Развитие речи: как разговорить молчуна">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Развитие речи: как разговорить молчуна">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6725" cy="3200400"/>
                    </a:xfrm>
                    <a:prstGeom prst="rect">
                      <a:avLst/>
                    </a:prstGeom>
                    <a:noFill/>
                    <a:ln>
                      <a:noFill/>
                    </a:ln>
                  </pic:spPr>
                </pic:pic>
              </a:graphicData>
            </a:graphic>
          </wp:inline>
        </w:drawing>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            </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 xml:space="preserve">Если малыш не торопится порадовать родителей первыми словами, паниковать не стоит. Всему свое время, но при условии, что для правильного </w:t>
      </w:r>
      <w:r w:rsidRPr="005A21E7">
        <w:rPr>
          <w:rFonts w:ascii="Times New Roman" w:eastAsia="Times New Roman" w:hAnsi="Times New Roman" w:cs="Times New Roman"/>
          <w:b/>
          <w:bCs/>
          <w:sz w:val="24"/>
          <w:szCs w:val="24"/>
          <w:lang w:eastAsia="ru-RU"/>
        </w:rPr>
        <w:t>развития речи</w:t>
      </w:r>
      <w:r w:rsidRPr="005A21E7">
        <w:rPr>
          <w:rFonts w:ascii="Times New Roman" w:eastAsia="Times New Roman" w:hAnsi="Times New Roman" w:cs="Times New Roman"/>
          <w:sz w:val="24"/>
          <w:szCs w:val="24"/>
          <w:lang w:eastAsia="ru-RU"/>
        </w:rPr>
        <w:t xml:space="preserve"> делается все возможное. Чаще всего за малышом ходят толпы родственников, упрашивая повторить то или иное слово. Но кроме способа, которым Шарик обучил галчонка Хватайку знаменитому «ктотаму», есть еще другие виды стимуляции речевой активности.  </w:t>
      </w: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t>Речевая среда</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 xml:space="preserve">Для того чтобы ребенок начал говорить, в первую очередь ему нужны собеседники и связь между словами и окружающими его предметами. Конечно, если ребенок хотя бы изредка будет устанавливать такую связь, когда его моют, собирают на прогулку, рано или поздно он начнет повторять какие-то слова. Но для того, чтобы этот радостный момент наступил своевременно лучше всего с рождения малыша  проговаривать все свои действия и называть окружающие его предметы, переспрашивая ребенка, улыбаясь и дожидаясь реакции малыша, гуления и мимического контакта. Запрет логопедов на неразборчивую кашу из умилительного сюсюканья вполне оправдан, но не стоит путать с ним «бэби-токинг» − особо интонированную эмоционально окрашенную речь взрослого, которую легче воспринимает кроха. Также многие специалисты по </w:t>
      </w:r>
      <w:r w:rsidRPr="005A21E7">
        <w:rPr>
          <w:rFonts w:ascii="Times New Roman" w:eastAsia="Times New Roman" w:hAnsi="Times New Roman" w:cs="Times New Roman"/>
          <w:b/>
          <w:bCs/>
          <w:sz w:val="24"/>
          <w:szCs w:val="24"/>
          <w:lang w:eastAsia="ru-RU"/>
        </w:rPr>
        <w:t>развитию речи</w:t>
      </w:r>
      <w:r w:rsidRPr="005A21E7">
        <w:rPr>
          <w:rFonts w:ascii="Times New Roman" w:eastAsia="Times New Roman" w:hAnsi="Times New Roman" w:cs="Times New Roman"/>
          <w:sz w:val="24"/>
          <w:szCs w:val="24"/>
          <w:lang w:eastAsia="ru-RU"/>
        </w:rPr>
        <w:t xml:space="preserve"> советуют активно использовать звукоподражательные слова, не стоит этого стесняться, ведь все эти классические «бип-бип» и «топ-топ»  легче повторить.  </w:t>
      </w: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t xml:space="preserve">Потешки и </w:t>
      </w:r>
      <w:r w:rsidR="00B646D2">
        <w:rPr>
          <w:rFonts w:ascii="Times New Roman" w:eastAsia="Times New Roman" w:hAnsi="Times New Roman" w:cs="Times New Roman"/>
          <w:b/>
          <w:bCs/>
          <w:kern w:val="36"/>
          <w:sz w:val="48"/>
          <w:szCs w:val="48"/>
          <w:lang w:eastAsia="ru-RU"/>
        </w:rPr>
        <w:t>ча</w:t>
      </w:r>
      <w:r w:rsidRPr="005A21E7">
        <w:rPr>
          <w:rFonts w:ascii="Times New Roman" w:eastAsia="Times New Roman" w:hAnsi="Times New Roman" w:cs="Times New Roman"/>
          <w:b/>
          <w:bCs/>
          <w:kern w:val="36"/>
          <w:sz w:val="48"/>
          <w:szCs w:val="48"/>
          <w:lang w:eastAsia="ru-RU"/>
        </w:rPr>
        <w:t>стушки</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 xml:space="preserve">Неслучайно народные потешки и игры для самых маленьких содержат четкую ритмическую структуру и повторяющиеся короткие слоги.  Они напоминают первые облегченные слова годовалых детей и легче воспроизводятся и улавливаются благодаря сочетанию с тактильным контактом и узнаваемым ритмом. Можно использовать как опыт нянюшек и мамушек, так и самостоятельно придумывать игры, когда нужно повторять короткие цепочки слогов: «ду-ду-ду», «бам-бам», «тили-ли». Например, для </w:t>
      </w:r>
      <w:r w:rsidRPr="005A21E7">
        <w:rPr>
          <w:rFonts w:ascii="Times New Roman" w:eastAsia="Times New Roman" w:hAnsi="Times New Roman" w:cs="Times New Roman"/>
          <w:b/>
          <w:bCs/>
          <w:sz w:val="24"/>
          <w:szCs w:val="24"/>
          <w:lang w:eastAsia="ru-RU"/>
        </w:rPr>
        <w:t>развития речи</w:t>
      </w:r>
      <w:r w:rsidRPr="005A21E7">
        <w:rPr>
          <w:rFonts w:ascii="Times New Roman" w:eastAsia="Times New Roman" w:hAnsi="Times New Roman" w:cs="Times New Roman"/>
          <w:sz w:val="24"/>
          <w:szCs w:val="24"/>
          <w:lang w:eastAsia="ru-RU"/>
        </w:rPr>
        <w:t xml:space="preserve"> можно устроить игру-инсценировку потешки «Пастушок»:</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Пастушок: «Ту-ру-ру-ру!»</w:t>
      </w:r>
      <w:r w:rsidRPr="005A21E7">
        <w:rPr>
          <w:rFonts w:ascii="Times New Roman" w:eastAsia="Times New Roman" w:hAnsi="Times New Roman" w:cs="Times New Roman"/>
          <w:sz w:val="24"/>
          <w:szCs w:val="24"/>
          <w:lang w:eastAsia="ru-RU"/>
        </w:rPr>
        <w:br/>
        <w:t>А коровки в лад ему</w:t>
      </w:r>
      <w:proofErr w:type="gramStart"/>
      <w:r w:rsidRPr="005A21E7">
        <w:rPr>
          <w:rFonts w:ascii="Times New Roman" w:eastAsia="Times New Roman" w:hAnsi="Times New Roman" w:cs="Times New Roman"/>
          <w:sz w:val="24"/>
          <w:szCs w:val="24"/>
          <w:lang w:eastAsia="ru-RU"/>
        </w:rPr>
        <w:br/>
        <w:t>З</w:t>
      </w:r>
      <w:proofErr w:type="gramEnd"/>
      <w:r w:rsidRPr="005A21E7">
        <w:rPr>
          <w:rFonts w:ascii="Times New Roman" w:eastAsia="Times New Roman" w:hAnsi="Times New Roman" w:cs="Times New Roman"/>
          <w:sz w:val="24"/>
          <w:szCs w:val="24"/>
          <w:lang w:eastAsia="ru-RU"/>
        </w:rPr>
        <w:t>атянули: «Му-му-му!»</w:t>
      </w:r>
      <w:r w:rsidRPr="005A21E7">
        <w:rPr>
          <w:rFonts w:ascii="Times New Roman" w:eastAsia="Times New Roman" w:hAnsi="Times New Roman" w:cs="Times New Roman"/>
          <w:sz w:val="24"/>
          <w:szCs w:val="24"/>
          <w:lang w:eastAsia="ru-RU"/>
        </w:rPr>
        <w:br/>
        <w:t xml:space="preserve">по очереди изображая то рожок пастушка, то коровок. Пусть сначала малыш будет просто </w:t>
      </w:r>
      <w:proofErr w:type="gramStart"/>
      <w:r w:rsidRPr="005A21E7">
        <w:rPr>
          <w:rFonts w:ascii="Times New Roman" w:eastAsia="Times New Roman" w:hAnsi="Times New Roman" w:cs="Times New Roman"/>
          <w:sz w:val="24"/>
          <w:szCs w:val="24"/>
          <w:lang w:eastAsia="ru-RU"/>
        </w:rPr>
        <w:t>смеяться</w:t>
      </w:r>
      <w:proofErr w:type="gramEnd"/>
      <w:r w:rsidRPr="005A21E7">
        <w:rPr>
          <w:rFonts w:ascii="Times New Roman" w:eastAsia="Times New Roman" w:hAnsi="Times New Roman" w:cs="Times New Roman"/>
          <w:sz w:val="24"/>
          <w:szCs w:val="24"/>
          <w:lang w:eastAsia="ru-RU"/>
        </w:rPr>
        <w:t xml:space="preserve"> и слушать, но вскоре ему захочется ответить за коровок. Можно использовать фигурки пастушка и коров, разыграть потешку как сценку. </w:t>
      </w: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lastRenderedPageBreak/>
        <w:t>Поиграем, поболтаем</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Недостаточно простого взаимодействия с предметами для того, что ребенок начал их вербально обозначать. Ему нужен «гид»− взрослый, который в игровой форме будет исподволь закреплять связь между той или иной вещью и словом. Можно поиграть в «Волшебный мешочек», учась повторять звукоподражательные слова. В маленьком мешочке прячутся разные звери. Доставая каждую игрушку, нужно погладить ее, и выразительно спросить: «Кто это?» Затем назвать животное, погладить и издать звук, поздороваться с малышом. Предложить помяукать как котик или помочь поздороваться  лягушонку. А с ребенком, уже сделавшим первые успехи, можно поиграть в сказку «Как пароходик разучился гудеть», заменив пароходик машинкой, паровозиком. По очереди «забывчивый» персонаж встречает разных зверей, а ребенок вместе с мамой напоминает в конце, как надо гудеть или сигналить.</w:t>
      </w: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t>Развитие слуха</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Правильная и бойкая речь невозможна без хорошо развитого слуха и чувства ритма. Хорошо тренирует слух, например, различные варианты игры в «угадайку», в один из коробков прячется горошина, и малыш должен угадать, где она лежит по звуку. Затем задачу можно усложнить, поместив в одну баночку от витаминов скрепки, в другую соль, в третью стеклянные шарики. Также можно поиграть в «Большое Ухо». На прогулке закрыть глаза и называть, а затем пытаться изобразить, все, что услышишь вокруг.</w:t>
      </w: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t>Диалог</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Для того</w:t>
      </w:r>
      <w:proofErr w:type="gramStart"/>
      <w:r w:rsidRPr="005A21E7">
        <w:rPr>
          <w:rFonts w:ascii="Times New Roman" w:eastAsia="Times New Roman" w:hAnsi="Times New Roman" w:cs="Times New Roman"/>
          <w:sz w:val="24"/>
          <w:szCs w:val="24"/>
          <w:lang w:eastAsia="ru-RU"/>
        </w:rPr>
        <w:t>,</w:t>
      </w:r>
      <w:proofErr w:type="gramEnd"/>
      <w:r w:rsidRPr="005A21E7">
        <w:rPr>
          <w:rFonts w:ascii="Times New Roman" w:eastAsia="Times New Roman" w:hAnsi="Times New Roman" w:cs="Times New Roman"/>
          <w:sz w:val="24"/>
          <w:szCs w:val="24"/>
          <w:lang w:eastAsia="ru-RU"/>
        </w:rPr>
        <w:t xml:space="preserve"> чтобы возникла потребность что-либо сообщить миру, нужно, чтобы возникали ситуации, когда использовать уместно только слова. </w:t>
      </w:r>
      <w:proofErr w:type="gramStart"/>
      <w:r w:rsidRPr="005A21E7">
        <w:rPr>
          <w:rFonts w:ascii="Times New Roman" w:eastAsia="Times New Roman" w:hAnsi="Times New Roman" w:cs="Times New Roman"/>
          <w:sz w:val="24"/>
          <w:szCs w:val="24"/>
          <w:lang w:eastAsia="ru-RU"/>
        </w:rPr>
        <w:t>Конечно</w:t>
      </w:r>
      <w:proofErr w:type="gramEnd"/>
      <w:r w:rsidRPr="005A21E7">
        <w:rPr>
          <w:rFonts w:ascii="Times New Roman" w:eastAsia="Times New Roman" w:hAnsi="Times New Roman" w:cs="Times New Roman"/>
          <w:sz w:val="24"/>
          <w:szCs w:val="24"/>
          <w:lang w:eastAsia="ru-RU"/>
        </w:rPr>
        <w:t xml:space="preserve"> сознательно «глохнуть» и изображать иностранца не стоит - малыш может попросту испугаться, но нужно обратить внимание, не слишком ли большую часть коммуникации взяли на себя мимика и жесты. Нужно постоянно приглашать ребенка к диалогу, подчеркивая его успехи: «Как ты красиво сказал, хорошо попросил, так я сразу поняла, что тебе нужно». Можно поиграть в дрессировку игрушечного щенка, отдавая ему команды или в отправку автобуса, который едет только, если ему сказать «Поехали!». Для деток старше полутора лет интересно будет записать себя на аудионоситель или специальную игрушку, которая записывает все, что малыш говорит, а потом воспроизводит. </w:t>
      </w: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t>Пальчики помогут заговорить</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 xml:space="preserve">Массаж, пальчиковая гимнастика, игры с крупой или бусинами тренируют пальчики, а значит речевые центры, то есть способствуют </w:t>
      </w:r>
      <w:r w:rsidRPr="005A21E7">
        <w:rPr>
          <w:rFonts w:ascii="Times New Roman" w:eastAsia="Times New Roman" w:hAnsi="Times New Roman" w:cs="Times New Roman"/>
          <w:b/>
          <w:bCs/>
          <w:sz w:val="24"/>
          <w:szCs w:val="24"/>
          <w:lang w:eastAsia="ru-RU"/>
        </w:rPr>
        <w:t>развитию речи</w:t>
      </w:r>
      <w:r w:rsidRPr="005A21E7">
        <w:rPr>
          <w:rFonts w:ascii="Times New Roman" w:eastAsia="Times New Roman" w:hAnsi="Times New Roman" w:cs="Times New Roman"/>
          <w:sz w:val="24"/>
          <w:szCs w:val="24"/>
          <w:lang w:eastAsia="ru-RU"/>
        </w:rPr>
        <w:t>. Очень хорошо помогают совершенствовать речь пальчико</w:t>
      </w:r>
      <w:r w:rsidR="00B646D2">
        <w:rPr>
          <w:rFonts w:ascii="Times New Roman" w:eastAsia="Times New Roman" w:hAnsi="Times New Roman" w:cs="Times New Roman"/>
          <w:sz w:val="24"/>
          <w:szCs w:val="24"/>
          <w:lang w:eastAsia="ru-RU"/>
        </w:rPr>
        <w:t>вые игры. Повторение ритмичных</w:t>
      </w:r>
      <w:r w:rsidRPr="005A21E7">
        <w:rPr>
          <w:rFonts w:ascii="Times New Roman" w:eastAsia="Times New Roman" w:hAnsi="Times New Roman" w:cs="Times New Roman"/>
          <w:sz w:val="24"/>
          <w:szCs w:val="24"/>
          <w:lang w:eastAsia="ru-RU"/>
        </w:rPr>
        <w:t xml:space="preserve"> движений в сочетании с простым текстом поможет ребенку научиться повторять слова и получать от этого удовольствие. Причем начать можно с совсем простых игр, прятать «делать дождик» всеми пальчиками по маминой ладошке, приговаривая «кап-кап-кап» или «сыпать» зернышки курочке.</w:t>
      </w: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t>Тренируем язычок</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 xml:space="preserve">Можно устроить зарядку для губ и язычка. Пусть он выйдет погулять, посмотрит направо, налево, облизнет губы.  А ротик может улыбаться, опускать уголки вниз, широко открываться. Акцент на этих важных органах речи поможет избежать трудностей с артикуляцией. </w:t>
      </w:r>
    </w:p>
    <w:p w:rsid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p>
    <w:p w:rsidR="005A21E7" w:rsidRPr="005A21E7" w:rsidRDefault="005A21E7" w:rsidP="005A21E7">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ru-RU"/>
        </w:rPr>
      </w:pPr>
      <w:r w:rsidRPr="005A21E7">
        <w:rPr>
          <w:rFonts w:ascii="Times New Roman" w:eastAsia="Times New Roman" w:hAnsi="Times New Roman" w:cs="Times New Roman"/>
          <w:b/>
          <w:bCs/>
          <w:kern w:val="36"/>
          <w:sz w:val="48"/>
          <w:szCs w:val="48"/>
          <w:lang w:eastAsia="ru-RU"/>
        </w:rPr>
        <w:lastRenderedPageBreak/>
        <w:t>И шнуруем, и говорим</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color w:val="0000FF"/>
          <w:sz w:val="24"/>
          <w:szCs w:val="24"/>
          <w:lang w:eastAsia="ru-RU"/>
        </w:rPr>
        <w:drawing>
          <wp:inline distT="0" distB="0" distL="0" distR="0">
            <wp:extent cx="2371725" cy="1581150"/>
            <wp:effectExtent l="0" t="0" r="9525" b="0"/>
            <wp:docPr id="1" name="Рисунок 1" descr="Развитие речи: как разговорить молчуна">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Развитие речи: как разговорить молчуна">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1725" cy="1581150"/>
                    </a:xfrm>
                    <a:prstGeom prst="rect">
                      <a:avLst/>
                    </a:prstGeom>
                    <a:noFill/>
                    <a:ln>
                      <a:noFill/>
                    </a:ln>
                  </pic:spPr>
                </pic:pic>
              </a:graphicData>
            </a:graphic>
          </wp:inline>
        </w:drawing>
      </w:r>
      <w:r w:rsidRPr="005A21E7">
        <w:rPr>
          <w:rFonts w:ascii="Times New Roman" w:eastAsia="Times New Roman" w:hAnsi="Times New Roman" w:cs="Times New Roman"/>
          <w:sz w:val="24"/>
          <w:szCs w:val="24"/>
          <w:lang w:eastAsia="ru-RU"/>
        </w:rPr>
        <w:t xml:space="preserve">Хорошо использовать также развивающие игрушки, сочетающие в себе и тренажер для развития мелкой моторики, и фигурки для развития речи. Так </w:t>
      </w:r>
      <w:hyperlink r:id="rId9" w:history="1">
        <w:r w:rsidRPr="005A21E7">
          <w:rPr>
            <w:rFonts w:ascii="Times New Roman" w:eastAsia="Times New Roman" w:hAnsi="Times New Roman" w:cs="Times New Roman"/>
            <w:color w:val="0000FF"/>
            <w:sz w:val="24"/>
            <w:szCs w:val="24"/>
            <w:u w:val="single"/>
            <w:lang w:eastAsia="ru-RU"/>
          </w:rPr>
          <w:t>Шнуровка «Ферма» 4 в 1</w:t>
        </w:r>
      </w:hyperlink>
      <w:r w:rsidRPr="005A21E7">
        <w:rPr>
          <w:rFonts w:ascii="Times New Roman" w:eastAsia="Times New Roman" w:hAnsi="Times New Roman" w:cs="Times New Roman"/>
          <w:sz w:val="24"/>
          <w:szCs w:val="24"/>
          <w:lang w:eastAsia="ru-RU"/>
        </w:rPr>
        <w:t xml:space="preserve"> от производителя игрушек "Вундеркинд» не только поможет научиться продевать шнурочки в отверстия, но и даст возможность «озвучить» обитателей фермы. Покажите малышу овечку, объяснив: «Овечка кричит «беее», просит нас помочь ей вернуться домой. Давай ее позовем, успокоим». Фигурками можно играть и по отдельности.</w:t>
      </w:r>
    </w:p>
    <w:p w:rsidR="005A21E7" w:rsidRPr="005A21E7" w:rsidRDefault="005A21E7" w:rsidP="005A21E7">
      <w:pPr>
        <w:spacing w:after="0" w:line="240" w:lineRule="auto"/>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 </w:t>
      </w:r>
    </w:p>
    <w:p w:rsidR="005A21E7" w:rsidRPr="005A21E7" w:rsidRDefault="005A21E7" w:rsidP="005A21E7">
      <w:pPr>
        <w:spacing w:after="0" w:line="240" w:lineRule="auto"/>
        <w:jc w:val="right"/>
        <w:rPr>
          <w:rFonts w:ascii="Times New Roman" w:eastAsia="Times New Roman" w:hAnsi="Times New Roman" w:cs="Times New Roman"/>
          <w:sz w:val="24"/>
          <w:szCs w:val="24"/>
          <w:lang w:eastAsia="ru-RU"/>
        </w:rPr>
      </w:pPr>
      <w:r w:rsidRPr="005A21E7">
        <w:rPr>
          <w:rFonts w:ascii="Times New Roman" w:eastAsia="Times New Roman" w:hAnsi="Times New Roman" w:cs="Times New Roman"/>
          <w:sz w:val="24"/>
          <w:szCs w:val="24"/>
          <w:lang w:eastAsia="ru-RU"/>
        </w:rPr>
        <w:t>Юлия Макеева</w:t>
      </w:r>
    </w:p>
    <w:p w:rsidR="00333363" w:rsidRDefault="00333363"/>
    <w:sectPr w:rsidR="00333363" w:rsidSect="005A21E7">
      <w:pgSz w:w="11906" w:h="16838"/>
      <w:pgMar w:top="426"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altName w:val="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D28"/>
    <w:rsid w:val="00333363"/>
    <w:rsid w:val="00467D28"/>
    <w:rsid w:val="005A21E7"/>
    <w:rsid w:val="00B646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5A21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21E7"/>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5A21E7"/>
    <w:rPr>
      <w:color w:val="0000FF"/>
      <w:u w:val="single"/>
    </w:rPr>
  </w:style>
  <w:style w:type="paragraph" w:styleId="a4">
    <w:name w:val="Normal (Web)"/>
    <w:basedOn w:val="a"/>
    <w:uiPriority w:val="99"/>
    <w:semiHidden/>
    <w:unhideWhenUsed/>
    <w:rsid w:val="005A21E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5A21E7"/>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5A21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5A21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21E7"/>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5A21E7"/>
    <w:rPr>
      <w:color w:val="0000FF"/>
      <w:u w:val="single"/>
    </w:rPr>
  </w:style>
  <w:style w:type="paragraph" w:styleId="a4">
    <w:name w:val="Normal (Web)"/>
    <w:basedOn w:val="a"/>
    <w:uiPriority w:val="99"/>
    <w:semiHidden/>
    <w:unhideWhenUsed/>
    <w:rsid w:val="005A21E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5A21E7"/>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5A21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2864205">
      <w:bodyDiv w:val="1"/>
      <w:marLeft w:val="0"/>
      <w:marRight w:val="0"/>
      <w:marTop w:val="0"/>
      <w:marBottom w:val="0"/>
      <w:divBdr>
        <w:top w:val="none" w:sz="0" w:space="0" w:color="auto"/>
        <w:left w:val="none" w:sz="0" w:space="0" w:color="auto"/>
        <w:bottom w:val="none" w:sz="0" w:space="0" w:color="auto"/>
        <w:right w:val="none" w:sz="0" w:space="0" w:color="auto"/>
      </w:divBdr>
      <w:divsChild>
        <w:div w:id="863786213">
          <w:marLeft w:val="0"/>
          <w:marRight w:val="0"/>
          <w:marTop w:val="0"/>
          <w:marBottom w:val="0"/>
          <w:divBdr>
            <w:top w:val="none" w:sz="0" w:space="0" w:color="auto"/>
            <w:left w:val="none" w:sz="0" w:space="0" w:color="auto"/>
            <w:bottom w:val="none" w:sz="0" w:space="0" w:color="auto"/>
            <w:right w:val="none" w:sz="0" w:space="0" w:color="auto"/>
          </w:divBdr>
          <w:divsChild>
            <w:div w:id="461920240">
              <w:marLeft w:val="0"/>
              <w:marRight w:val="0"/>
              <w:marTop w:val="0"/>
              <w:marBottom w:val="0"/>
              <w:divBdr>
                <w:top w:val="none" w:sz="0" w:space="0" w:color="auto"/>
                <w:left w:val="none" w:sz="0" w:space="0" w:color="auto"/>
                <w:bottom w:val="none" w:sz="0" w:space="0" w:color="auto"/>
                <w:right w:val="none" w:sz="0" w:space="0" w:color="auto"/>
              </w:divBdr>
              <w:divsChild>
                <w:div w:id="191652065">
                  <w:marLeft w:val="0"/>
                  <w:marRight w:val="0"/>
                  <w:marTop w:val="0"/>
                  <w:marBottom w:val="0"/>
                  <w:divBdr>
                    <w:top w:val="none" w:sz="0" w:space="0" w:color="auto"/>
                    <w:left w:val="none" w:sz="0" w:space="0" w:color="auto"/>
                    <w:bottom w:val="none" w:sz="0" w:space="0" w:color="auto"/>
                    <w:right w:val="none" w:sz="0" w:space="0" w:color="auto"/>
                  </w:divBdr>
                </w:div>
                <w:div w:id="772477313">
                  <w:marLeft w:val="0"/>
                  <w:marRight w:val="0"/>
                  <w:marTop w:val="0"/>
                  <w:marBottom w:val="0"/>
                  <w:divBdr>
                    <w:top w:val="none" w:sz="0" w:space="0" w:color="auto"/>
                    <w:left w:val="none" w:sz="0" w:space="0" w:color="auto"/>
                    <w:bottom w:val="none" w:sz="0" w:space="0" w:color="auto"/>
                    <w:right w:val="none" w:sz="0" w:space="0" w:color="auto"/>
                  </w:divBdr>
                </w:div>
                <w:div w:id="167721493">
                  <w:marLeft w:val="0"/>
                  <w:marRight w:val="0"/>
                  <w:marTop w:val="0"/>
                  <w:marBottom w:val="0"/>
                  <w:divBdr>
                    <w:top w:val="none" w:sz="0" w:space="0" w:color="auto"/>
                    <w:left w:val="none" w:sz="0" w:space="0" w:color="auto"/>
                    <w:bottom w:val="none" w:sz="0" w:space="0" w:color="auto"/>
                    <w:right w:val="none" w:sz="0" w:space="0" w:color="auto"/>
                  </w:divBdr>
                </w:div>
                <w:div w:id="1236357738">
                  <w:marLeft w:val="0"/>
                  <w:marRight w:val="0"/>
                  <w:marTop w:val="0"/>
                  <w:marBottom w:val="0"/>
                  <w:divBdr>
                    <w:top w:val="none" w:sz="0" w:space="0" w:color="auto"/>
                    <w:left w:val="none" w:sz="0" w:space="0" w:color="auto"/>
                    <w:bottom w:val="none" w:sz="0" w:space="0" w:color="auto"/>
                    <w:right w:val="none" w:sz="0" w:space="0" w:color="auto"/>
                  </w:divBdr>
                </w:div>
                <w:div w:id="972521172">
                  <w:marLeft w:val="0"/>
                  <w:marRight w:val="0"/>
                  <w:marTop w:val="0"/>
                  <w:marBottom w:val="0"/>
                  <w:divBdr>
                    <w:top w:val="none" w:sz="0" w:space="0" w:color="auto"/>
                    <w:left w:val="none" w:sz="0" w:space="0" w:color="auto"/>
                    <w:bottom w:val="none" w:sz="0" w:space="0" w:color="auto"/>
                    <w:right w:val="none" w:sz="0" w:space="0" w:color="auto"/>
                  </w:divBdr>
                </w:div>
                <w:div w:id="889465131">
                  <w:marLeft w:val="0"/>
                  <w:marRight w:val="0"/>
                  <w:marTop w:val="0"/>
                  <w:marBottom w:val="0"/>
                  <w:divBdr>
                    <w:top w:val="none" w:sz="0" w:space="0" w:color="auto"/>
                    <w:left w:val="none" w:sz="0" w:space="0" w:color="auto"/>
                    <w:bottom w:val="none" w:sz="0" w:space="0" w:color="auto"/>
                    <w:right w:val="none" w:sz="0" w:space="0" w:color="auto"/>
                  </w:divBdr>
                </w:div>
                <w:div w:id="1845703835">
                  <w:marLeft w:val="0"/>
                  <w:marRight w:val="0"/>
                  <w:marTop w:val="0"/>
                  <w:marBottom w:val="0"/>
                  <w:divBdr>
                    <w:top w:val="none" w:sz="0" w:space="0" w:color="auto"/>
                    <w:left w:val="none" w:sz="0" w:space="0" w:color="auto"/>
                    <w:bottom w:val="none" w:sz="0" w:space="0" w:color="auto"/>
                    <w:right w:val="none" w:sz="0" w:space="0" w:color="auto"/>
                  </w:divBdr>
                </w:div>
                <w:div w:id="843279485">
                  <w:marLeft w:val="0"/>
                  <w:marRight w:val="0"/>
                  <w:marTop w:val="0"/>
                  <w:marBottom w:val="0"/>
                  <w:divBdr>
                    <w:top w:val="none" w:sz="0" w:space="0" w:color="auto"/>
                    <w:left w:val="none" w:sz="0" w:space="0" w:color="auto"/>
                    <w:bottom w:val="none" w:sz="0" w:space="0" w:color="auto"/>
                    <w:right w:val="none" w:sz="0" w:space="0" w:color="auto"/>
                  </w:divBdr>
                </w:div>
                <w:div w:id="430202743">
                  <w:marLeft w:val="0"/>
                  <w:marRight w:val="0"/>
                  <w:marTop w:val="0"/>
                  <w:marBottom w:val="0"/>
                  <w:divBdr>
                    <w:top w:val="none" w:sz="0" w:space="0" w:color="auto"/>
                    <w:left w:val="none" w:sz="0" w:space="0" w:color="auto"/>
                    <w:bottom w:val="none" w:sz="0" w:space="0" w:color="auto"/>
                    <w:right w:val="none" w:sz="0" w:space="0" w:color="auto"/>
                  </w:divBdr>
                </w:div>
                <w:div w:id="96409718">
                  <w:marLeft w:val="0"/>
                  <w:marRight w:val="0"/>
                  <w:marTop w:val="0"/>
                  <w:marBottom w:val="0"/>
                  <w:divBdr>
                    <w:top w:val="none" w:sz="0" w:space="0" w:color="auto"/>
                    <w:left w:val="none" w:sz="0" w:space="0" w:color="auto"/>
                    <w:bottom w:val="none" w:sz="0" w:space="0" w:color="auto"/>
                    <w:right w:val="none" w:sz="0" w:space="0" w:color="auto"/>
                  </w:divBdr>
                </w:div>
                <w:div w:id="2097314703">
                  <w:marLeft w:val="0"/>
                  <w:marRight w:val="0"/>
                  <w:marTop w:val="0"/>
                  <w:marBottom w:val="0"/>
                  <w:divBdr>
                    <w:top w:val="none" w:sz="0" w:space="0" w:color="auto"/>
                    <w:left w:val="none" w:sz="0" w:space="0" w:color="auto"/>
                    <w:bottom w:val="none" w:sz="0" w:space="0" w:color="auto"/>
                    <w:right w:val="none" w:sz="0" w:space="0" w:color="auto"/>
                  </w:divBdr>
                </w:div>
                <w:div w:id="1350833636">
                  <w:marLeft w:val="0"/>
                  <w:marRight w:val="0"/>
                  <w:marTop w:val="0"/>
                  <w:marBottom w:val="0"/>
                  <w:divBdr>
                    <w:top w:val="none" w:sz="0" w:space="0" w:color="auto"/>
                    <w:left w:val="none" w:sz="0" w:space="0" w:color="auto"/>
                    <w:bottom w:val="none" w:sz="0" w:space="0" w:color="auto"/>
                    <w:right w:val="none" w:sz="0" w:space="0" w:color="auto"/>
                  </w:divBdr>
                </w:div>
                <w:div w:id="15309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www.iwkind.ru/uploads/posts/2013-03/1364290234_120019.260x260.jpg"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www.iwkind.ru/uploads/posts/2013-03/1364289636_4.jp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op.wkind.ru/products/shnurovka-ferma-4-v-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868</Words>
  <Characters>4954</Characters>
  <Application>Microsoft Office Word</Application>
  <DocSecurity>0</DocSecurity>
  <Lines>41</Lines>
  <Paragraphs>11</Paragraphs>
  <ScaleCrop>false</ScaleCrop>
  <Company>SPecialiST RePack</Company>
  <LinksUpToDate>false</LinksUpToDate>
  <CharactersWithSpaces>5811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пк</cp:lastModifiedBy>
  <cp:revision>3</cp:revision>
  <dcterms:created xsi:type="dcterms:W3CDTF">2013-04-12T15:39:00Z</dcterms:created>
  <dcterms:modified xsi:type="dcterms:W3CDTF">2013-04-12T15:44:00Z</dcterms:modified>
</cp:coreProperties>
</file>