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ДОГОВОР №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________</w:t>
      </w:r>
    </w:p>
    <w:p>
      <w:pPr>
        <w:pStyle w:val="Normal.0"/>
        <w:tabs>
          <w:tab w:val="right" w:pos="9329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</w:t>
        <w:tab/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 2023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right" w:pos="9329"/>
        </w:tabs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tab/>
        <w:t>Санкт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Петербургское государственное бюджетное учреждение культуры «Санкт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Петербургский государственный музей театрального и музыкального искусства»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именуемое в дальнейшем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Исполнитель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в лице директора 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Метелицы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действующей на основании Устава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одной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Автономная некоммерческая организация социокультурной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социально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психологической адаптации человека «Социально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художественный Театр»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АНО «СХТ»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именуемая в дальнейшем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«Заказчик»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лице Руководителя социальных проектов Оловянниковой Ольги Германовны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действующей на основании доверенности </w:t>
      </w:r>
      <w:r>
        <w:rPr>
          <w:rFonts w:ascii="Times New Roman" w:hAnsi="Times New Roman"/>
          <w:sz w:val="24"/>
          <w:szCs w:val="24"/>
          <w:rtl w:val="0"/>
          <w:lang w:val="ru-RU"/>
        </w:rPr>
        <w:t>78/139-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/78-2022-3-565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16.09.2022,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</w:p>
    <w:p>
      <w:pPr>
        <w:pStyle w:val="No Spacing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целях реализации проекта «Живая лаборатория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"Digital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сцена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осуществляемого в соответствии с договором о предоставлении гранта Президента Российской Федерации на реализацию проектов в области культуры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искусства и креативных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творческих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индустрий № ПФКИ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-22-2-000445,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заключенным между АНО «СХТ» и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Президентским фондом культурных инициатив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заключили настоящий договор о нижеследующем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ПРЕДМЕТ ДОГОВОРА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​ Исполнитель обязуется оказать услуги по проведению экскурсии в форме занятия с демонстрацией оборудования и интерактивных мультимедийных программ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Мероприятие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путем реализации группового билета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включающего входную плату на мультимедийную экспозицию Центра мультимедиа Русского музея и экскурсионное обслуживание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Заказчик обязуется оплатить оказанные услуги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 и время проведения Мероприятия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04.03.2023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Fonts w:ascii="Times New Roman" w:hAnsi="Times New Roman"/>
          <w:sz w:val="24"/>
          <w:szCs w:val="24"/>
          <w:rtl w:val="0"/>
          <w:lang w:val="ru-RU"/>
        </w:rPr>
        <w:t>11:30.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Место проведения Мероприятия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?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Зодчего Росси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литер «А»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Общая продолжительность Мероприятия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2,5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2.1.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Исполнитель обязуется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Предоставить Заказчику услуги в соответствии с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Обязуется провести Мероприятия на высоком профессиональном уровне в полном объеме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предусмотренными условиями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Информировать Заказчика о соблюдении правил поведения в музее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Заранее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позднее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за </w:t>
      </w:r>
      <w:r>
        <w:rPr>
          <w:rFonts w:ascii="Times New Roman" w:hAnsi="Times New Roman"/>
          <w:sz w:val="24"/>
          <w:szCs w:val="24"/>
          <w:rtl w:val="0"/>
          <w:lang w:val="ru-RU"/>
        </w:rPr>
        <w:t>2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два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календарных дня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предупредить «Заказчика» о независящих от Исполнителя обстоятельствах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создают невозможность оказания услуг вообще или в установленный настоящим Договором срок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Предоставить Заказчику Акт оказания услуг в течение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>10 (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десяти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рабочих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дней со дня оказания экскурсионных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2.2.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Заказчик обязуется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2.2.1.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Направить в место проведения Мероприятия группу численностью не более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15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Пятнадцати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человек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2.2.2.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Оплатить услуги в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предусмотренном в разделе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2.2.3.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не позднее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за </w:t>
      </w:r>
      <w:r>
        <w:rPr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пять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календарных дней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предупредить Исполнителя о независящих от Заказчика обстоятельствах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создают невозможность оказание услуг вообще или в установленный Договором срок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2.2.4.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В течение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>2 (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двух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рабочих дней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 дня получения Акта оказания услуг подписать и направить его Исполнителю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мотивированный отказ от его подписания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неподписания Акта оказания услуг в установленные настоящим пунктом сроки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равно ненаправления Исполнителем Заказчику мотивированного отказа от его подписания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услуги будут считаться принятыми Заказчиком» в полном объеме и оказанные Исполнителем с надлежащим качеством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РАСЧЕТОВ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Цена Договора составляет </w:t>
      </w:r>
      <w:r>
        <w:rPr>
          <w:rFonts w:ascii="Times New Roman" w:hAnsi="Times New Roman"/>
          <w:sz w:val="24"/>
          <w:szCs w:val="24"/>
          <w:rtl w:val="0"/>
          <w:lang w:val="en-US"/>
        </w:rPr>
        <w:t>12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750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Двенадцать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тысяч семьсот пятьдесят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рублей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копеек и определяется в соответствии с Протоколом согласования цены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Приложение №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 настоящему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НДС не облагается в соответствии с пп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149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Налогового кодекса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Заказчик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производит оплату в размере 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>100%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ста процентов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>)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 в течение 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>2 (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двух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ru-RU"/>
        </w:rPr>
        <w:t>рабочих дней со дня подписания Акта оказания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Расчеты производятся путем перечисления денежных средств по безналичному расчету на расчетный счет Исполнителя на основании выставленного Исполнителем счета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3.4.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нарушения условий оплаты согласно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3.2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настоящего Договора Исполнитель оставляет за собой право не принимать группу Заказчика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ОТВЕТСТВЕННОСТЬ СТОРОН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несут ответственность за неисполнение или ненадлежащее исполнение ими принятых на себя обязательств по настоящему Договору в соответствии с действующим законодательством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Любая из Сторон освобождается от ответственности за неисполнение или ненадлежащее исполнение принятых на себя обязательств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такое неисполнение или ненадлежащее исполнение явилось следствием действия обстоятельств непреодолимой силы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Стороны не могли ни предвидеть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ни преодолеть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pacing w:val="-4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4.3.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 xml:space="preserve">В случае неявки группы Заказчика на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Мероприятие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в назначенное время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 xml:space="preserve">Заказчик обязуется выплатить Исполнителю неустойку в размере 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>100% (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ста процентов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цены Договора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pacing w:val="-4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4.4.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В случае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если предусмотренное настоящим Договором Мероприятие не состоится по вине Исполнителя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Исполнитель обязуется выплатить Заказчику денежные средства в размере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 xml:space="preserve">предусмотренном пунктом 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3.1.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 xml:space="preserve">Договора в течение 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>5 (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пяти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банковских дней после получения претензии Заказчика пропорционально неисполненному обязательству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ПОРЯДОК РАЗРЕШЕНИЯ СПОРОВ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споры или разногласия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возникающие между Сторонами по настоящему Договору или в связи с ним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разрешаются путем переговоров между Сторонами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6" w:hanging="426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невозможности разрешения разногласий путем переговоров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они подлежат рассмотрению в Арбитражном суде города 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Петербурга и Ленинградской области в установленном законодательством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WW-Базовый"/>
        <w:tabs>
          <w:tab w:val="left" w:pos="1440"/>
        </w:tabs>
        <w:ind w:left="426" w:firstLine="0"/>
        <w:jc w:val="center"/>
        <w:rPr>
          <w:b w:val="1"/>
          <w:bCs w:val="1"/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WW-Базовый"/>
        <w:tabs>
          <w:tab w:val="left" w:pos="1440"/>
        </w:tabs>
        <w:ind w:left="426" w:firstLine="0"/>
        <w:jc w:val="center"/>
        <w:rPr>
          <w:b w:val="1"/>
          <w:bCs w:val="1"/>
        </w:rPr>
      </w:pPr>
      <w:r>
        <w:rPr>
          <w:b w:val="1"/>
          <w:bCs w:val="1"/>
          <w:outline w:val="0"/>
          <w:color w:val="000000"/>
          <w:kern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  </w:t>
      </w:r>
      <w:r>
        <w:rPr>
          <w:b w:val="1"/>
          <w:bCs w:val="1"/>
          <w:outline w:val="0"/>
          <w:color w:val="000000"/>
          <w:kern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 ДОГОВОРА</w:t>
      </w:r>
    </w:p>
    <w:p>
      <w:pPr>
        <w:pStyle w:val="Normal.0"/>
        <w:spacing w:after="0" w:line="240" w:lineRule="auto"/>
        <w:ind w:left="425" w:hanging="425"/>
        <w:jc w:val="both"/>
        <w:rPr>
          <w:rFonts w:ascii="Times New Roman" w:cs="Times New Roman" w:hAnsi="Times New Roman" w:eastAsia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6.1.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По вопросам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не предусмотренным Договором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Стороны руководствуются действующим законодательством Российской Федерации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5" w:hanging="425"/>
        <w:jc w:val="both"/>
        <w:rPr>
          <w:rFonts w:ascii="Times New Roman" w:cs="Times New Roman" w:hAnsi="Times New Roman" w:eastAsia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6.2.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 xml:space="preserve">Стороны обязаны в течение 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>3 (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трех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рабочих дней сообщать друг другу об изменении своего места нахождения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почтового адреса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номеров телефонов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факсов и банковских реквизитов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а также в случае реорганизации</w:t>
      </w: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425" w:hanging="425"/>
        <w:jc w:val="both"/>
        <w:rPr>
          <w:rFonts w:ascii="Times New Roman" w:cs="Times New Roman" w:hAnsi="Times New Roman" w:eastAsia="Times New Roman"/>
          <w:spacing w:val="-4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СРОК ДЕЙСТВИЯ ДОГОВОРА</w:t>
      </w:r>
    </w:p>
    <w:p>
      <w:pPr>
        <w:pStyle w:val="Body Text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Настоящий Договор вступает в силу с момента его подписания и действует до момента полного исполнения Сторонами своих обязательств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Body Text"/>
        <w:numPr>
          <w:ilvl w:val="1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pacing w:val="-4"/>
          <w:sz w:val="24"/>
          <w:szCs w:val="24"/>
          <w:rtl w:val="0"/>
          <w:lang w:val="ru-RU"/>
        </w:rPr>
        <w:t>Окончание срока действия настоящего Договора не освобождает Стороны от выполнения взятых на себя обязательств</w:t>
      </w:r>
      <w:r>
        <w:rPr>
          <w:spacing w:val="-4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8.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ОБЯЗАТЕЛЬНЫЕ ПРИЛОЖЕНИЯ К ДОГОВОРУ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  <w:rtl w:val="0"/>
          <w:lang w:val="ru-RU"/>
        </w:rPr>
        <w:t xml:space="preserve">8.1. </w:t>
      </w:r>
      <w:r>
        <w:rPr>
          <w:rFonts w:ascii="Times New Roman" w:hAnsi="Times New Roman" w:hint="default"/>
          <w:spacing w:val="-4"/>
          <w:sz w:val="24"/>
          <w:szCs w:val="24"/>
          <w:rtl w:val="0"/>
          <w:lang w:val="ru-RU"/>
        </w:rPr>
        <w:t>К настоящему Договору прилагается и является его неотъемлемой частью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Приложение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Протокол согласования цены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АДРЕСА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РЕКВИЗИТЫ И ПОДПИСИ СТОРОН</w:t>
      </w:r>
    </w:p>
    <w:p>
      <w:pPr>
        <w:pStyle w:val="List Paragraph"/>
        <w:spacing w:after="0" w:line="240" w:lineRule="auto"/>
        <w:ind w:left="36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2"/>
        <w:gridCol w:w="4673"/>
      </w:tblGrid>
      <w:tr>
        <w:tblPrEx>
          <w:shd w:val="clear" w:color="auto" w:fill="ced7e7"/>
        </w:tblPrEx>
        <w:trPr>
          <w:trHeight w:val="853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«Исполнитель»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«Заказчик»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6010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09"/>
              </w:tabs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Петербургское государственное бюджетное учреждение культуры «Санкт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Петербургский государственный музей театрального и музыкального искусства»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Место нахождения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191023,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Зодчего Росси д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.2,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литер А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 310-10-29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7825446889,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784001001,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1047839007589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Комитет финансов 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СПб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ГБУК СПбГМТиМИ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Лицевой счет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0171086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Банк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Северо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Западное ГУ Банка России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УФК по 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010030106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Расчетный счет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 03224643400000007200</w:t>
            </w:r>
          </w:p>
          <w:p>
            <w:pPr>
              <w:pStyle w:val="Normal.0"/>
              <w:tabs>
                <w:tab w:val="left" w:pos="709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сч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40102810945370000005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Автономная некоммерческая организация социокультурной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социально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психологической адаптации человека «Социально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художественный театр» 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АНО «СХТ»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 Spacing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ОГРН –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1167800055653</w:t>
            </w:r>
          </w:p>
          <w:p>
            <w:pPr>
              <w:pStyle w:val="No Spacing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7801322997/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780101001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Юридический адрес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почтовый адрес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): 191025,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Петербург г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Поварской пер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дом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10,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литера 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помещение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Платежные реквизиты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>СЕВЕРО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ЗАПАДНЫЙ БАНК ПАО СБЕРБАНК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БИК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044030653,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корреспондентский счет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30101810500000000653,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  <w:lang w:val="ru-RU"/>
              </w:rPr>
              <w:br w:type="textWrapping"/>
              <w:t xml:space="preserve">расчетный счет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40703810355000006394</w:t>
            </w:r>
          </w:p>
          <w:p>
            <w:pPr>
              <w:pStyle w:val="No Spacing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             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Директор          </w:t>
            </w:r>
          </w:p>
          <w:p>
            <w:pPr>
              <w:pStyle w:val="Normal.0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Руководитель социальных</w:t>
              <w:br w:type="textWrapping"/>
              <w:t>проектов Оловянникова Ольга Германовна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действующий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 основании доверенности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78/139-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/78-2022-3-565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16.09.2022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__________________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 Н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Метелица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________________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Оловянникова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List Paragraph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widowControl w:val="0"/>
        <w:spacing w:after="0"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Приложение № </w:t>
      </w: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 Договору №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 «</w:t>
      </w:r>
      <w:r>
        <w:rPr>
          <w:rFonts w:ascii="Times New Roman" w:hAnsi="Times New Roman"/>
          <w:sz w:val="24"/>
          <w:szCs w:val="24"/>
          <w:rtl w:val="0"/>
          <w:lang w:val="ru-RU"/>
        </w:rPr>
        <w:t>___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 2023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ПРОТОКОЛ СОГЛАСОВАНИЯ ЦЕНЫ</w:t>
      </w:r>
    </w:p>
    <w:tbl>
      <w:tblPr>
        <w:tblW w:w="933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1"/>
        <w:gridCol w:w="2410"/>
        <w:gridCol w:w="992"/>
        <w:gridCol w:w="1417"/>
        <w:gridCol w:w="1409"/>
      </w:tblGrid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31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Наименование услуги</w:t>
            </w:r>
          </w:p>
        </w:tc>
        <w:tc>
          <w:tcPr>
            <w:tcW w:type="dxa" w:w="2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Ед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изм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во</w:t>
            </w:r>
          </w:p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Цена за ед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изм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руб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Стоимость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руб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81" w:hRule="atLeast"/>
        </w:trPr>
        <w:tc>
          <w:tcPr>
            <w:tcW w:type="dxa" w:w="31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Экскурсия в форме занятия на мультимедийной экспозиции Центра мультимедиа Русского музея с демонстрацией оборудования и интерактивных мультимедийных программ</w:t>
            </w:r>
          </w:p>
        </w:tc>
        <w:tc>
          <w:tcPr>
            <w:tcW w:type="dxa" w:w="24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Групповой билет на Мультимедийную экспозицию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(2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этажа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для студентов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групповой билет до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человек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</w:p>
        </w:tc>
        <w:tc>
          <w:tcPr>
            <w:tcW w:type="dxa" w:w="9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1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12750,00</w:t>
            </w:r>
          </w:p>
        </w:tc>
        <w:tc>
          <w:tcPr>
            <w:tcW w:type="dxa" w:w="1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12750,00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930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12750,00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Общая стоимость услуг по настоящему Договору составляет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12 </w:t>
      </w:r>
      <w:r>
        <w:rPr>
          <w:rFonts w:ascii="Times New Roman" w:hAnsi="Times New Roman"/>
          <w:sz w:val="24"/>
          <w:szCs w:val="24"/>
          <w:rtl w:val="0"/>
          <w:lang w:val="ru-RU"/>
        </w:rPr>
        <w:t>750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Двенадцать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тысяч семьсот пятьдесят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рублей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00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копеек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  <w:tab/>
        <w:t>НДС не облагается в соответствии с пп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149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Налогового кодекса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2"/>
        <w:gridCol w:w="467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«Исполнитель»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«Заказчик»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Санкт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Петербургское государственное бюджетное учреждение культуры «Санкт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Петербургский государственный музей театрального и музыкального искусства»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Автономная некоммерческая организация социокультурной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социально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психологической адаптации человека «Социально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художественный театр»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АНО «СХТ»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710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Директор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Руководитель социальных</w:t>
              <w:br w:type="textWrapping"/>
              <w:t>проектов Оловянникова Ольга Германовна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действующий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ая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 основании доверенности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78/139-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/78-2022-3-565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16.09.2022</w:t>
            </w:r>
          </w:p>
          <w:p>
            <w:pPr>
              <w:pStyle w:val="No Spacing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46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__________________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 Н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Метелица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6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________________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Оловянникова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1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6" w:hanging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786" w:hanging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786" w:hanging="7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146" w:hanging="11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146" w:hanging="11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506" w:hanging="1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506" w:hanging="1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866" w:hanging="18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WW-Базовый">
    <w:name w:val="WW-Базовый"/>
    <w:next w:val="WW-Базовый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