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9C2AA5" w:rsidRPr="00CE2BBF" w:rsidTr="002F0D18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850EA1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66800" cy="276225"/>
                  <wp:effectExtent l="19050" t="0" r="0" b="0"/>
                  <wp:docPr id="28" name="Рисунок 41" descr="d:\Users\Program Files\Company\Трактори і автомобілі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d:\Users\Program Files\Company\Трактори і автомобілі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CF0E69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9C2AA5" w:rsidRPr="00CE2BBF" w:rsidTr="002F0D18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u w:val="none"/>
                <w:lang w:val="uk-UA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B05F82" w:rsidRPr="00121885" w:rsidRDefault="00B05F82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 w:eastAsia="ru-RU"/>
              </w:rPr>
            </w:pPr>
            <w:r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Додатки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color w:val="2B587A"/>
                <w:sz w:val="20"/>
                <w:szCs w:val="20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9C2AA5" w:rsidP="00475F6D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Тема</w:t>
            </w:r>
            <w:r w:rsidR="00E254E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bookmarkStart w:id="0" w:name="тема32"/>
            <w:r w:rsidR="002F0D18" w:rsidRPr="002F0D18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3.2 Приготування </w:t>
            </w:r>
            <w:bookmarkEnd w:id="0"/>
            <w:r w:rsidR="00475F6D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та</w:t>
            </w:r>
            <w:r w:rsidR="002F0D18" w:rsidRPr="002F0D18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внесення мінеральних і органічних добрив</w:t>
            </w:r>
          </w:p>
        </w:tc>
      </w:tr>
      <w:tr w:rsidR="009C2AA5" w:rsidRPr="00CE2BBF" w:rsidTr="002F0D18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2F0D18" w:rsidRPr="002F0D18" w:rsidRDefault="002F0D18" w:rsidP="002F0D1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hyperlink w:anchor="Т321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1 Види добрив та їх класифікація</w:t>
              </w:r>
            </w:hyperlink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hyperlink w:anchor="Т322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2 Способи та технологічні схеми внесення добрив</w:t>
              </w:r>
            </w:hyperlink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hyperlink w:anchor="Т323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3 Агро</w:t>
              </w:r>
              <w:r w:rsidR="00475F6D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технічні вимоги до операцій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внесенн</w:t>
              </w:r>
              <w:r w:rsidR="00475F6D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я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мінеральних та органічних добрив</w:t>
              </w:r>
            </w:hyperlink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hyperlink w:anchor="Т324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4 Вибір комплекс</w:t>
              </w:r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ів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машин для внесення мінеральних </w:t>
              </w:r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та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органічних добрив</w:t>
              </w:r>
            </w:hyperlink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hyperlink w:anchor="Т325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5 Технологічн</w:t>
              </w:r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е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нала</w:t>
              </w:r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го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д</w:t>
              </w:r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ження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агрегатів на заданий режим роботи</w:t>
              </w:r>
            </w:hyperlink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hyperlink w:anchor="Т326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6 Підготовка поля. Вибір режиму та способу руху агрегатів</w:t>
              </w:r>
            </w:hyperlink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hyperlink w:anchor="Т328" w:history="1"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7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Контроль і оцін</w:t>
              </w:r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ювання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роботи машинно-тракторних агрегатів</w:t>
              </w:r>
            </w:hyperlink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hyperlink w:anchor="Т3210" w:history="1"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8</w:t>
              </w:r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 xml:space="preserve"> </w:t>
              </w:r>
              <w:r w:rsidR="003177A3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Заходи з охорони праці під час виконання операцій внесення органічних і мінеральних добрив</w:t>
              </w:r>
            </w:hyperlink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</w:pPr>
            <w:bookmarkStart w:id="1" w:name="Т321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1 Види </w:t>
            </w:r>
            <w:bookmarkEnd w:id="1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добрив та їх класифікація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FF0000"/>
                <w:sz w:val="16"/>
                <w:szCs w:val="16"/>
                <w:lang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(відео: </w:t>
            </w:r>
            <w:hyperlink r:id="rId8" w:history="1">
              <w:r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епізод 9 внесення орг. добрив</w:t>
              </w:r>
            </w:hyperlink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; </w:t>
            </w:r>
          </w:p>
          <w:p w:rsidR="002F0D18" w:rsidRPr="002F0D18" w:rsidRDefault="00BE6DFE" w:rsidP="002F0D18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b/>
                <w:color w:val="0000FF"/>
                <w:sz w:val="16"/>
                <w:szCs w:val="16"/>
                <w:lang w:val="uk-UA" w:eastAsia="ru-RU"/>
              </w:rPr>
            </w:pPr>
            <w:hyperlink r:id="rId9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http://www.youtube.com/watch?v=weRhlfwxF9Y</w:t>
              </w:r>
            </w:hyperlink>
            <w:r w:rsidR="002F0D18"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;)</w:t>
            </w:r>
          </w:p>
          <w:p w:rsidR="002F0D18" w:rsidRPr="002F0D18" w:rsidRDefault="002F0D18" w:rsidP="002F0D18">
            <w:pPr>
              <w:tabs>
                <w:tab w:val="left" w:pos="7785"/>
              </w:tabs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За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видом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добрива діляться на органічні, мінеральні і бактеріальні.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Органічні добрива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>бувають: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тверді (гній, торф тощо), 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рідкі (гноївка) 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сидеральні (зелені рослини, які приорюють, наприклад, люпин).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Мінеральні добрива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розділ</w:t>
            </w:r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ють за </w:t>
            </w:r>
            <w:r w:rsidRPr="000726CD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принципом дії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: 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прямої дії – азотні, калійні, фосфорні і мікродобрива (залізо, хлор, молібден) – надходять для живлення рослин;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не прямої дії (гіпс, вапно) – поліпшують властивості ґрунтів, хоч для живлення рослин їх не використовують.</w:t>
            </w:r>
          </w:p>
          <w:p w:rsidR="002F0D18" w:rsidRPr="002F0D18" w:rsidRDefault="002F0D18" w:rsidP="002F0D18">
            <w:pPr>
              <w:tabs>
                <w:tab w:val="left" w:pos="7785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Мінеральні добрива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u w:val="single"/>
                <w:lang w:val="uk-UA" w:eastAsia="ru-RU"/>
              </w:rPr>
              <w:t>вносять у твердому вигляді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(гранульовані і пилоподібні) і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u w:val="single"/>
                <w:lang w:val="uk-UA" w:eastAsia="ru-RU"/>
              </w:rPr>
              <w:t>рідкому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(аміачна вода, безводний аміак). Крім того використовують різні розчини твердих добрив.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Бактеріальні добрива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(нітрагін, азотобактерин тощо)</w:t>
            </w: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сприяють нагромадженню в ґрунті азоту і переводять у засвоювані рослинами форми фосфорні добрива. Ними обробляють насіння перед сівбою. 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Класифікують добрива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за такими ознаками: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за властивостями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–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за гігроскопічністю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(здатністю вбирати вологу), </w:t>
            </w:r>
            <w:proofErr w:type="spellStart"/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розсіюваністю</w:t>
            </w:r>
            <w:proofErr w:type="spellEnd"/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 xml:space="preserve">, </w:t>
            </w:r>
            <w:proofErr w:type="spellStart"/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злежалістю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; 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за способом внесення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–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суцільного внесення, рядкового внесення і внесення з поливом водою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; </w:t>
            </w:r>
          </w:p>
          <w:p w:rsidR="002F0D18" w:rsidRDefault="002F0D18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за призначенням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–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основне внесення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(перед оранкою, лущенням, культивацією),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припосівне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(одночасно з сівбою або садіння),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підкормка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в різні періоди росту і розвитку рослин.</w:t>
            </w:r>
          </w:p>
          <w:p w:rsidR="00D208C0" w:rsidRPr="002F0D18" w:rsidRDefault="00D208C0" w:rsidP="002F0D18">
            <w:pPr>
              <w:shd w:val="clear" w:color="auto" w:fill="FFFFFF"/>
              <w:spacing w:after="0" w:line="360" w:lineRule="auto"/>
              <w:ind w:left="1413" w:right="284" w:hanging="420"/>
              <w:contextualSpacing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</w:pPr>
            <w:bookmarkStart w:id="2" w:name="Т322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2 Способи </w:t>
            </w:r>
            <w:bookmarkEnd w:id="2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та технологічні схеми внесення добрив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Ефективність добрив у значній мірі залежить від правильного сполучення прийомів їхнього внесення в ґрунт. Існують такі </w:t>
            </w: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u w:val="single"/>
                <w:lang w:val="uk-UA" w:eastAsia="ru-RU"/>
              </w:rPr>
              <w:t>способи використання добрив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: </w:t>
            </w:r>
          </w:p>
          <w:p w:rsidR="002F0D18" w:rsidRPr="000726CD" w:rsidRDefault="002F0D18" w:rsidP="000726CD">
            <w:pPr>
              <w:pStyle w:val="a9"/>
              <w:numPr>
                <w:ilvl w:val="0"/>
                <w:numId w:val="5"/>
              </w:numPr>
              <w:shd w:val="clear" w:color="auto" w:fill="FFFFFF"/>
              <w:spacing w:line="360" w:lineRule="auto"/>
              <w:ind w:right="284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0726C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суцільне внесення; </w:t>
            </w:r>
          </w:p>
          <w:p w:rsidR="002F0D18" w:rsidRPr="000726CD" w:rsidRDefault="002F0D18" w:rsidP="000726CD">
            <w:pPr>
              <w:pStyle w:val="a9"/>
              <w:numPr>
                <w:ilvl w:val="0"/>
                <w:numId w:val="5"/>
              </w:numPr>
              <w:shd w:val="clear" w:color="auto" w:fill="FFFFFF"/>
              <w:spacing w:line="360" w:lineRule="auto"/>
              <w:ind w:right="284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0726C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рядкове внесення; </w:t>
            </w:r>
          </w:p>
          <w:p w:rsidR="002F0D18" w:rsidRPr="000726CD" w:rsidRDefault="002F0D18" w:rsidP="000726CD">
            <w:pPr>
              <w:pStyle w:val="a9"/>
              <w:numPr>
                <w:ilvl w:val="0"/>
                <w:numId w:val="5"/>
              </w:numPr>
              <w:shd w:val="clear" w:color="auto" w:fill="FFFFFF"/>
              <w:spacing w:line="360" w:lineRule="auto"/>
              <w:ind w:right="284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0726C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внесення добрив з поливом.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За призначенням розрізняють такі способи внесення доб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softHyphen/>
              <w:t>рив:</w:t>
            </w:r>
          </w:p>
          <w:p w:rsidR="002F0D18" w:rsidRPr="000726CD" w:rsidRDefault="002F0D18" w:rsidP="000726CD">
            <w:pPr>
              <w:pStyle w:val="a9"/>
              <w:numPr>
                <w:ilvl w:val="0"/>
                <w:numId w:val="5"/>
              </w:numPr>
              <w:shd w:val="clear" w:color="auto" w:fill="FFFFFF"/>
              <w:spacing w:line="360" w:lineRule="auto"/>
              <w:ind w:right="284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0726C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основне (допосівне);</w:t>
            </w:r>
          </w:p>
          <w:p w:rsidR="002F0D18" w:rsidRPr="000726CD" w:rsidRDefault="002F0D18" w:rsidP="000726CD">
            <w:pPr>
              <w:pStyle w:val="a9"/>
              <w:numPr>
                <w:ilvl w:val="0"/>
                <w:numId w:val="5"/>
              </w:numPr>
              <w:shd w:val="clear" w:color="auto" w:fill="FFFFFF"/>
              <w:spacing w:line="360" w:lineRule="auto"/>
              <w:ind w:right="284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0726C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припосівне (рядкове);</w:t>
            </w:r>
          </w:p>
          <w:p w:rsidR="002F0D18" w:rsidRPr="000726CD" w:rsidRDefault="002F0D18" w:rsidP="000726CD">
            <w:pPr>
              <w:pStyle w:val="a9"/>
              <w:numPr>
                <w:ilvl w:val="0"/>
                <w:numId w:val="5"/>
              </w:numPr>
              <w:shd w:val="clear" w:color="auto" w:fill="FFFFFF"/>
              <w:spacing w:line="360" w:lineRule="auto"/>
              <w:ind w:right="284"/>
              <w:contextualSpacing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0726C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підживлення (післяпосівне).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Основне (допосівне) внесення добрив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. Частіше його виконують так. Добрива розсівають по поверхні ґрунту і негайно заробляють у </w:t>
            </w: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грунт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під час основного обро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softHyphen/>
              <w:t xml:space="preserve">бітку. Добрива треба заробляти під глибокий обробіток ґрунту у вологий шар, бо його призначення – задовольняти рослини елементами живлення протягом вегетаційного періоду. 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При поверхневому обробітку ґрунту добрива необхідно заробляти глибше, у вологий шар ґрунту (на глибину 15…18 см).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Органічні добрива в усіх зонах під всі культури вносять в основне удобрення і заробляють під час основного обробітку ґрунту.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Припосівне внесення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 – це внесення добрив під час сівби недалеко від рядків або гнізд. Основним завданням його є поліпшення живлення рослин на початку вегетації, коли в них ще слабко розвинена коренева система. У цей період рослини дуже чутливі до нестачі легкодоступних елементів живлення, особливо фосфору. Тому в рядки частіше вносять гранульований суперфосфат або гранульовані комплексні добрива, наприклад нітрофоску. Добрива в рядки вносять одночасно із сівбою на відстані 3…4 см збоку від рядка і на 5…6 см глибше загортання насіння. 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0D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          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(відео: </w:t>
            </w:r>
            <w:hyperlink r:id="rId10" w:history="1">
              <w:r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епізод 10 припосівне внесення добрив</w:t>
              </w:r>
            </w:hyperlink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)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Підживлення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 – це внесення добрив під час вегетації рослин для посилення живлення в певні періоди розвитку.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Роз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softHyphen/>
              <w:t>різняють підживлення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: кореневі і позакореневі (некореневі).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>Кореневе підживлення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– розміщення добрив в безпосередній близькості від кореневої системи.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>Некореневе підживлення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– це нанесення добрив на листки та інші наземні органи рослини (обприскування рослин розчинами слабої концентрації, як правило менше 1%). Його застосовують зде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softHyphen/>
              <w:t xml:space="preserve">більшого для посилення живлення азотом та мікроелементами. Таке підживлення дуже ефективне у районах достатнього зволоження і на ґрунтах з легким механічним складом.  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Залежно від застосованих технологічних засобів для підготовки і внесення добрив, типу змішувача, спеціальних транспортних засобів, відстані транспортування добрив від складу чи бурта до поля використовують різні </w:t>
            </w: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технологічні схеми внесення добрив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У загальному вигляді технологічна схема внесення добрив включає операції зберігання, змішування (при потребі), переванта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softHyphen/>
              <w:t>ження, розвантаження і внесення.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Технологічні схеми внесення дорив: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прямоточна, перевантажувальна, перевалочна. 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При </w:t>
            </w: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прямоточній схемі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 xml:space="preserve">добрива транспортують і розкидають одним і тим же агрегатом.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Ця схема доцільна, коли розміри ділянок великі, а відстань від складу до поля не перевищує 1,5…3 км. При цій схемі відпадає необхідність в додаткових навантажувальних і транспортних засобах, також зменшуються втрати добрив і простої агрегатів за організаційними причинами.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При </w:t>
            </w: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перевантажувальній схемі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>добрива доставляють від місця зберігання до поля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,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 xml:space="preserve">а в полі перевантажують їх в кузов розкидача.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При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 xml:space="preserve">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цій схемі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 xml:space="preserve">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застосовують спеціальні транспортні засоби ГАЗ-САЗ-3502, ЗСА-40, МТП-13 (шасі </w:t>
            </w: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КамАЗ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-5410), МТП-10 (шасі ЗИЛ-130). Дану схему внесення добрив застосовують, якщо ділянки великих розмірів і відстань від складу до поля більше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2F0D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val="uk-UA" w:eastAsia="ru-RU"/>
                </w:rPr>
                <w:t>5 км</w:t>
              </w:r>
            </w:smartTag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При </w:t>
            </w: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перевалочній схемі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, якщо ділянки розрізнені і невеликих розмірів, то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>до трактора з начіпним розкидачем приєднують двоосний тракторний причіп, який на складі завантажують добривами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. На полі причіп від’єднують і з нього добрива по мірі потреби завантажують в розкидач. В залежності від виробничих умов можливий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u w:val="single"/>
                <w:lang w:val="uk-UA" w:eastAsia="ru-RU"/>
              </w:rPr>
              <w:t>інший варіант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,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 xml:space="preserve">коли добрива завантажують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(ДТ-75М+ПФП-1,2; Т-1</w:t>
            </w:r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50+ПФП-2; МТЗ-8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0</w:t>
            </w:r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+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ПФ-0,75 тощо)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>доставляють в поле і розвантажують їх на краю ділянки на спеціально підготовлений майданчик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. З допомогою тракторних навантажувачів ці добрива завантажують в розкидачі (Т-150К+ПРТ-10; МТЗ-80+ПРТ-7,5; МТЗ-80+МТО-6; МТЗ-80+РОУ-6 тощо), які працюють тільки на внесення.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</w:pPr>
            <w:bookmarkStart w:id="3" w:name="Т323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3 Агро</w:t>
            </w:r>
            <w:bookmarkEnd w:id="3"/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технічні вимоги до операцій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внесенн</w:t>
            </w:r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я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мінеральних та органічних добрив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Агротехнічні вимоги при внесенні мінеральних добрив.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Нерівномірність внесення добрив для тукових сівалок не повинна перевищувати ± 15 %, а для розкидачів ± 25 %. Вологість мінеральних добрив, підготовлених до внесення, повинна забезпечувати нормальну роботу дозуючих апаратів. Розриви між суміжними проходами машин не допускаються. Допускається перекриття суміжних проходів не більше 6 % від ширини захвату агрегату. </w:t>
            </w: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Час між розкиданням і загортанням добрив – не більше 12 годин.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Не слід допускати поверхневого внесення мінеральних добрив в осінньо-зимовий період на дуже вологих і піщаних ґрунтах, на крутих схилах і на полях з нерівним рельєфом.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Агротехнічні вимоги при внесенні органічних добрив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. Добрива повинні бути однорідними за якістю, в них не повинно бути каменів та інших сторонніх предметів. Машини повинні забезпечувати своєчасне внесення певної норми добрив з рівномірним розподілом їх по полю. При внесенні дорив допускається відхилення від заданої норми не більше 5 % за масою. Нерівномірність не повинна перевищувати ± 25 %. Втрата поживних речовин повинна бути мінімальною. </w:t>
            </w: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Інтервал між внесенням і приорюванням органічних добрив не повинен перевищувати двох годин.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 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</w:pPr>
            <w:bookmarkStart w:id="4" w:name="Т324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4 Вибір </w:t>
            </w:r>
            <w:bookmarkEnd w:id="4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комплекс</w:t>
            </w:r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ів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машин для внесення мінеральних </w:t>
            </w:r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та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органічних добрив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Типи машин для внесення добрив вибирають залежно від виду, норми, способу і технологічної схеми внесення добрив, агротехнічних, екологічні їх, енергетичних і економічний вимог.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Склад агрегатів повинен забезпечувати якісне виконання робіт у встановленні </w:t>
            </w: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агростроки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при найменших витратах матеріалів.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При обґрунтуванні складу агрегатів та їх режиму роботи необхідно врахувати техніко-економічні показники агрегатів та якість виконання роботи.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При прямоточній і перевантажувальній схемах внесення добрив використовують навантажувальні агрегати: Т-150+ПФП-2, ДТ-75М+ ПФП-1,2, ДТ-75М+ТЛ-3А, МТЗ-80+ПЭА-1А, “Карпатець-1560С”, ДТ-75М+ПНД-250 тощо.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Для суцільного внесення твердих органічних добрив на поверхню ґрунту використовують агрегати: Т-150К чи ХТЗ-17021+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РТ-10; МТЗ-82+ПРТ-7,5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;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МТЗ-80+МТО-6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;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МТЗ-8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0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+Р0У-6 тощо.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Для внесення рідких органічних добрив використовують </w:t>
            </w: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аг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регати: МТЗ-80+РЖТ-4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;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Т-150К+РЖТ-8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;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К-701А+РЖТ-16.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Підвезення гноївки: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ab/>
              <w:t xml:space="preserve">МТЗ-80+ЗЖВ-3,2; </w:t>
            </w: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МТЗ-80+ЗЖВ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-1,8; МЖА-Ф-7 (шасі Урал-5557-041).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Для основного внесення мінеральних твердих добрив вико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softHyphen/>
              <w:t>ристовують агрегати: Т-150К+РУМ-8, Т-150К+МВУ-8Б, ЮМЗ-6Л+ 1РМГ-4Б.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Для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внесення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пиловидних добрив: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ab/>
              <w:t xml:space="preserve">МТЗ-80+МД-4 “Галичина”, Т-150К + РУП-8,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Э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СВМ-7 (шасі ХТЗ-1722І)+АВП-10.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Для внесення рідких мінеральних добрив використовують агрегати: Т-150К+ПЖУ-9, МТЗ-80+ПЖУ-5, </w:t>
            </w:r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МТЗ-80+КРН-5,6+ПЖУ-2,5, Т-70С або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МТЗ-80 + ПОМ-630-1.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Для внесення комплексних добрив використовують агрегати: Т-150К+АПВ-5, Т-150К+АВВ-5.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Для внесення безводного аміаку використовують агрегати: МТЗ-80+КПР-4М +АБА-0,5, МТЗ-80+КРН-5,6+АБА-0,5. 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FF0000"/>
                <w:sz w:val="16"/>
                <w:szCs w:val="16"/>
                <w:lang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   ( відео: </w:t>
            </w:r>
            <w:hyperlink r:id="rId11" w:history="1">
              <w:r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http://www.youtube.com/watch?v=2xtUXj9cMWc</w:t>
              </w:r>
            </w:hyperlink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;     </w:t>
            </w:r>
          </w:p>
          <w:p w:rsidR="002F0D18" w:rsidRPr="002F0D18" w:rsidRDefault="002F0D18" w:rsidP="002F0D18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    </w:t>
            </w:r>
            <w:hyperlink r:id="rId12" w:history="1">
              <w:r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https://www.youtube.com/watch?v=w7jqyh-ieus</w:t>
              </w:r>
            </w:hyperlink>
            <w:r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; </w:t>
            </w:r>
          </w:p>
          <w:p w:rsidR="002F0D18" w:rsidRDefault="00BE6DFE" w:rsidP="002F0D18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</w:pPr>
            <w:hyperlink r:id="rId13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http://www.youtube.com/watch?v=rolw3W9YAzQ</w:t>
              </w:r>
            </w:hyperlink>
            <w:r w:rsidR="002F0D18"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 xml:space="preserve">; </w:t>
            </w:r>
            <w:hyperlink r:id="rId14" w:history="1">
              <w:r w:rsidR="002F0D18" w:rsidRPr="002F0D18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val="uk-UA" w:eastAsia="ru-RU"/>
                </w:rPr>
                <w:t>http://www.youtube.com/watch?v=aLl38a0Gk_Q</w:t>
              </w:r>
            </w:hyperlink>
            <w:r w:rsidR="002F0D18" w:rsidRPr="002F0D18"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  <w:t>)</w:t>
            </w:r>
          </w:p>
          <w:p w:rsidR="000726CD" w:rsidRPr="002F0D18" w:rsidRDefault="000726CD" w:rsidP="002F0D18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FF0000"/>
                <w:sz w:val="16"/>
                <w:szCs w:val="16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</w:pPr>
            <w:bookmarkStart w:id="5" w:name="Т325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5 Технологічн</w:t>
            </w:r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е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bookmarkEnd w:id="5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нала</w:t>
            </w:r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го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д</w:t>
            </w:r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ження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агрегатів на заданий режим роботи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Склад агрегату повинен забезпечувати якісне виконання робіт у встановлені </w:t>
            </w: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агростроки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при найменших витратах матеріалів.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При обґрунтуванні складу агрегатів та їх режиму роботи необхідно враховувати техніко-економічні показники агрегатів та якість виконання роботи.  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 xml:space="preserve">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  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Комплексна оцінка експлуатаційних властивостей агрегатів дозволяє вибрати доцільний варіант комплектування агрегату для конкретних умов роботи. При цьому важливо забезпечити взаємини відповідності параметрів енергетичної частини та робочої машини.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Важливою складовою ланкою підготовки агрегату до виконання заданих умов є технологічна наладка агрегату, яка полягає в наступному: підготовка трактора до роботи; технологічна наладка робочої машини до роботи згідно заданих параметрів; комплектування агрегату; перевірка роботи агрегату в польових умовах.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Підготовка енергетичної частини агрегату залежить від виду і способу внесення добрив.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Загальні правила:</w:t>
            </w:r>
          </w:p>
          <w:p w:rsidR="002F0D18" w:rsidRPr="002F0D18" w:rsidRDefault="002F0D18" w:rsidP="002F0D1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right="284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Енергетична машина і робоча машина повинні бути комплектні і технічно справні.</w:t>
            </w:r>
          </w:p>
          <w:p w:rsidR="002F0D18" w:rsidRPr="002F0D18" w:rsidRDefault="002F0D18" w:rsidP="002F0D18">
            <w:pPr>
              <w:autoSpaceDE w:val="0"/>
              <w:autoSpaceDN w:val="0"/>
              <w:adjustRightInd w:val="0"/>
              <w:spacing w:after="0" w:line="360" w:lineRule="auto"/>
              <w:ind w:left="1286" w:right="284" w:hanging="360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При підживленні необхідно встановити задану колію та замінити широкі ведучі колеса на вузькі, а для гусеничних – широку гусеницю на вузьку. Якщо використовувати розкидачі РУМ-5-03 і РМГ-4Б з колією </w:t>
            </w:r>
            <w:smartTag w:uri="urn:schemas-microsoft-com:office:smarttags" w:element="metricconverter">
              <w:smartTagPr>
                <w:attr w:name="ProductID" w:val="1350 мм"/>
              </w:smartTagPr>
              <w:r w:rsidRPr="002F0D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val="uk-UA" w:eastAsia="ru-RU"/>
                </w:rPr>
                <w:t>1350 мм</w:t>
              </w:r>
            </w:smartTag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, то їх необхідно переобладнати, тобто встановити вузькі шини.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При підживленні зернових культур з технологічною колією </w:t>
            </w:r>
            <w:smartTag w:uri="urn:schemas-microsoft-com:office:smarttags" w:element="metricconverter">
              <w:smartTagPr>
                <w:attr w:name="ProductID" w:val="1800 мм"/>
              </w:smartTagPr>
              <w:r w:rsidRPr="002F0D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val="uk-UA" w:eastAsia="ru-RU"/>
                </w:rPr>
                <w:t>1800 мм</w:t>
              </w:r>
            </w:smartTag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і ходовими доріжками </w:t>
            </w:r>
            <w:smartTag w:uri="urn:schemas-microsoft-com:office:smarttags" w:element="metricconverter">
              <w:smartTagPr>
                <w:attr w:name="ProductID" w:val="450 мм"/>
              </w:smartTagPr>
              <w:r w:rsidRPr="002F0D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val="uk-UA" w:eastAsia="ru-RU"/>
                </w:rPr>
                <w:t>450 мм</w:t>
              </w:r>
            </w:smartTag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використовують розкидачі із звичайними шинами. Колія трактора становитиме </w:t>
            </w:r>
            <w:smartTag w:uri="urn:schemas-microsoft-com:office:smarttags" w:element="metricconverter">
              <w:smartTagPr>
                <w:attr w:name="ProductID" w:val="1800 мм"/>
              </w:smartTagPr>
              <w:r w:rsidRPr="002F0D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val="uk-UA" w:eastAsia="ru-RU"/>
                </w:rPr>
                <w:t>1800 мм</w:t>
              </w:r>
            </w:smartTag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Перед виїздом в поле у розкидачів регулюють натяг ланцюгів транспортерів, ланцюгів і пасів передач і запобіжні муфти.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Планки транспортерів повинні</w:t>
            </w:r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щільно прилягати до полу кузова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. Провисання ланцюгів нижніх гілок транспортерів не повинна перевищувати 20…30 мм. 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Основне регулювання машин для внесення добрив – встановлення но</w:t>
            </w:r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рми внесення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і рівномірності розподілу матеріалу.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Остаточно норму внесення добрив встановлюють при перших проходах шляхом визначення кількості внесених добрив на одиницю площі.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bookmarkStart w:id="6" w:name="Т326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6 Підготовка </w:t>
            </w:r>
            <w:bookmarkEnd w:id="6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поля. Вибір режиму та способу руху агрегатів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Перед початком робіт вибирають ефективну схему роботи машин, визначають напрямок робочих ходів агрегатів.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>Рух агрегатів повинен збігатися з напрямком попередньої оранки чи рухом збиральних машин.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Після цього відмічають поворотні смуги (якщо немає можливості проводити розвороти за межами поля) і провішують лінію першого проходу. </w:t>
            </w:r>
            <w:r w:rsidRPr="002F0D18">
              <w:rPr>
                <w:rFonts w:ascii="Tahoma" w:eastAsia="Times New Roman" w:hAnsi="Tahoma" w:cs="Tahoma"/>
                <w:color w:val="008000"/>
                <w:sz w:val="16"/>
                <w:szCs w:val="16"/>
                <w:lang w:val="uk-UA" w:eastAsia="ru-RU"/>
              </w:rPr>
              <w:t>Ширину поворотної смуги вибирають в залежності від складу агрегату та способу руху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Довжину гонів вибирають кратною запасу робочого ходу. Запас робочого ходу агрегату залежить від норми внесення добрив, робочої ширини захвату і визначаються </w:t>
            </w:r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за формулою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:</w:t>
            </w:r>
          </w:p>
          <w:p w:rsidR="002F0D18" w:rsidRPr="002F0D18" w:rsidRDefault="002F0D18" w:rsidP="002F0D18">
            <w:pPr>
              <w:tabs>
                <w:tab w:val="left" w:pos="0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tabs>
                <w:tab w:val="left" w:pos="0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0D18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val="uk-UA" w:eastAsia="ru-RU"/>
              </w:rPr>
              <w:object w:dxaOrig="120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85pt;height:36.95pt" o:ole="">
                  <v:imagedata r:id="rId15" o:title=""/>
                </v:shape>
                <o:OLEObject Type="Embed" ProgID="Equation.3" ShapeID="_x0000_i1025" DrawAspect="Content" ObjectID="_1603721122" r:id="rId16"/>
              </w:object>
            </w:r>
            <w:r w:rsidRPr="002F0D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</w:p>
          <w:p w:rsidR="002F0D18" w:rsidRPr="002F0D18" w:rsidRDefault="002F0D18" w:rsidP="002F0D18">
            <w:pPr>
              <w:tabs>
                <w:tab w:val="left" w:pos="0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де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l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– запас робочого ходу, м;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Q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– маса добрив в кузові розкидача, т;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 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 xml:space="preserve">В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– робоча ширина захвату, м;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  </w:t>
            </w:r>
            <w:r w:rsidRPr="002F0D18">
              <w:rPr>
                <w:rFonts w:ascii="Tahoma" w:eastAsia="Times New Roman" w:hAnsi="Tahoma" w:cs="Tahoma"/>
                <w:i/>
                <w:color w:val="000000"/>
                <w:sz w:val="16"/>
                <w:szCs w:val="16"/>
                <w:lang w:val="uk-UA" w:eastAsia="ru-RU"/>
              </w:rPr>
              <w:t>N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– доза внесення добрив, т/га.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На практиці можуть бути різні співвідношення між довжиною гонів і запасом робочого ходу. Для кожного з них залежно від технологічної схеми роботи машин існують свої найбільш доцільні варіанти розбивки поля.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При внесенні мінеральних добрив залежно від експлуатаційних даних машин та розмірів поля застосовують 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u w:val="single"/>
                <w:lang w:val="uk-UA" w:eastAsia="ru-RU"/>
              </w:rPr>
              <w:t>човниковий спосіб руху чи перекриттям.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Найбільш доцільний спосіб руху для </w:t>
            </w: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односівалкових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агрегатів, кузовних та начіпних розкидачів – човниковий. Агрегат необхідно вести в стороні від сліду коліс попереднього агрегату на відстані, яка дорівнює половині ширини захвату.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Під час роботи з широкозахватними аг</w:t>
            </w:r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регатами (</w:t>
            </w:r>
            <w:proofErr w:type="spellStart"/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три-</w:t>
            </w:r>
            <w:proofErr w:type="spellEnd"/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, </w:t>
            </w:r>
            <w:proofErr w:type="spellStart"/>
            <w:r w:rsidR="000726CD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чотирисівалкови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ми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), а також на малих полях найбільш ефективно застосовувати спосіб руху перекриттям. На перших проходах перевіряють фактичну дозу внесення добрив виходячи з кількості і засіяної площі, а також рівномірність розподілу добрив по ширині захвату.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При підживленні зернових колосових культур, що вирощують за інтенсивною технологією, доцільно використовувати розкидачі мінеральних добрив НРУ-0,5, РМС-6, 1РМГ-4Б та</w:t>
            </w:r>
            <w:r w:rsidR="003006B5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ін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Розкидачі НРУ-0,5, РУМ-5, РМС-6 слід використовувати при ширині технологічної колії </w:t>
            </w:r>
            <w:smartTag w:uri="urn:schemas-microsoft-com:office:smarttags" w:element="metricconverter">
              <w:smartTagPr>
                <w:attr w:name="ProductID" w:val="1350 мм"/>
              </w:smartTagPr>
              <w:r w:rsidRPr="002F0D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val="uk-UA" w:eastAsia="ru-RU"/>
                </w:rPr>
                <w:t>1350 мм</w:t>
              </w:r>
            </w:smartTag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та ширині ходових доріжок </w:t>
            </w:r>
            <w:smartTag w:uri="urn:schemas-microsoft-com:office:smarttags" w:element="metricconverter">
              <w:smartTagPr>
                <w:attr w:name="ProductID" w:val="300 мм"/>
              </w:smartTagPr>
              <w:r w:rsidRPr="002F0D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val="uk-UA" w:eastAsia="ru-RU"/>
                </w:rPr>
                <w:t>300 мм</w:t>
              </w:r>
            </w:smartTag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. При цьому на тракторі МТЗ-80 встановити задні колеса з вузькими шинами 9,42.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Спосіб руху агрегатів при розкидання органічних доб</w:t>
            </w:r>
            <w:r w:rsidR="003006B5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рив повинен бути таким, щоб була</w:t>
            </w: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мінімальна кількість холостих переїздів, не було розриву в часі між розкиданням і приорюванням добрив і було високе використання навантажувальних засобів. З урахуванням цих вимог спосіб руху розкидачів повинен бути узгоджений зі способом руху орних агрегатів.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Робота агрегатів в загінці проводиться у відповідності до розмітки поля і прийнятій технологічній схемі внесення добрив.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Розкидаючий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механізм агрегату включають при виїзді на контрольну лінію, або на край поля (при відсутності поворотної смуги). Швидкість руху агрегату повинна відповідати тій, на якій було проведено регулювання норми внесення добрив.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Поворот виконується при виключеному механізмі розкидача.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При перших проходах розкидачів на початку роботи слід уточнити правильність встановленої норми внесення і перевірити якість розкидання. При значному відхиленні фактичної норми внесення від заданої проводиться додаткове регулювання.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Після закінчення обробітку основного поля приступають до обробітку поворотних смуг. Схеми руху агрегатів на поворотних смугах аналогічні схемам руху на основному полі.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На протязі робочої зміни тракторист-машиніст повинен перевіряти якість внесення добрив.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bookmarkStart w:id="7" w:name="Т328"/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7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Контроль </w:t>
            </w:r>
            <w:bookmarkEnd w:id="7"/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і оцін</w:t>
            </w:r>
            <w:r w:rsidR="00BE6DFE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ювання</w:t>
            </w:r>
            <w:r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роботи машинно-тракторних агрегатів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240" w:lineRule="auto"/>
              <w:ind w:left="284" w:right="284"/>
              <w:jc w:val="right"/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eastAsia="ru-RU"/>
              </w:rPr>
            </w:pPr>
            <w:r w:rsidRPr="002F0D18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Таблиця 3.2.1 </w:t>
            </w:r>
          </w:p>
          <w:p w:rsidR="002F0D18" w:rsidRPr="002F0D18" w:rsidRDefault="002F0D18" w:rsidP="002F0D18">
            <w:pPr>
              <w:spacing w:after="0" w:line="240" w:lineRule="auto"/>
              <w:ind w:left="284" w:right="284"/>
              <w:jc w:val="center"/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Контроль і оцінка якості внесення органічних добрив</w:t>
            </w:r>
          </w:p>
          <w:p w:rsidR="002F0D18" w:rsidRPr="002F0D18" w:rsidRDefault="002F0D18" w:rsidP="002F0D18">
            <w:pPr>
              <w:spacing w:after="0" w:line="240" w:lineRule="auto"/>
              <w:ind w:firstLine="7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5"/>
              <w:gridCol w:w="3016"/>
              <w:gridCol w:w="1510"/>
              <w:gridCol w:w="974"/>
            </w:tblGrid>
            <w:tr w:rsidR="002F0D18" w:rsidRPr="002F0D18" w:rsidTr="00A90428">
              <w:trPr>
                <w:jc w:val="center"/>
              </w:trPr>
              <w:tc>
                <w:tcPr>
                  <w:tcW w:w="3528" w:type="dxa"/>
                  <w:vAlign w:val="center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  <w:t>Показники</w:t>
                  </w:r>
                </w:p>
              </w:tc>
              <w:tc>
                <w:tcPr>
                  <w:tcW w:w="3600" w:type="dxa"/>
                  <w:vAlign w:val="center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  <w:t>Способи визначення</w:t>
                  </w:r>
                </w:p>
              </w:tc>
              <w:tc>
                <w:tcPr>
                  <w:tcW w:w="1620" w:type="dxa"/>
                  <w:vAlign w:val="center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  <w:t>Градація нормативів</w:t>
                  </w:r>
                </w:p>
              </w:tc>
              <w:tc>
                <w:tcPr>
                  <w:tcW w:w="1084" w:type="dxa"/>
                  <w:vAlign w:val="center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  <w:t xml:space="preserve">Бали </w:t>
                  </w:r>
                </w:p>
              </w:tc>
            </w:tr>
            <w:tr w:rsidR="002F0D18" w:rsidRPr="002F0D18" w:rsidTr="00A90428">
              <w:trPr>
                <w:jc w:val="center"/>
              </w:trPr>
              <w:tc>
                <w:tcPr>
                  <w:tcW w:w="3528" w:type="dxa"/>
                </w:tcPr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Відхилення норми внесення від заданої, %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Нерівномірність розподілу, %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 xml:space="preserve">      по ширині захвату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 xml:space="preserve">      по довжині робочого ходу</w:t>
                  </w:r>
                </w:p>
              </w:tc>
              <w:tc>
                <w:tcPr>
                  <w:tcW w:w="3600" w:type="dxa"/>
                </w:tcPr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Перевіряють відповідність маси добрив фактичній площі її розподілу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Заміряють відстань між слідами коліс суміжних проходів</w:t>
                  </w:r>
                </w:p>
              </w:tc>
              <w:tc>
                <w:tcPr>
                  <w:tcW w:w="1620" w:type="dxa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± 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± 10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Більше ± 10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± 15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± 25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Більше ± 25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± 10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± 15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Більше ± 15</w:t>
                  </w:r>
                </w:p>
              </w:tc>
              <w:tc>
                <w:tcPr>
                  <w:tcW w:w="1084" w:type="dxa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3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2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1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3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2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1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3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2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1</w:t>
                  </w:r>
                </w:p>
              </w:tc>
            </w:tr>
          </w:tbl>
          <w:p w:rsidR="002F0D18" w:rsidRPr="002F0D18" w:rsidRDefault="002F0D18" w:rsidP="002F0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240" w:lineRule="auto"/>
              <w:ind w:left="284" w:right="284"/>
              <w:jc w:val="right"/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eastAsia="ru-RU"/>
              </w:rPr>
            </w:pPr>
            <w:r w:rsidRPr="002F0D18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Таблиця 3.2.2 </w:t>
            </w:r>
          </w:p>
          <w:p w:rsidR="002F0D18" w:rsidRPr="002F0D18" w:rsidRDefault="002F0D18" w:rsidP="002F0D18">
            <w:pPr>
              <w:spacing w:after="0" w:line="240" w:lineRule="auto"/>
              <w:ind w:left="284" w:right="284"/>
              <w:jc w:val="center"/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Контроль і оцінка якості внесення мінеральних добрив</w:t>
            </w:r>
          </w:p>
          <w:p w:rsidR="002F0D18" w:rsidRPr="002F0D18" w:rsidRDefault="002F0D18" w:rsidP="002F0D18">
            <w:pPr>
              <w:spacing w:after="0" w:line="240" w:lineRule="auto"/>
              <w:ind w:firstLine="7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58"/>
              <w:gridCol w:w="3811"/>
              <w:gridCol w:w="1399"/>
              <w:gridCol w:w="837"/>
            </w:tblGrid>
            <w:tr w:rsidR="002F0D18" w:rsidRPr="002F0D18" w:rsidTr="00A90428">
              <w:trPr>
                <w:jc w:val="center"/>
              </w:trPr>
              <w:tc>
                <w:tcPr>
                  <w:tcW w:w="2808" w:type="dxa"/>
                  <w:vAlign w:val="center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  <w:t>Показники</w:t>
                  </w:r>
                </w:p>
              </w:tc>
              <w:tc>
                <w:tcPr>
                  <w:tcW w:w="4646" w:type="dxa"/>
                  <w:vAlign w:val="center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  <w:t>Способи визначення</w:t>
                  </w:r>
                </w:p>
              </w:tc>
              <w:tc>
                <w:tcPr>
                  <w:tcW w:w="1474" w:type="dxa"/>
                  <w:vAlign w:val="center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  <w:t>Градація нормативів</w:t>
                  </w:r>
                </w:p>
              </w:tc>
              <w:tc>
                <w:tcPr>
                  <w:tcW w:w="904" w:type="dxa"/>
                  <w:vAlign w:val="center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b/>
                      <w:sz w:val="16"/>
                      <w:szCs w:val="16"/>
                      <w:lang w:val="uk-UA" w:eastAsia="ru-RU"/>
                    </w:rPr>
                    <w:t xml:space="preserve">Бали </w:t>
                  </w:r>
                </w:p>
              </w:tc>
            </w:tr>
            <w:tr w:rsidR="002F0D18" w:rsidRPr="002F0D18" w:rsidTr="00A90428">
              <w:trPr>
                <w:jc w:val="center"/>
              </w:trPr>
              <w:tc>
                <w:tcPr>
                  <w:tcW w:w="2808" w:type="dxa"/>
                </w:tcPr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Відхилення від норми внесення, %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Нерівномірність висіву добрив, %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 xml:space="preserve"> Перекриття стикових проходів, % від ширини захвату  </w:t>
                  </w:r>
                </w:p>
              </w:tc>
              <w:tc>
                <w:tcPr>
                  <w:tcW w:w="4646" w:type="dxa"/>
                </w:tcPr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Включа</w:t>
                  </w:r>
                  <w:r w:rsidR="003006B5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ють механізм подачі до заповнен</w:t>
                  </w: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ня висівн</w:t>
                  </w:r>
                  <w:r w:rsidR="003006B5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ої щілини. Після цього підстила</w:t>
                  </w: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ють чи підвішують брезент і протягом 1хв. прокручують машину. Висіяні добрива зважують. Операцію повторюють не менше трьох разів</w:t>
                  </w:r>
                  <w:r w:rsidR="003006B5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.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Жерстяні лотки розставляють на ширину робочого захвату агрегату. Добрива, зібрані з кожного лотка, зважують. Операцію повторюють не менше трьох разів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 xml:space="preserve">Не менше трьох разів вішкою відмічають ширину першого проходу, вимірюють ширину другого проходу  </w:t>
                  </w:r>
                </w:p>
              </w:tc>
              <w:tc>
                <w:tcPr>
                  <w:tcW w:w="1474" w:type="dxa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До ± 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До ± 10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Більше ± 10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До ± 10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До ± 25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Більше ± 25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До 3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До 5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Більше 5</w:t>
                  </w:r>
                </w:p>
              </w:tc>
              <w:tc>
                <w:tcPr>
                  <w:tcW w:w="904" w:type="dxa"/>
                </w:tcPr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3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2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0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3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2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1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3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2</w:t>
                  </w:r>
                </w:p>
                <w:p w:rsidR="002F0D18" w:rsidRPr="002F0D18" w:rsidRDefault="002F0D18" w:rsidP="002F0D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</w:pPr>
                  <w:r w:rsidRPr="002F0D18">
                    <w:rPr>
                      <w:rFonts w:ascii="Tahoma" w:eastAsia="Times New Roman" w:hAnsi="Tahoma" w:cs="Tahoma"/>
                      <w:sz w:val="16"/>
                      <w:szCs w:val="16"/>
                      <w:lang w:val="uk-UA" w:eastAsia="ru-RU"/>
                    </w:rPr>
                    <w:t>0</w:t>
                  </w:r>
                </w:p>
              </w:tc>
            </w:tr>
          </w:tbl>
          <w:p w:rsidR="002F0D18" w:rsidRPr="002F0D18" w:rsidRDefault="002F0D18" w:rsidP="002F0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Якість внесення добрив контролюють агроном і тракторист на початку роботи і на протязі зміни, а також по закінченню роботи. Показники якості внесення добрив наведені в таблицях 3.2.1 та 3.2.2. При значному відхиленні від нормативів роботу бракують.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uk-UA" w:eastAsia="ru-RU"/>
              </w:rPr>
            </w:pPr>
          </w:p>
          <w:p w:rsidR="002F0D18" w:rsidRPr="002F0D18" w:rsidRDefault="00BE6DFE" w:rsidP="002F0D18">
            <w:pPr>
              <w:spacing w:after="0" w:line="360" w:lineRule="auto"/>
              <w:ind w:left="284" w:right="284" w:firstLine="567"/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</w:pPr>
            <w:bookmarkStart w:id="8" w:name="Т3210"/>
            <w:r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8</w:t>
            </w:r>
            <w:r w:rsidR="002F0D18"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Заходи з охорони</w:t>
            </w:r>
            <w:r w:rsidR="002F0D18"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bookmarkEnd w:id="8"/>
            <w:r w:rsidR="002F0D18" w:rsidRPr="002F0D18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>праці</w:t>
            </w:r>
            <w:r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ru-RU"/>
              </w:rPr>
              <w:t xml:space="preserve"> під час виконання операцій внесення органічних і мінеральних добрив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Зберігання аміачної селітри разом з органічними матеріалами (торф, деревне вугілля, подрібнена солома тощо) може привести до вибуху, а зберігання аміачної селітри в паперових мішках під дією сонячного випромінювання спричиняє їх горіння.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В складських приміщеннях повинна бути вентиляція, так як з аміачної селітри виділяється аміак, який в суміші з повітрям вибухонебезпечний.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Потрапляння на шкіру водного розчину, чи безводного розчину аміаку спричиняє опіки, а при вдиханні – отруєння.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При транспортуванні водного розчину аміаку чи безводного треба ретельно перевіряти герметичність цистерни, щільність прилягання кранів, заглушок.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Агрегат, який вносить аміак, повинен бути оснащений двома </w:t>
            </w:r>
            <w:proofErr w:type="spellStart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вуглекислоброметиловими</w:t>
            </w:r>
            <w:proofErr w:type="spellEnd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 xml:space="preserve"> вогнегасниками, ланцюгом для заземлення та іскрогасником.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Механізатор повинен мати індивідуальні засоби захисту: спецодяг, респіратор, захисні рукавиці, окуляри.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bookmarkStart w:id="9" w:name="_GoBack"/>
            <w:bookmarkEnd w:id="9"/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Місткості для внесення рідкого аміаку заповнюються не більше 85%, а для водного аміаку не більше як на 90...93% від повного об’єму.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При внесенні аміаку курити суворо заборонено.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Експлуатаційні заходи передбачають такі режими роботи машин і обладнання, в результаті яких повністю виключається можливість виникнення, іскор і полум’я при роботі агрегатів.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Навантажувати мінеральні та органічні добрива дозволяється тільки в зоні дії стріли.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Переїжджати навантажувачу з вантажем забороняється.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Колеса навантажувача розставляють на максимально широку колію. Задні колеса під час навантаження загальмовують, а на передні закріплюють балансири.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  <w:t>Працівники, зайняті на внесенні добрив, особливо аміачної води, безводного аміаку, повинні обов’язково проходити медичний огляд.</w:t>
            </w: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2F0D18" w:rsidRPr="002F0D18" w:rsidRDefault="002F0D18" w:rsidP="002F0D18">
            <w:pPr>
              <w:tabs>
                <w:tab w:val="left" w:pos="6426"/>
              </w:tabs>
              <w:spacing w:after="0" w:line="240" w:lineRule="auto"/>
              <w:ind w:left="284" w:right="284"/>
              <w:jc w:val="center"/>
              <w:rPr>
                <w:rFonts w:ascii="Tahoma" w:eastAsia="Times New Roman" w:hAnsi="Tahoma" w:cs="Tahoma"/>
                <w:color w:val="2B587A"/>
                <w:sz w:val="28"/>
                <w:szCs w:val="28"/>
                <w:lang w:val="uk-UA" w:eastAsia="ru-RU"/>
              </w:rPr>
            </w:pPr>
            <w:r w:rsidRPr="002F0D18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Питання для самоконтролю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1. Які види добрив застосовують у рослинництві та їх основні властивості?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2. Які існують способи внесення добрив?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3. Проаналізуйте технологічні схеми внесення добрив.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 xml:space="preserve">4. Вкажіть загальні </w:t>
            </w:r>
            <w:proofErr w:type="spellStart"/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агровимоги</w:t>
            </w:r>
            <w:proofErr w:type="spellEnd"/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 xml:space="preserve"> до внесення добрив.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5. Проаналізуйте склад агрегатів для внесення добрив.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6 Вкажіть основні елементи регулювання і технологічної наладки агрегатів для внесення добрив.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7. Як розрахувати запас ходу агрегату за технологічною місткістю машини?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8. Охарактеризуйте складові елементи підготовки поля до роботи агрегатів.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9. За якими показниками оцінюють якість роботи агрегатів?</w:t>
            </w:r>
          </w:p>
          <w:p w:rsidR="002F0D18" w:rsidRPr="002F0D18" w:rsidRDefault="002F0D18" w:rsidP="002F0D18">
            <w:pPr>
              <w:spacing w:after="0" w:line="360" w:lineRule="auto"/>
              <w:ind w:left="284" w:right="284" w:firstLine="567"/>
              <w:rPr>
                <w:rFonts w:ascii="Tahoma" w:eastAsia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F0D18">
              <w:rPr>
                <w:rFonts w:ascii="Tahoma" w:eastAsia="Tahoma" w:hAnsi="Tahoma" w:cs="Tahoma"/>
                <w:color w:val="2B587A"/>
                <w:sz w:val="16"/>
                <w:lang w:val="uk-UA" w:eastAsia="ru-RU"/>
              </w:rPr>
              <w:t>10. Які вимоги охорони праці при зберіганні, транспортуванні і внесенні мінеральних добрив?</w:t>
            </w:r>
          </w:p>
          <w:p w:rsidR="009C2AA5" w:rsidRPr="00CE2BBF" w:rsidRDefault="009C2AA5" w:rsidP="00CE2BBF">
            <w:pPr>
              <w:spacing w:after="0" w:line="360" w:lineRule="auto"/>
              <w:ind w:left="214" w:right="213" w:firstLine="283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/>
              </w:rPr>
            </w:pPr>
          </w:p>
          <w:p w:rsidR="009C2AA5" w:rsidRPr="00CE2BBF" w:rsidRDefault="009C2AA5" w:rsidP="00982999">
            <w:pPr>
              <w:spacing w:after="0" w:line="360" w:lineRule="auto"/>
              <w:ind w:left="284" w:right="284" w:firstLine="567"/>
              <w:rPr>
                <w:sz w:val="20"/>
                <w:szCs w:val="20"/>
                <w:lang w:eastAsia="ru-RU"/>
              </w:rPr>
            </w:pPr>
          </w:p>
        </w:tc>
      </w:tr>
      <w:tr w:rsidR="009C2AA5" w:rsidRPr="00CE2BBF" w:rsidTr="002F0D18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E254EE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</w:t>
            </w: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E254EE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E254EE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2F0D18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6C4CFF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7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A18BA"/>
    <w:multiLevelType w:val="hybridMultilevel"/>
    <w:tmpl w:val="7C904004"/>
    <w:lvl w:ilvl="0" w:tplc="5762C164">
      <w:numFmt w:val="bullet"/>
      <w:pStyle w:val="item"/>
      <w:lvlText w:val="•"/>
      <w:lvlJc w:val="left"/>
      <w:pPr>
        <w:ind w:left="1413" w:hanging="420"/>
      </w:pPr>
      <w:rPr>
        <w:rFonts w:ascii="Tahoma" w:eastAsia="Times New Roman" w:hAnsi="Tahoma" w:cs="Tahoma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C0399"/>
    <w:multiLevelType w:val="hybridMultilevel"/>
    <w:tmpl w:val="D736AC94"/>
    <w:lvl w:ilvl="0" w:tplc="6F7C41A6">
      <w:numFmt w:val="bullet"/>
      <w:lvlText w:val="-"/>
      <w:lvlJc w:val="left"/>
      <w:pPr>
        <w:ind w:left="1353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11DDF"/>
    <w:rsid w:val="00004E08"/>
    <w:rsid w:val="000512FF"/>
    <w:rsid w:val="000726CD"/>
    <w:rsid w:val="00081100"/>
    <w:rsid w:val="00121885"/>
    <w:rsid w:val="00136FAB"/>
    <w:rsid w:val="00165250"/>
    <w:rsid w:val="001D0EE1"/>
    <w:rsid w:val="002B327A"/>
    <w:rsid w:val="002D3DF3"/>
    <w:rsid w:val="002F0D18"/>
    <w:rsid w:val="003006B5"/>
    <w:rsid w:val="003177A3"/>
    <w:rsid w:val="00336E60"/>
    <w:rsid w:val="00372773"/>
    <w:rsid w:val="0038189A"/>
    <w:rsid w:val="003E4593"/>
    <w:rsid w:val="00474D94"/>
    <w:rsid w:val="00475F6D"/>
    <w:rsid w:val="005035AE"/>
    <w:rsid w:val="00520793"/>
    <w:rsid w:val="00536498"/>
    <w:rsid w:val="005B2BC7"/>
    <w:rsid w:val="005B7062"/>
    <w:rsid w:val="005E0270"/>
    <w:rsid w:val="005F1E9E"/>
    <w:rsid w:val="00611DDF"/>
    <w:rsid w:val="00612873"/>
    <w:rsid w:val="00635AD8"/>
    <w:rsid w:val="00655CC0"/>
    <w:rsid w:val="00665ADA"/>
    <w:rsid w:val="006660DF"/>
    <w:rsid w:val="006B5259"/>
    <w:rsid w:val="006C4CFF"/>
    <w:rsid w:val="007107C7"/>
    <w:rsid w:val="0073719D"/>
    <w:rsid w:val="00756559"/>
    <w:rsid w:val="00791609"/>
    <w:rsid w:val="00847D76"/>
    <w:rsid w:val="00850EA1"/>
    <w:rsid w:val="00855055"/>
    <w:rsid w:val="009131AB"/>
    <w:rsid w:val="009510B9"/>
    <w:rsid w:val="009614FF"/>
    <w:rsid w:val="00982999"/>
    <w:rsid w:val="009A7753"/>
    <w:rsid w:val="009C2AA5"/>
    <w:rsid w:val="00A52D57"/>
    <w:rsid w:val="00AE2A40"/>
    <w:rsid w:val="00B05F82"/>
    <w:rsid w:val="00B2643D"/>
    <w:rsid w:val="00B52C48"/>
    <w:rsid w:val="00B6562E"/>
    <w:rsid w:val="00B813F7"/>
    <w:rsid w:val="00B84270"/>
    <w:rsid w:val="00BE6DFE"/>
    <w:rsid w:val="00C208AB"/>
    <w:rsid w:val="00C401A4"/>
    <w:rsid w:val="00C47874"/>
    <w:rsid w:val="00C50516"/>
    <w:rsid w:val="00C5254D"/>
    <w:rsid w:val="00C63EA4"/>
    <w:rsid w:val="00C867C8"/>
    <w:rsid w:val="00C8740E"/>
    <w:rsid w:val="00C90FEC"/>
    <w:rsid w:val="00CD33DA"/>
    <w:rsid w:val="00CD3853"/>
    <w:rsid w:val="00CE2BBF"/>
    <w:rsid w:val="00CF0E69"/>
    <w:rsid w:val="00D208C0"/>
    <w:rsid w:val="00D44765"/>
    <w:rsid w:val="00DB5ADB"/>
    <w:rsid w:val="00DD5A0F"/>
    <w:rsid w:val="00E028FE"/>
    <w:rsid w:val="00E169EA"/>
    <w:rsid w:val="00E254EE"/>
    <w:rsid w:val="00E42915"/>
    <w:rsid w:val="00E52560"/>
    <w:rsid w:val="00E54E3C"/>
    <w:rsid w:val="00E55618"/>
    <w:rsid w:val="00F345E8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customStyle="1" w:styleId="item">
    <w:name w:val="item"/>
    <w:basedOn w:val="a9"/>
    <w:qFormat/>
    <w:rsid w:val="00982999"/>
    <w:pPr>
      <w:numPr>
        <w:numId w:val="3"/>
      </w:numPr>
      <w:shd w:val="clear" w:color="auto" w:fill="FFFFFF"/>
      <w:autoSpaceDE/>
      <w:autoSpaceDN/>
      <w:adjustRightInd/>
      <w:spacing w:line="360" w:lineRule="auto"/>
      <w:ind w:right="284"/>
      <w:contextualSpacing/>
      <w:jc w:val="both"/>
    </w:pPr>
    <w:rPr>
      <w:rFonts w:ascii="Tahoma" w:hAnsi="Tahoma" w:cs="Tahoma"/>
      <w:color w:val="000000"/>
      <w:sz w:val="16"/>
      <w:szCs w:val="16"/>
      <w:lang w:val="uk-UA"/>
    </w:rPr>
  </w:style>
  <w:style w:type="paragraph" w:customStyle="1" w:styleId="numerical">
    <w:name w:val="numerical"/>
    <w:basedOn w:val="a9"/>
    <w:qFormat/>
    <w:rsid w:val="00982999"/>
    <w:pPr>
      <w:spacing w:line="360" w:lineRule="auto"/>
      <w:ind w:left="1286" w:right="284" w:hanging="360"/>
    </w:pPr>
    <w:rPr>
      <w:rFonts w:ascii="Tahoma" w:hAnsi="Tahoma" w:cs="Tahoma"/>
      <w:color w:val="000000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sers\EvgeNEO\Documents\&#1045;&#1051;%20&#1050;&#1053;\&#1074;&#1110;&#1076;&#1077;&#1086;%20&#1076;&#1086;%20&#1045;&#1055;\&#1077;&#1087;&#1110;&#1079;&#1086;&#1076;%209%20&#1074;&#1085;&#1077;&#1089;&#1077;&#1085;&#1085;&#1103;%20&#1086;&#1088;&#1075;.%20&#1076;&#1086;&#1073;&#1088;&#1080;&#1074;.mp4" TargetMode="External"/><Relationship Id="rId13" Type="http://schemas.openxmlformats.org/officeDocument/2006/relationships/hyperlink" Target="http://www.youtube.com/watch?v=rolw3W9YAzQ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file:///d:\Users\Program%20Files\Company\&#1058;&#1088;&#1072;&#1082;&#1090;&#1086;&#1088;&#1080;%20&#1110;%20&#1072;&#1074;&#1090;&#1086;&#1084;&#1086;&#1073;&#1110;&#1083;&#1110;\&#1051;&#1054;&#1043;&#1054;&#1058;&#1048;&#1055;.jpg" TargetMode="External"/><Relationship Id="rId12" Type="http://schemas.openxmlformats.org/officeDocument/2006/relationships/hyperlink" Target="https://www.youtube.com/watch?v=w7jqyh-ie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2xtUXj9cMW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10" Type="http://schemas.openxmlformats.org/officeDocument/2006/relationships/hyperlink" Target="file:///d:\Users\EvgeNEO\Documents\&#1045;&#1051;%20&#1050;&#1053;\&#1074;&#1110;&#1076;&#1077;&#1086;%20&#1076;&#1086;%20&#1045;&#1055;\&#1077;&#1087;&#1110;&#1079;&#1086;&#1076;%2010%20&#1087;&#1088;&#1080;&#1087;&#1086;&#1089;&#1110;&#1074;&#1085;&#1077;%20&#1074;&#1085;&#1077;&#1089;&#1077;&#1085;&#1085;&#1103;%20&#1076;&#1086;&#1073;&#1088;&#1080;&#1074;.mp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utube.com/watch?v=weRhlfwxF9Y" TargetMode="External"/><Relationship Id="rId14" Type="http://schemas.openxmlformats.org/officeDocument/2006/relationships/hyperlink" Target="http://www.youtube.com/watch?v=aLl38a0Gk_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BDE59-92B9-42DC-996E-42331B5C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2915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7</cp:revision>
  <cp:lastPrinted>2014-10-24T08:26:00Z</cp:lastPrinted>
  <dcterms:created xsi:type="dcterms:W3CDTF">2018-01-24T09:25:00Z</dcterms:created>
  <dcterms:modified xsi:type="dcterms:W3CDTF">2018-11-14T15:19:00Z</dcterms:modified>
</cp:coreProperties>
</file>