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C588E" w14:textId="44A8280F" w:rsidR="00B748A1" w:rsidRPr="00B748A1" w:rsidRDefault="00B748A1" w:rsidP="00B748A1">
      <w:pPr>
        <w:spacing w:line="360" w:lineRule="auto"/>
        <w:rPr>
          <w:rFonts w:ascii="Times New Roman" w:eastAsia="Arial" w:hAnsi="Times New Roman" w:cs="Times New Roman"/>
          <w:sz w:val="24"/>
          <w:szCs w:val="24"/>
        </w:rPr>
      </w:pPr>
      <w:bookmarkStart w:id="0" w:name="_GoBack"/>
      <w:r w:rsidRPr="00B748A1">
        <w:rPr>
          <w:rFonts w:ascii="Times New Roman" w:eastAsia="Arial" w:hAnsi="Times New Roman" w:cs="Times New Roman"/>
          <w:sz w:val="24"/>
          <w:szCs w:val="24"/>
        </w:rPr>
        <w:t># Resumo</w:t>
      </w:r>
    </w:p>
    <w:p w14:paraId="729DFEAC" w14:textId="77777777" w:rsidR="00B748A1" w:rsidRPr="001B21AA" w:rsidRDefault="00B748A1" w:rsidP="00B748A1">
      <w:pPr>
        <w:spacing w:line="360" w:lineRule="auto"/>
        <w:rPr>
          <w:rFonts w:ascii="Times New Roman" w:eastAsia="Arial" w:hAnsi="Times New Roman" w:cs="Times New Roman"/>
          <w:b/>
          <w:sz w:val="24"/>
          <w:szCs w:val="24"/>
        </w:rPr>
      </w:pPr>
      <w:r w:rsidRPr="001B21AA">
        <w:rPr>
          <w:rFonts w:ascii="Times New Roman" w:eastAsia="Arial" w:hAnsi="Times New Roman" w:cs="Times New Roman"/>
          <w:b/>
          <w:sz w:val="24"/>
          <w:szCs w:val="24"/>
        </w:rPr>
        <w:t xml:space="preserve">Este documento apresenta o relatório final da disciplina Tópicos Avançados em </w:t>
      </w:r>
      <w:bookmarkEnd w:id="0"/>
      <w:r w:rsidRPr="001B21AA">
        <w:rPr>
          <w:rFonts w:ascii="Times New Roman" w:eastAsia="Arial" w:hAnsi="Times New Roman" w:cs="Times New Roman"/>
          <w:b/>
          <w:sz w:val="24"/>
          <w:szCs w:val="24"/>
        </w:rPr>
        <w:t>Computadores - Turma D - 2018.2, do Departamento de Ciência da Computação da Universidade de Brasília, que trata da análise da produção científica e acadêmica na Universidade de Brasília, na área de ciências biológicas. Para isso, foi aplicada o modelo metodológico de mineração de dados denominado CRISP-DM e através dele foram dispostas diversas informações sobre a evolução destes programas de pós-graduação entre os anos de 2010 e 2017 (Fernandes et. al., 2018).</w:t>
      </w:r>
    </w:p>
    <w:p w14:paraId="32400A71" w14:textId="77777777" w:rsidR="00B748A1" w:rsidRPr="00B748A1" w:rsidRDefault="00B748A1" w:rsidP="00B748A1">
      <w:pPr>
        <w:spacing w:line="360" w:lineRule="auto"/>
        <w:rPr>
          <w:rFonts w:ascii="Times New Roman" w:eastAsia="Arial" w:hAnsi="Times New Roman" w:cs="Times New Roman"/>
          <w:sz w:val="24"/>
          <w:szCs w:val="24"/>
        </w:rPr>
      </w:pPr>
    </w:p>
    <w:p w14:paraId="0E8EEA37" w14:textId="0215AE1B" w:rsidR="00B748A1" w:rsidRPr="00B748A1" w:rsidRDefault="00B748A1" w:rsidP="00B748A1">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Introdução</w:t>
      </w:r>
    </w:p>
    <w:p w14:paraId="1BBBFED9"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Este trabalho visa, no contexto da pós-graduação do sentido amplo e restrito do Brasil, buscar relações e comparações entre os Programas de Pós-Graduação em Biologia Molecular, Biologia Animal, Biologia Microbiana e Patologia Molecular da Universidade de Brasília para sintetizar o panorama e o paradigma da pós-graduação nestes programas.</w:t>
      </w:r>
    </w:p>
    <w:p w14:paraId="162C8D85" w14:textId="77777777" w:rsidR="00B748A1" w:rsidRPr="00B748A1" w:rsidRDefault="00B748A1" w:rsidP="00B748A1">
      <w:pPr>
        <w:spacing w:line="360" w:lineRule="auto"/>
        <w:rPr>
          <w:rFonts w:ascii="Times New Roman" w:eastAsia="Arial" w:hAnsi="Times New Roman" w:cs="Times New Roman"/>
          <w:sz w:val="24"/>
          <w:szCs w:val="24"/>
        </w:rPr>
      </w:pPr>
    </w:p>
    <w:p w14:paraId="51CB03B4" w14:textId="14C4EF71" w:rsidR="00B748A1" w:rsidRPr="00B748A1" w:rsidRDefault="00B748A1" w:rsidP="00B748A1">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CRISP-DM:</w:t>
      </w:r>
    </w:p>
    <w:p w14:paraId="3C63FE1A" w14:textId="6292DBB8"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A metodologia para desenvolvimento do relatório é baseada no modelo de mineração de dados denominado CRISP-DM (Chapman et al., 2000, Mariscal et al., 2010). Este modelo é caracterizado por um projeto dividido em seis fases, as quais serão tratadas</w:t>
      </w:r>
      <w:r>
        <w:rPr>
          <w:rFonts w:ascii="Times New Roman" w:eastAsia="Arial" w:hAnsi="Times New Roman" w:cs="Times New Roman"/>
          <w:sz w:val="24"/>
          <w:szCs w:val="24"/>
        </w:rPr>
        <w:t xml:space="preserve"> ao longo das seções seguintes.</w:t>
      </w:r>
    </w:p>
    <w:p w14:paraId="6317F64C"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Fase 1) Entendimento do negócio: Busca definir um problema de mineração de dados com base nos objetivos e necessidades do projeto.</w:t>
      </w:r>
    </w:p>
    <w:p w14:paraId="2950AD0F"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Fase 2) Entendimento dos dados: Consiste na coleta e descrição dos dados, incluindo uma análise de qualidade e quantidade dos mesmos - necessários para avaliar a viabilidade do projeto.</w:t>
      </w:r>
    </w:p>
    <w:p w14:paraId="170BDE0F"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Fase 3) Preparação dos dados: Consiste na estruturação dos dados capturados, incluindo uma fase de limpeza de dados indesejados ou inconsistentes. Esta fase tem como objetivo produzir datasets prontos para análises estatísticas e produção de gráficos.</w:t>
      </w:r>
    </w:p>
    <w:p w14:paraId="3D52B579"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lastRenderedPageBreak/>
        <w:t>- Fase 4) Modelagem: Envolve a construção e revisão de modelos estatísticos de interesse para o projeto, além de testes para descarte dos modelos produzidos que não atingirem o grau desejado de confiabilidade.</w:t>
      </w:r>
    </w:p>
    <w:p w14:paraId="2908BC80"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Fase 5) Avaliação: Consiste na avaliação dos resultados e do processo como um todo, revisando se todas as questões relevantes para o projeto foram abordadas adequadamente.</w:t>
      </w:r>
    </w:p>
    <w:p w14:paraId="4F34304C"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Fase 6) Implementação: Consiste no planejamento e implementação dos entregáveis finais desenvolvidos pelo projeto, incluindo monitoramento e manutenção dos mesmos.</w:t>
      </w:r>
    </w:p>
    <w:p w14:paraId="202DBD7C" w14:textId="77777777" w:rsidR="00B748A1" w:rsidRPr="00B748A1" w:rsidRDefault="00B748A1" w:rsidP="00B748A1">
      <w:pPr>
        <w:spacing w:line="360" w:lineRule="auto"/>
        <w:rPr>
          <w:rFonts w:ascii="Times New Roman" w:eastAsia="Arial" w:hAnsi="Times New Roman" w:cs="Times New Roman"/>
          <w:sz w:val="24"/>
          <w:szCs w:val="24"/>
        </w:rPr>
      </w:pPr>
    </w:p>
    <w:p w14:paraId="15CB0AC7"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##CRISP-DM Fase 1 - Entendimento do Negócio</w:t>
      </w:r>
    </w:p>
    <w:p w14:paraId="4F11A12E" w14:textId="37041682"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##O que é o Sistema Nacional de Pós-Graduação?</w:t>
      </w:r>
    </w:p>
    <w:p w14:paraId="191F0BE9"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xml:space="preserve">O Programa de Pós-Graduação é o conjugado formado pelos cursos de mestrado e/ou doutorado acadêmicos ou de mestrado profissional de uma Instituição de Ensino Superior - IES atuante numa mesma área do conhecimento (sua área básica) que partilha essencialmente o mesmo corpo docente e tem uma estrutura administrativa comum. Programas são divididos em acadêmicos ou profissionais, de acordo com os cursos. </w:t>
      </w:r>
      <w:commentRangeStart w:id="1"/>
      <w:r w:rsidRPr="00B748A1">
        <w:rPr>
          <w:rFonts w:ascii="Times New Roman" w:eastAsia="Arial" w:hAnsi="Times New Roman" w:cs="Times New Roman"/>
          <w:sz w:val="24"/>
          <w:szCs w:val="24"/>
        </w:rPr>
        <w:t>(Leite, ?).</w:t>
      </w:r>
      <w:commentRangeEnd w:id="1"/>
      <w:r>
        <w:commentReference w:id="1"/>
      </w:r>
    </w:p>
    <w:p w14:paraId="5718B8FE"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O sistema nacional de pós-graduação engloba todo programa de pós graduação no Brasil e o CAPES e o responsável pelo processo de acompanhamento e  avaliação  da  qualidade  dos  programas  de  pós-graduação. Cabe à CAPES constituir as normas específicas para a sistematização de avaliação, delineando as etapas, critérios e ferramentas utilizadas no processo.  (Silveira e Neto, 2016).</w:t>
      </w:r>
    </w:p>
    <w:p w14:paraId="6A7DCFD2"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xml:space="preserve">O sistema nacional de pós-graduação tem vários objetivos dentre eles: fortalecer as bases cientifica e tecnológicas de inovação; formação adequada de docentes para todos os níveis de ensino; formação de quadros para mercados não acadêmicos; diminuir as desigualdades acadêmicas entre as regiões do país; preservação do sistema nacional de avaliação de qualidade da pós-graduação brasileira, como um sistema de certificação e referência para a distribuição de bolsas e recursos para o fomento à pesquisa; avaliação da produção tecnológica e seu impacto e relevância para o setor econômico; incentivo à inovação; diversificar o sistema de avaliação de forma a permitir a análise de diferentes modelos de pós-graduação; introduzir procedimentos que contemplem aspectos qualitativos dos programas de pós-graduação; estimular à pós-graduação, apresentando constantes </w:t>
      </w:r>
      <w:r w:rsidRPr="00B748A1">
        <w:rPr>
          <w:rFonts w:ascii="Times New Roman" w:eastAsia="Arial" w:hAnsi="Times New Roman" w:cs="Times New Roman"/>
          <w:sz w:val="24"/>
          <w:szCs w:val="24"/>
        </w:rPr>
        <w:lastRenderedPageBreak/>
        <w:t>atualizações dos indicadores qualitativos e quantitativos, orientando a formação de recursos humanos e a pesquisa na direção das fronteiras do conhecimento e das precedências estratégicas do País.  (Nunes, 2009).</w:t>
      </w:r>
    </w:p>
    <w:p w14:paraId="122730DC" w14:textId="77777777" w:rsidR="00B748A1" w:rsidRPr="00B748A1" w:rsidRDefault="00B748A1" w:rsidP="00B748A1">
      <w:pPr>
        <w:spacing w:line="360" w:lineRule="auto"/>
        <w:rPr>
          <w:rFonts w:ascii="Times New Roman" w:eastAsia="Arial" w:hAnsi="Times New Roman" w:cs="Times New Roman"/>
          <w:sz w:val="24"/>
          <w:szCs w:val="24"/>
        </w:rPr>
      </w:pPr>
    </w:p>
    <w:p w14:paraId="4346B2D6" w14:textId="61CE7122"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Os Colégios, Grandes áreas e ár</w:t>
      </w:r>
      <w:r>
        <w:rPr>
          <w:rFonts w:ascii="Times New Roman" w:eastAsia="Arial" w:hAnsi="Times New Roman" w:cs="Times New Roman"/>
          <w:sz w:val="24"/>
          <w:szCs w:val="24"/>
        </w:rPr>
        <w:t>eas da Pós-Graduação Brasileira</w:t>
      </w:r>
    </w:p>
    <w:p w14:paraId="77D40A85" w14:textId="3E8BC554" w:rsidR="00B748A1" w:rsidRPr="00B748A1" w:rsidRDefault="00B748A1" w:rsidP="00B748A1">
      <w:pPr>
        <w:spacing w:line="360" w:lineRule="auto"/>
        <w:rPr>
          <w:rFonts w:ascii="Times New Roman" w:eastAsia="Arial" w:hAnsi="Times New Roman" w:cs="Times New Roman"/>
          <w:sz w:val="24"/>
          <w:szCs w:val="24"/>
        </w:rPr>
      </w:pPr>
      <w:r w:rsidRPr="007A761C">
        <w:rPr>
          <w:rFonts w:ascii="Times New Roman" w:eastAsia="Arial" w:hAnsi="Times New Roman" w:cs="Times New Roman"/>
          <w:sz w:val="24"/>
          <w:szCs w:val="24"/>
        </w:rPr>
        <w:t>A partir de 2018, as diversas áreas da pós-graduação brasileira foram organizadas na forma de colégios, grandes áreas e áreas. Os colégios fora</w:t>
      </w:r>
      <w:r w:rsidR="007A761C">
        <w:rPr>
          <w:rFonts w:ascii="Times New Roman" w:eastAsia="Arial" w:hAnsi="Times New Roman" w:cs="Times New Roman"/>
          <w:sz w:val="24"/>
          <w:szCs w:val="24"/>
        </w:rPr>
        <w:t>m separados da seguinte formar:</w:t>
      </w:r>
    </w:p>
    <w:p w14:paraId="115E7CE1" w14:textId="6E5AA64E"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Colégio de Ciências da Vida - que contempla as grandes áreas de Ciências Agrárias, Ciências B</w:t>
      </w:r>
      <w:r>
        <w:rPr>
          <w:rFonts w:ascii="Times New Roman" w:eastAsia="Arial" w:hAnsi="Times New Roman" w:cs="Times New Roman"/>
          <w:sz w:val="24"/>
          <w:szCs w:val="24"/>
        </w:rPr>
        <w:t xml:space="preserve">iológicas e Ciências da Saúde. </w:t>
      </w:r>
    </w:p>
    <w:p w14:paraId="468F762A" w14:textId="79B6235F"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xml:space="preserve">- Colégio de Ciências Exatas, Tecnológicas e Multidisciplinar - que contempla as grandes áreas de Ciencias Exatas e da Terra, </w:t>
      </w:r>
      <w:r>
        <w:rPr>
          <w:rFonts w:ascii="Times New Roman" w:eastAsia="Arial" w:hAnsi="Times New Roman" w:cs="Times New Roman"/>
          <w:sz w:val="24"/>
          <w:szCs w:val="24"/>
        </w:rPr>
        <w:t>Engenharias e Multidisciplinar.</w:t>
      </w:r>
    </w:p>
    <w:p w14:paraId="20AF8580" w14:textId="25575370" w:rsid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Colégio de Humanidades - que contempla as grandes áreas de Ciencias Humanas, Ciencias Sociais Aplicadas</w:t>
      </w:r>
      <w:r>
        <w:rPr>
          <w:rFonts w:ascii="Times New Roman" w:eastAsia="Arial" w:hAnsi="Times New Roman" w:cs="Times New Roman"/>
          <w:sz w:val="24"/>
          <w:szCs w:val="24"/>
        </w:rPr>
        <w:t xml:space="preserve"> e Linguistica, Letras e Artes.</w:t>
      </w:r>
    </w:p>
    <w:p w14:paraId="6F3F5A78" w14:textId="4977C825" w:rsidR="007A761C" w:rsidRPr="007A761C" w:rsidRDefault="007A761C" w:rsidP="007A761C">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Cada um dos </w:t>
      </w:r>
      <w:r w:rsidRPr="007A761C">
        <w:rPr>
          <w:rFonts w:ascii="Times New Roman" w:eastAsia="Arial" w:hAnsi="Times New Roman" w:cs="Times New Roman"/>
          <w:sz w:val="24"/>
          <w:szCs w:val="24"/>
        </w:rPr>
        <w:t>colégios, grandes áreas e áreas de conhecimento</w:t>
      </w:r>
      <w:r>
        <w:rPr>
          <w:rFonts w:ascii="Times New Roman" w:eastAsia="Arial" w:hAnsi="Times New Roman" w:cs="Times New Roman"/>
          <w:sz w:val="24"/>
          <w:szCs w:val="24"/>
        </w:rPr>
        <w:t xml:space="preserve"> possui suas particularidades e não podem ser avaliadas de forma igual. Cada qual deve ser analisada e avaliada conforme o documento de área disponível em Capes (2018</w:t>
      </w:r>
      <w:r w:rsidRPr="007A761C">
        <w:rPr>
          <w:rFonts w:ascii="Times New Roman" w:eastAsia="Arial" w:hAnsi="Times New Roman" w:cs="Times New Roman"/>
          <w:sz w:val="24"/>
          <w:szCs w:val="24"/>
        </w:rPr>
        <w:t>). (Fernandes et. al., 2018).</w:t>
      </w:r>
    </w:p>
    <w:p w14:paraId="2F2CC474" w14:textId="1670E347" w:rsidR="00B748A1" w:rsidRPr="007A761C" w:rsidRDefault="00B748A1" w:rsidP="00B748A1">
      <w:pPr>
        <w:spacing w:line="360" w:lineRule="auto"/>
        <w:rPr>
          <w:rFonts w:ascii="Times New Roman" w:eastAsia="Arial" w:hAnsi="Times New Roman" w:cs="Times New Roman"/>
          <w:b/>
          <w:sz w:val="24"/>
          <w:szCs w:val="24"/>
        </w:rPr>
      </w:pPr>
    </w:p>
    <w:p w14:paraId="435412AB" w14:textId="0D97E1F5" w:rsid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##A UnB dentro do Si</w:t>
      </w:r>
      <w:r>
        <w:rPr>
          <w:rFonts w:ascii="Times New Roman" w:eastAsia="Arial" w:hAnsi="Times New Roman" w:cs="Times New Roman"/>
          <w:sz w:val="24"/>
          <w:szCs w:val="24"/>
        </w:rPr>
        <w:t>stema Nacional de Pós-Graduação</w:t>
      </w:r>
    </w:p>
    <w:p w14:paraId="39D64149" w14:textId="162495E7" w:rsidR="007A761C" w:rsidRPr="00985292" w:rsidRDefault="007A761C" w:rsidP="00B748A1">
      <w:pPr>
        <w:spacing w:line="360" w:lineRule="auto"/>
        <w:rPr>
          <w:rFonts w:ascii="Times New Roman" w:eastAsia="Arial" w:hAnsi="Times New Roman" w:cs="Times New Roman"/>
          <w:b/>
          <w:sz w:val="24"/>
          <w:szCs w:val="24"/>
        </w:rPr>
      </w:pPr>
      <w:r>
        <w:rPr>
          <w:rFonts w:ascii="Times New Roman" w:eastAsia="Arial" w:hAnsi="Times New Roman" w:cs="Times New Roman"/>
          <w:sz w:val="24"/>
          <w:szCs w:val="24"/>
        </w:rPr>
        <w:t xml:space="preserve">A produção cientifica na UnB é umas das mais importantes do país. </w:t>
      </w:r>
      <w:r w:rsidR="00985292">
        <w:rPr>
          <w:rFonts w:ascii="Times New Roman" w:eastAsia="Arial" w:hAnsi="Times New Roman" w:cs="Times New Roman"/>
          <w:sz w:val="24"/>
          <w:szCs w:val="24"/>
        </w:rPr>
        <w:t>De acordo com o Plano de Internacionalização da Universidade de Brasília a produção aumentou em aspecto de qualidade e quantidade no período de 2011 a 2016.</w:t>
      </w:r>
      <w:r w:rsidR="00985292" w:rsidRPr="00985292">
        <w:rPr>
          <w:rFonts w:ascii="Times New Roman" w:eastAsia="Arial" w:hAnsi="Times New Roman" w:cs="Times New Roman"/>
          <w:b/>
          <w:sz w:val="24"/>
          <w:szCs w:val="24"/>
        </w:rPr>
        <w:t xml:space="preserve"> </w:t>
      </w:r>
      <w:r w:rsidR="00985292" w:rsidRPr="00985292">
        <w:rPr>
          <w:rFonts w:ascii="Times New Roman" w:eastAsia="Arial" w:hAnsi="Times New Roman" w:cs="Times New Roman"/>
          <w:sz w:val="24"/>
          <w:szCs w:val="24"/>
        </w:rPr>
        <w:t>(SciVal, 2018).</w:t>
      </w:r>
    </w:p>
    <w:p w14:paraId="36B0FA8A" w14:textId="34E02F09"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![production](~/Repository/DataScience/DS4A-BioAni-BioMic-BioMol-PatMol-</w:t>
      </w:r>
      <w:r>
        <w:rPr>
          <w:rFonts w:ascii="Times New Roman" w:eastAsia="Arial" w:hAnsi="Times New Roman" w:cs="Times New Roman"/>
          <w:sz w:val="24"/>
          <w:szCs w:val="24"/>
        </w:rPr>
        <w:t>master/Imagem1.jpg)</w:t>
      </w:r>
    </w:p>
    <w:p w14:paraId="3E8853AE"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![impact](~/Repository/DataScience/DS4A-BioAni-BioMic-BioMol-PatMol-master/Imagem2.jpg)</w:t>
      </w:r>
    </w:p>
    <w:p w14:paraId="67FC478F" w14:textId="045426DB" w:rsidR="00B748A1" w:rsidRPr="00B748A1" w:rsidRDefault="001B21AA" w:rsidP="00B748A1">
      <w:pPr>
        <w:spacing w:line="360" w:lineRule="auto"/>
        <w:rPr>
          <w:rFonts w:ascii="Times New Roman" w:eastAsia="Arial" w:hAnsi="Times New Roman" w:cs="Times New Roman"/>
          <w:sz w:val="24"/>
          <w:szCs w:val="24"/>
        </w:rPr>
      </w:pPr>
      <w:r w:rsidRPr="00985292">
        <w:rPr>
          <w:rFonts w:ascii="Times New Roman" w:eastAsia="Arial" w:hAnsi="Times New Roman" w:cs="Times New Roman"/>
          <w:i/>
          <w:sz w:val="24"/>
          <w:szCs w:val="24"/>
        </w:rPr>
        <w:t>“</w:t>
      </w:r>
      <w:r w:rsidR="00B748A1" w:rsidRPr="00985292">
        <w:rPr>
          <w:rFonts w:ascii="Times New Roman" w:eastAsia="Arial" w:hAnsi="Times New Roman" w:cs="Times New Roman"/>
          <w:i/>
          <w:sz w:val="24"/>
          <w:szCs w:val="24"/>
        </w:rPr>
        <w:t>Um impacto normalizado de 1,00 significa que a produção teve comportamento similar à média global. Um impacto superior a 1,00 indica maior citação que a média (por exemplo, um impacto de 1,50 indica 50% a mais de citação) enquanto um impacto inferior a 1,00 indica citação inferior à média</w:t>
      </w:r>
      <w:r w:rsidRPr="00985292">
        <w:rPr>
          <w:rFonts w:ascii="Times New Roman" w:eastAsia="Arial" w:hAnsi="Times New Roman" w:cs="Times New Roman"/>
          <w:i/>
          <w:sz w:val="24"/>
          <w:szCs w:val="24"/>
        </w:rPr>
        <w:t>.”</w:t>
      </w:r>
      <w:r w:rsidR="00B748A1">
        <w:rPr>
          <w:rFonts w:ascii="Times New Roman" w:eastAsia="Arial" w:hAnsi="Times New Roman" w:cs="Times New Roman"/>
          <w:sz w:val="24"/>
          <w:szCs w:val="24"/>
        </w:rPr>
        <w:t xml:space="preserve"> </w:t>
      </w:r>
      <w:r w:rsidR="00B748A1" w:rsidRPr="00985292">
        <w:rPr>
          <w:rFonts w:ascii="Times New Roman" w:eastAsia="Arial" w:hAnsi="Times New Roman" w:cs="Times New Roman"/>
          <w:i/>
          <w:sz w:val="24"/>
          <w:szCs w:val="24"/>
        </w:rPr>
        <w:t>(SeCom, 2018, Adaptado).</w:t>
      </w:r>
    </w:p>
    <w:p w14:paraId="70B246FC" w14:textId="6CCB81B6"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lastRenderedPageBreak/>
        <w:t>Em 2011, o impacto normalizado por citação foi, de acordo com o gráfico, de aproximadamente 0.85, o que indica que os pesquisadores da UnB foram 15% menos citados do que a média global. Similarmente em 2013, ouve uma redução branda no número de pesquisadores citados. Entretanto, de 2013 até 2016 ouve um aumento considerável nesse impacto normalizado - os pesquisadores da UnB atingiram índice de impacto por citação de 1.45 em 2016, sendo 45% mais citados qu</w:t>
      </w:r>
      <w:r>
        <w:rPr>
          <w:rFonts w:ascii="Times New Roman" w:eastAsia="Arial" w:hAnsi="Times New Roman" w:cs="Times New Roman"/>
          <w:sz w:val="24"/>
          <w:szCs w:val="24"/>
        </w:rPr>
        <w:t>e a média global.</w:t>
      </w:r>
      <w:r w:rsidR="00893AC6">
        <w:rPr>
          <w:rFonts w:ascii="Times New Roman" w:eastAsia="Arial" w:hAnsi="Times New Roman" w:cs="Times New Roman"/>
          <w:sz w:val="24"/>
          <w:szCs w:val="24"/>
        </w:rPr>
        <w:t xml:space="preserve"> </w:t>
      </w:r>
      <w:r>
        <w:rPr>
          <w:rFonts w:ascii="Times New Roman" w:eastAsia="Arial" w:hAnsi="Times New Roman" w:cs="Times New Roman"/>
          <w:sz w:val="24"/>
          <w:szCs w:val="24"/>
        </w:rPr>
        <w:t>(SeCom, 2018).</w:t>
      </w:r>
    </w:p>
    <w:p w14:paraId="3AC24644" w14:textId="48DA3028" w:rsidR="00B748A1" w:rsidRDefault="00985292" w:rsidP="00B748A1">
      <w:pPr>
        <w:spacing w:line="360" w:lineRule="auto"/>
        <w:rPr>
          <w:rFonts w:ascii="Times New Roman" w:eastAsia="Arial" w:hAnsi="Times New Roman" w:cs="Times New Roman"/>
          <w:sz w:val="24"/>
          <w:szCs w:val="24"/>
        </w:rPr>
      </w:pPr>
      <w:r w:rsidRPr="00985292">
        <w:rPr>
          <w:rFonts w:ascii="Times New Roman" w:eastAsia="Arial" w:hAnsi="Times New Roman" w:cs="Times New Roman"/>
          <w:sz w:val="24"/>
          <w:szCs w:val="24"/>
        </w:rPr>
        <w:t>“</w:t>
      </w:r>
      <w:r w:rsidR="00B748A1" w:rsidRPr="00985292">
        <w:rPr>
          <w:rFonts w:ascii="Times New Roman" w:eastAsia="Arial" w:hAnsi="Times New Roman" w:cs="Times New Roman"/>
          <w:sz w:val="24"/>
          <w:szCs w:val="24"/>
        </w:rPr>
        <w:t>Esse aumento na produção cientifica está diretamente associada ao aumento no número de docentes da Universidade. Entre os anos de 2009 e 2013, 577 professores ingressaram no quadro permanente da instituição, com um aumento de 32%. Entre 2013 e 2016, este aumento foi de 185 docentes (8%)</w:t>
      </w:r>
      <w:r w:rsidRPr="00985292">
        <w:rPr>
          <w:rFonts w:ascii="Times New Roman" w:eastAsia="Arial" w:hAnsi="Times New Roman" w:cs="Times New Roman"/>
          <w:sz w:val="24"/>
          <w:szCs w:val="24"/>
        </w:rPr>
        <w:t>.”</w:t>
      </w:r>
      <w:r w:rsidR="00B748A1" w:rsidRPr="00985292">
        <w:rPr>
          <w:rFonts w:ascii="Times New Roman" w:eastAsia="Arial" w:hAnsi="Times New Roman" w:cs="Times New Roman"/>
          <w:sz w:val="24"/>
          <w:szCs w:val="24"/>
        </w:rPr>
        <w:t xml:space="preserve"> (SeCom, 2018).</w:t>
      </w:r>
      <w:r w:rsidR="00B748A1" w:rsidRPr="00B748A1">
        <w:rPr>
          <w:rFonts w:ascii="Times New Roman" w:eastAsia="Arial" w:hAnsi="Times New Roman" w:cs="Times New Roman"/>
          <w:sz w:val="24"/>
          <w:szCs w:val="24"/>
        </w:rPr>
        <w:t xml:space="preserve"> Com um quadro de professores maior espera-se naturalmente uma maior produção de artigos e </w:t>
      </w:r>
      <w:r w:rsidRPr="00B748A1">
        <w:rPr>
          <w:rFonts w:ascii="Times New Roman" w:eastAsia="Arial" w:hAnsi="Times New Roman" w:cs="Times New Roman"/>
          <w:sz w:val="24"/>
          <w:szCs w:val="24"/>
        </w:rPr>
        <w:t>outras matérias</w:t>
      </w:r>
      <w:r w:rsidR="00B748A1" w:rsidRPr="00B748A1">
        <w:rPr>
          <w:rFonts w:ascii="Times New Roman" w:eastAsia="Arial" w:hAnsi="Times New Roman" w:cs="Times New Roman"/>
          <w:sz w:val="24"/>
          <w:szCs w:val="24"/>
        </w:rPr>
        <w:t xml:space="preserve"> científicos pela UnB.</w:t>
      </w:r>
      <w:r>
        <w:rPr>
          <w:rFonts w:ascii="Times New Roman" w:eastAsia="Arial" w:hAnsi="Times New Roman" w:cs="Times New Roman"/>
          <w:sz w:val="24"/>
          <w:szCs w:val="24"/>
        </w:rPr>
        <w:t xml:space="preserve"> </w:t>
      </w:r>
      <w:r w:rsidR="00B748A1" w:rsidRPr="00B748A1">
        <w:rPr>
          <w:rFonts w:ascii="Times New Roman" w:eastAsia="Arial" w:hAnsi="Times New Roman" w:cs="Times New Roman"/>
          <w:sz w:val="24"/>
          <w:szCs w:val="24"/>
        </w:rPr>
        <w:t>(SeCom, 2018).</w:t>
      </w:r>
    </w:p>
    <w:p w14:paraId="08715ECB" w14:textId="77777777" w:rsidR="00985292" w:rsidRPr="00B748A1" w:rsidRDefault="00985292" w:rsidP="00B748A1">
      <w:pPr>
        <w:spacing w:line="360" w:lineRule="auto"/>
        <w:rPr>
          <w:rFonts w:ascii="Times New Roman" w:eastAsia="Arial" w:hAnsi="Times New Roman" w:cs="Times New Roman"/>
          <w:sz w:val="24"/>
          <w:szCs w:val="24"/>
        </w:rPr>
      </w:pPr>
    </w:p>
    <w:p w14:paraId="25FBA827" w14:textId="4989AC4F" w:rsidR="6A0C3B43" w:rsidRPr="00B748A1" w:rsidRDefault="00B748A1" w:rsidP="00B748A1">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Contextualização dos Programas</w:t>
      </w:r>
    </w:p>
    <w:p w14:paraId="6A26CF7E" w14:textId="451CA2EC" w:rsidR="00B748A1" w:rsidRPr="00B748A1" w:rsidRDefault="6A0C3B43" w:rsidP="00B748A1">
      <w:pPr>
        <w:pStyle w:val="PargrafodaLista"/>
        <w:numPr>
          <w:ilvl w:val="0"/>
          <w:numId w:val="1"/>
        </w:numPr>
        <w:spacing w:line="360" w:lineRule="auto"/>
        <w:rPr>
          <w:rFonts w:ascii="Times New Roman" w:hAnsi="Times New Roman" w:cs="Times New Roman"/>
          <w:color w:val="000000" w:themeColor="text1"/>
          <w:sz w:val="24"/>
          <w:szCs w:val="24"/>
        </w:rPr>
      </w:pPr>
      <w:r w:rsidRPr="00B748A1">
        <w:rPr>
          <w:rFonts w:ascii="Times New Roman" w:eastAsia="Arial" w:hAnsi="Times New Roman" w:cs="Times New Roman"/>
          <w:color w:val="000000" w:themeColor="text1"/>
          <w:sz w:val="24"/>
          <w:szCs w:val="24"/>
        </w:rPr>
        <w:t>Ciências Biológicas I</w:t>
      </w:r>
    </w:p>
    <w:p w14:paraId="63D3BF0F" w14:textId="77777777" w:rsidR="00B748A1" w:rsidRPr="00B748A1" w:rsidRDefault="00B748A1" w:rsidP="00B748A1">
      <w:pPr>
        <w:pStyle w:val="NormalWeb"/>
        <w:spacing w:line="360" w:lineRule="auto"/>
        <w:rPr>
          <w:color w:val="000000"/>
          <w:bdr w:val="none" w:sz="0" w:space="0" w:color="auto" w:frame="1"/>
          <w:shd w:val="clear" w:color="auto" w:fill="FFFFFF"/>
        </w:rPr>
      </w:pPr>
      <w:r w:rsidRPr="00B748A1">
        <w:rPr>
          <w:color w:val="212121"/>
          <w:bdr w:val="none" w:sz="0" w:space="0" w:color="auto" w:frame="1"/>
        </w:rPr>
        <w:t>A forma de avaliação da Capes para os programas de </w:t>
      </w:r>
      <w:r w:rsidRPr="00B748A1">
        <w:rPr>
          <w:color w:val="000000"/>
          <w:bdr w:val="none" w:sz="0" w:space="0" w:color="auto" w:frame="1"/>
          <w:shd w:val="clear" w:color="auto" w:fill="FFFFFF"/>
        </w:rPr>
        <w:t xml:space="preserve">Pós-Graduação em Biologia Molecular e Biologia Animal da Universidade de Brasília é determinada pela área 06 que se trata sobre ciências biológicas com atuação nas áreas de Genética, Biologia Geral, Biologia Molecular, Biologia Celular, Biologia do Desenvolvimento, Bioinformática e Biologia de Sistemas. </w:t>
      </w:r>
    </w:p>
    <w:p w14:paraId="4D558A13" w14:textId="58711054" w:rsidR="00B748A1" w:rsidRPr="00B748A1" w:rsidRDefault="00B748A1" w:rsidP="00B748A1">
      <w:pPr>
        <w:pStyle w:val="NormalWeb"/>
        <w:spacing w:line="360" w:lineRule="auto"/>
        <w:rPr>
          <w:color w:val="000000" w:themeColor="text1"/>
        </w:rPr>
      </w:pPr>
      <w:r w:rsidRPr="18705DF5">
        <w:rPr>
          <w:color w:val="000000" w:themeColor="text1"/>
        </w:rPr>
        <w:t xml:space="preserve">Há pouco tempo à área de ciências biológicas I passou por mudanças no arranjo dos Programas de Pós-Graduação (PPG) componentes para atender padrões de qualificação e a especialização das Áreas. Isso demonstra algo muito bom, pois a CAPES tem formado novas Áreas que atendem melhor aos critérios característicos de avaliação, resultando em Áreas de Avaliação padronizadas e admitindo maior integração entre os PPG. </w:t>
      </w:r>
      <w:r w:rsidR="18705DF5" w:rsidRPr="18705DF5">
        <w:rPr>
          <w:color w:val="000000" w:themeColor="text1"/>
        </w:rPr>
        <w:t>(Capes, 2016).</w:t>
      </w:r>
    </w:p>
    <w:p w14:paraId="32A179ED" w14:textId="5367C65E" w:rsidR="18705DF5" w:rsidRDefault="18705DF5" w:rsidP="18705DF5">
      <w:pPr>
        <w:pStyle w:val="NormalWeb"/>
        <w:spacing w:line="360" w:lineRule="auto"/>
        <w:rPr>
          <w:color w:val="000000" w:themeColor="text1"/>
        </w:rPr>
      </w:pPr>
      <w:r w:rsidRPr="18705DF5">
        <w:rPr>
          <w:color w:val="000000" w:themeColor="text1"/>
        </w:rPr>
        <w:t xml:space="preserve">A interdisciplinaridade e um fator importante e que caracteriza bem a área de ciências biológicas I. Os programas de pós-graduação que pertencem essa área são compostos por docentes com distintas formações profissionais principalmente em áreas com relação direta com a área de biológicas. O conjunto formado pela união desses profissionais reflete no progresso e desenvolvimento de extrema importância nessas áreas. Este lado multidisciplinar é importante e necessário ser mantido para se compreender e desenvolver melhor técnicas, </w:t>
      </w:r>
      <w:r w:rsidRPr="18705DF5">
        <w:rPr>
          <w:color w:val="000000" w:themeColor="text1"/>
        </w:rPr>
        <w:lastRenderedPageBreak/>
        <w:t>pesquisas, metodologias, etc. A união destas áreas vem desenvolvendo os núcleos de pesquisa em pós-graduação de maneira muito positiva. (Capes, 2016).</w:t>
      </w:r>
    </w:p>
    <w:p w14:paraId="2E99360C" w14:textId="022F63D3" w:rsidR="18705DF5" w:rsidRDefault="18705DF5" w:rsidP="18705DF5">
      <w:pPr>
        <w:pStyle w:val="NormalWeb"/>
        <w:spacing w:line="360" w:lineRule="auto"/>
        <w:rPr>
          <w:color w:val="000000" w:themeColor="text1"/>
        </w:rPr>
      </w:pPr>
      <w:r w:rsidRPr="18705DF5">
        <w:rPr>
          <w:color w:val="000000" w:themeColor="text1"/>
        </w:rPr>
        <w:t>Os referentes de maior peso da Ficha de Avaliação dos programas de pós-graduação na área de ciências biológicas I constituem-se dos tópicos: Corpo Docente, Corpo Discente, Teses, Dissertações e Produção Intelectual. De maneira que se busque o desenvolvimento acadêmico e tecnológico dos programas avaliados e da área de maneira geral. Todo o processo de avaliação dos programas de pós-graduação leva em consideração as atividades do conjugado de Docentes e Discentes. (Capes, 2016).</w:t>
      </w:r>
    </w:p>
    <w:p w14:paraId="69CA1E5A" w14:textId="77777777" w:rsidR="00B748A1" w:rsidRPr="00B748A1" w:rsidRDefault="00B748A1" w:rsidP="00B748A1">
      <w:pPr>
        <w:pStyle w:val="NormalWeb"/>
        <w:spacing w:line="360" w:lineRule="auto"/>
      </w:pPr>
      <w:r w:rsidRPr="00B748A1">
        <w:rPr>
          <w:color w:val="000000"/>
        </w:rPr>
        <w:t>Abaixo apresenta-se a forma de avaliação e cada peso dos respectivos quesitos avaliados na área de Ciências Biológicas I.</w:t>
      </w:r>
    </w:p>
    <w:p w14:paraId="2D0D741C" w14:textId="21FB0F12" w:rsidR="00541678" w:rsidRDefault="00541678" w:rsidP="00B748A1">
      <w:pPr>
        <w:spacing w:line="360" w:lineRule="auto"/>
        <w:rPr>
          <w:rFonts w:ascii="Times New Roman" w:hAnsi="Times New Roman" w:cs="Times New Roman"/>
          <w:sz w:val="24"/>
          <w:szCs w:val="24"/>
        </w:rPr>
      </w:pPr>
    </w:p>
    <w:tbl>
      <w:tblPr>
        <w:tblStyle w:val="TabeladeGradeClara"/>
        <w:tblW w:w="7387" w:type="dxa"/>
        <w:jc w:val="center"/>
        <w:tblLook w:val="04A0" w:firstRow="1" w:lastRow="0" w:firstColumn="1" w:lastColumn="0" w:noHBand="0" w:noVBand="1"/>
      </w:tblPr>
      <w:tblGrid>
        <w:gridCol w:w="2462"/>
        <w:gridCol w:w="2462"/>
        <w:gridCol w:w="2463"/>
      </w:tblGrid>
      <w:tr w:rsidR="00EE0F67" w:rsidRPr="00C853B4" w14:paraId="0353AF27" w14:textId="77777777" w:rsidTr="00EE0F67">
        <w:trPr>
          <w:trHeight w:val="179"/>
          <w:jc w:val="center"/>
        </w:trPr>
        <w:tc>
          <w:tcPr>
            <w:tcW w:w="2462" w:type="dxa"/>
            <w:tcBorders>
              <w:top w:val="single" w:sz="12" w:space="0" w:color="auto"/>
              <w:bottom w:val="single" w:sz="12" w:space="0" w:color="auto"/>
            </w:tcBorders>
            <w:vAlign w:val="center"/>
          </w:tcPr>
          <w:p w14:paraId="3AFE020C" w14:textId="77777777" w:rsidR="00EE0F67" w:rsidRPr="00C853B4" w:rsidRDefault="00EE0F67" w:rsidP="00EE0F67">
            <w:pPr>
              <w:spacing w:line="360" w:lineRule="auto"/>
              <w:jc w:val="center"/>
              <w:rPr>
                <w:rFonts w:cs="Arial"/>
                <w:i/>
                <w:color w:val="000000" w:themeColor="text1"/>
              </w:rPr>
            </w:pPr>
            <w:r w:rsidRPr="00C853B4">
              <w:rPr>
                <w:rFonts w:cs="Arial"/>
                <w:i/>
                <w:color w:val="000000" w:themeColor="text1"/>
              </w:rPr>
              <w:t>Quesitos</w:t>
            </w:r>
          </w:p>
        </w:tc>
        <w:tc>
          <w:tcPr>
            <w:tcW w:w="2462" w:type="dxa"/>
            <w:tcBorders>
              <w:top w:val="single" w:sz="12" w:space="0" w:color="auto"/>
              <w:bottom w:val="single" w:sz="12" w:space="0" w:color="auto"/>
            </w:tcBorders>
            <w:vAlign w:val="center"/>
          </w:tcPr>
          <w:p w14:paraId="3DA15722" w14:textId="77777777" w:rsidR="00EE0F67" w:rsidRPr="00C853B4" w:rsidRDefault="00EE0F67" w:rsidP="00EE0F67">
            <w:pPr>
              <w:spacing w:line="360" w:lineRule="auto"/>
              <w:jc w:val="center"/>
              <w:rPr>
                <w:rFonts w:cs="Arial"/>
                <w:i/>
                <w:color w:val="000000" w:themeColor="text1"/>
              </w:rPr>
            </w:pPr>
            <w:r w:rsidRPr="00C853B4">
              <w:rPr>
                <w:rFonts w:cs="Arial"/>
                <w:i/>
                <w:color w:val="000000" w:themeColor="text1"/>
              </w:rPr>
              <w:t>Pesos para Mestrado Acadêmico e Doutorado</w:t>
            </w:r>
          </w:p>
        </w:tc>
        <w:tc>
          <w:tcPr>
            <w:tcW w:w="2463" w:type="dxa"/>
            <w:tcBorders>
              <w:top w:val="single" w:sz="12" w:space="0" w:color="auto"/>
              <w:bottom w:val="single" w:sz="12" w:space="0" w:color="auto"/>
            </w:tcBorders>
            <w:vAlign w:val="center"/>
          </w:tcPr>
          <w:p w14:paraId="719885D8" w14:textId="77777777" w:rsidR="00EE0F67" w:rsidRPr="00C853B4" w:rsidRDefault="00EE0F67" w:rsidP="00EE0F67">
            <w:pPr>
              <w:spacing w:line="360" w:lineRule="auto"/>
              <w:jc w:val="center"/>
              <w:rPr>
                <w:rFonts w:cs="Arial"/>
                <w:i/>
                <w:color w:val="000000" w:themeColor="text1"/>
              </w:rPr>
            </w:pPr>
            <w:r w:rsidRPr="00C853B4">
              <w:rPr>
                <w:rFonts w:cs="Arial"/>
                <w:i/>
                <w:color w:val="000000" w:themeColor="text1"/>
              </w:rPr>
              <w:t>Pesos para Mestrados Profissionais</w:t>
            </w:r>
          </w:p>
        </w:tc>
      </w:tr>
      <w:tr w:rsidR="00EE0F67" w:rsidRPr="00C853B4" w14:paraId="43E182D5" w14:textId="77777777" w:rsidTr="00EE0F67">
        <w:trPr>
          <w:trHeight w:val="179"/>
          <w:jc w:val="center"/>
        </w:trPr>
        <w:tc>
          <w:tcPr>
            <w:tcW w:w="2462" w:type="dxa"/>
            <w:tcBorders>
              <w:top w:val="single" w:sz="12" w:space="0" w:color="auto"/>
            </w:tcBorders>
            <w:vAlign w:val="center"/>
          </w:tcPr>
          <w:p w14:paraId="3C730C10" w14:textId="77777777" w:rsidR="00EE0F67" w:rsidRPr="00C853B4" w:rsidRDefault="00EE0F67" w:rsidP="00EE0F67">
            <w:pPr>
              <w:spacing w:line="360" w:lineRule="auto"/>
              <w:rPr>
                <w:rFonts w:cs="Arial"/>
                <w:color w:val="000000" w:themeColor="text1"/>
              </w:rPr>
            </w:pPr>
            <w:r w:rsidRPr="00C853B4">
              <w:rPr>
                <w:rFonts w:cs="Arial"/>
                <w:color w:val="000000" w:themeColor="text1"/>
              </w:rPr>
              <w:t>1.Proposta do Programa</w:t>
            </w:r>
          </w:p>
        </w:tc>
        <w:tc>
          <w:tcPr>
            <w:tcW w:w="2462" w:type="dxa"/>
            <w:tcBorders>
              <w:top w:val="single" w:sz="12" w:space="0" w:color="auto"/>
            </w:tcBorders>
            <w:vAlign w:val="center"/>
          </w:tcPr>
          <w:p w14:paraId="24A291B1"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w:t>
            </w:r>
          </w:p>
        </w:tc>
        <w:tc>
          <w:tcPr>
            <w:tcW w:w="2463" w:type="dxa"/>
            <w:tcBorders>
              <w:top w:val="single" w:sz="12" w:space="0" w:color="auto"/>
            </w:tcBorders>
            <w:vAlign w:val="center"/>
          </w:tcPr>
          <w:p w14:paraId="0BBBEF8C"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w:t>
            </w:r>
          </w:p>
        </w:tc>
      </w:tr>
      <w:tr w:rsidR="00EE0F67" w:rsidRPr="00C853B4" w14:paraId="30C9534A" w14:textId="77777777" w:rsidTr="00EE0F67">
        <w:trPr>
          <w:trHeight w:val="86"/>
          <w:jc w:val="center"/>
        </w:trPr>
        <w:tc>
          <w:tcPr>
            <w:tcW w:w="2462" w:type="dxa"/>
            <w:vAlign w:val="center"/>
          </w:tcPr>
          <w:p w14:paraId="3D650F54" w14:textId="77777777" w:rsidR="00EE0F67" w:rsidRPr="00C853B4" w:rsidRDefault="00EE0F67" w:rsidP="00EE0F67">
            <w:pPr>
              <w:spacing w:line="360" w:lineRule="auto"/>
              <w:rPr>
                <w:rFonts w:cs="Arial"/>
                <w:color w:val="000000" w:themeColor="text1"/>
              </w:rPr>
            </w:pPr>
            <w:r w:rsidRPr="00C853B4">
              <w:rPr>
                <w:rFonts w:cs="Arial"/>
                <w:color w:val="000000" w:themeColor="text1"/>
              </w:rPr>
              <w:t>2.Corpo Docente</w:t>
            </w:r>
          </w:p>
        </w:tc>
        <w:tc>
          <w:tcPr>
            <w:tcW w:w="2462" w:type="dxa"/>
            <w:vAlign w:val="center"/>
          </w:tcPr>
          <w:p w14:paraId="6909DD35"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20%</w:t>
            </w:r>
          </w:p>
        </w:tc>
        <w:tc>
          <w:tcPr>
            <w:tcW w:w="2463" w:type="dxa"/>
            <w:vAlign w:val="center"/>
          </w:tcPr>
          <w:p w14:paraId="3A783656"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20%</w:t>
            </w:r>
          </w:p>
        </w:tc>
      </w:tr>
      <w:tr w:rsidR="00EE0F67" w:rsidRPr="00C853B4" w14:paraId="2C259F78" w14:textId="77777777" w:rsidTr="00EE0F67">
        <w:trPr>
          <w:trHeight w:val="179"/>
          <w:jc w:val="center"/>
        </w:trPr>
        <w:tc>
          <w:tcPr>
            <w:tcW w:w="2462" w:type="dxa"/>
            <w:vAlign w:val="center"/>
          </w:tcPr>
          <w:p w14:paraId="368D13C0" w14:textId="77777777" w:rsidR="00EE0F67" w:rsidRPr="00C853B4" w:rsidRDefault="00EE0F67" w:rsidP="00EE0F67">
            <w:pPr>
              <w:spacing w:line="360" w:lineRule="auto"/>
              <w:rPr>
                <w:rFonts w:cs="Arial"/>
                <w:color w:val="000000" w:themeColor="text1"/>
              </w:rPr>
            </w:pPr>
            <w:r w:rsidRPr="00C853B4">
              <w:rPr>
                <w:rFonts w:cs="Arial"/>
                <w:color w:val="000000" w:themeColor="text1"/>
              </w:rPr>
              <w:t>3.Corpo Discente, Teses e Dissertações</w:t>
            </w:r>
          </w:p>
        </w:tc>
        <w:tc>
          <w:tcPr>
            <w:tcW w:w="2462" w:type="dxa"/>
            <w:vAlign w:val="center"/>
          </w:tcPr>
          <w:p w14:paraId="5D3B8CBB" w14:textId="5989D2C9" w:rsidR="00EE0F67" w:rsidRPr="00C853B4" w:rsidRDefault="00EE0F67" w:rsidP="00EE0F67">
            <w:pPr>
              <w:spacing w:line="360" w:lineRule="auto"/>
              <w:jc w:val="center"/>
              <w:rPr>
                <w:rFonts w:cs="Arial"/>
                <w:color w:val="000000" w:themeColor="text1"/>
              </w:rPr>
            </w:pPr>
            <w:r>
              <w:rPr>
                <w:rFonts w:cs="Arial"/>
                <w:color w:val="000000" w:themeColor="text1"/>
              </w:rPr>
              <w:t>35</w:t>
            </w:r>
            <w:r w:rsidRPr="00C853B4">
              <w:rPr>
                <w:rFonts w:cs="Arial"/>
                <w:color w:val="000000" w:themeColor="text1"/>
              </w:rPr>
              <w:t>%</w:t>
            </w:r>
          </w:p>
        </w:tc>
        <w:tc>
          <w:tcPr>
            <w:tcW w:w="2463" w:type="dxa"/>
            <w:vAlign w:val="center"/>
          </w:tcPr>
          <w:p w14:paraId="5092D5EC"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30%</w:t>
            </w:r>
          </w:p>
        </w:tc>
      </w:tr>
      <w:tr w:rsidR="00EE0F67" w:rsidRPr="00C853B4" w14:paraId="511669A8" w14:textId="77777777" w:rsidTr="00EE0F67">
        <w:trPr>
          <w:trHeight w:val="86"/>
          <w:jc w:val="center"/>
        </w:trPr>
        <w:tc>
          <w:tcPr>
            <w:tcW w:w="2462" w:type="dxa"/>
            <w:vAlign w:val="center"/>
          </w:tcPr>
          <w:p w14:paraId="3A63852D" w14:textId="77777777" w:rsidR="00EE0F67" w:rsidRPr="00C853B4" w:rsidRDefault="00EE0F67" w:rsidP="00EE0F67">
            <w:pPr>
              <w:spacing w:line="360" w:lineRule="auto"/>
              <w:rPr>
                <w:rFonts w:cs="Arial"/>
                <w:color w:val="000000" w:themeColor="text1"/>
              </w:rPr>
            </w:pPr>
            <w:r w:rsidRPr="00C853B4">
              <w:rPr>
                <w:rFonts w:cs="Arial"/>
                <w:color w:val="000000" w:themeColor="text1"/>
              </w:rPr>
              <w:t>4.Produção Intelectual</w:t>
            </w:r>
          </w:p>
        </w:tc>
        <w:tc>
          <w:tcPr>
            <w:tcW w:w="2462" w:type="dxa"/>
            <w:vAlign w:val="center"/>
          </w:tcPr>
          <w:p w14:paraId="16F8ED3C" w14:textId="2EB2F202" w:rsidR="00EE0F67" w:rsidRPr="00C853B4" w:rsidRDefault="00EE0F67" w:rsidP="00EE0F67">
            <w:pPr>
              <w:spacing w:line="360" w:lineRule="auto"/>
              <w:jc w:val="center"/>
              <w:rPr>
                <w:rFonts w:cs="Arial"/>
                <w:color w:val="000000" w:themeColor="text1"/>
              </w:rPr>
            </w:pPr>
            <w:r>
              <w:rPr>
                <w:rFonts w:cs="Arial"/>
                <w:color w:val="000000" w:themeColor="text1"/>
              </w:rPr>
              <w:t>35</w:t>
            </w:r>
            <w:r w:rsidRPr="00C853B4">
              <w:rPr>
                <w:rFonts w:cs="Arial"/>
                <w:color w:val="000000" w:themeColor="text1"/>
              </w:rPr>
              <w:t>%</w:t>
            </w:r>
          </w:p>
        </w:tc>
        <w:tc>
          <w:tcPr>
            <w:tcW w:w="2463" w:type="dxa"/>
            <w:vAlign w:val="center"/>
          </w:tcPr>
          <w:p w14:paraId="66B1E120"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30%</w:t>
            </w:r>
          </w:p>
        </w:tc>
      </w:tr>
      <w:tr w:rsidR="00EE0F67" w:rsidRPr="00C853B4" w14:paraId="03E95647" w14:textId="77777777" w:rsidTr="00EE0F67">
        <w:trPr>
          <w:trHeight w:val="86"/>
          <w:jc w:val="center"/>
        </w:trPr>
        <w:tc>
          <w:tcPr>
            <w:tcW w:w="2462" w:type="dxa"/>
            <w:vAlign w:val="center"/>
          </w:tcPr>
          <w:p w14:paraId="63E0347C" w14:textId="77777777" w:rsidR="00EE0F67" w:rsidRPr="00C853B4" w:rsidRDefault="00EE0F67" w:rsidP="00EE0F67">
            <w:pPr>
              <w:spacing w:line="360" w:lineRule="auto"/>
              <w:rPr>
                <w:rFonts w:cs="Arial"/>
                <w:color w:val="000000" w:themeColor="text1"/>
              </w:rPr>
            </w:pPr>
            <w:r w:rsidRPr="00C853B4">
              <w:rPr>
                <w:rFonts w:cs="Arial"/>
                <w:color w:val="000000" w:themeColor="text1"/>
              </w:rPr>
              <w:t>5.Inserção Social</w:t>
            </w:r>
          </w:p>
        </w:tc>
        <w:tc>
          <w:tcPr>
            <w:tcW w:w="2462" w:type="dxa"/>
            <w:vAlign w:val="center"/>
          </w:tcPr>
          <w:p w14:paraId="2B4A6CD0"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10%</w:t>
            </w:r>
          </w:p>
        </w:tc>
        <w:tc>
          <w:tcPr>
            <w:tcW w:w="2463" w:type="dxa"/>
            <w:vAlign w:val="center"/>
          </w:tcPr>
          <w:p w14:paraId="613D3363"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20%</w:t>
            </w:r>
          </w:p>
        </w:tc>
      </w:tr>
    </w:tbl>
    <w:p w14:paraId="150EF465" w14:textId="4804B259" w:rsidR="18705DF5" w:rsidRDefault="00541678" w:rsidP="18705DF5">
      <w:pPr>
        <w:pStyle w:val="NormalWeb"/>
        <w:spacing w:line="360" w:lineRule="auto"/>
        <w:jc w:val="center"/>
        <w:rPr>
          <w:color w:val="000000" w:themeColor="text1"/>
        </w:rPr>
      </w:pPr>
      <w:r w:rsidRPr="18705DF5">
        <w:t xml:space="preserve">Fonte: </w:t>
      </w:r>
      <w:r w:rsidR="18705DF5" w:rsidRPr="18705DF5">
        <w:rPr>
          <w:color w:val="000000" w:themeColor="text1"/>
        </w:rPr>
        <w:t>(Capes, 2016).</w:t>
      </w:r>
    </w:p>
    <w:p w14:paraId="52FBAC24" w14:textId="58CE3C46" w:rsidR="00541678" w:rsidRPr="00B748A1" w:rsidRDefault="00541678" w:rsidP="00B748A1">
      <w:pPr>
        <w:spacing w:line="360" w:lineRule="auto"/>
        <w:rPr>
          <w:rFonts w:ascii="Times New Roman" w:hAnsi="Times New Roman" w:cs="Times New Roman"/>
          <w:sz w:val="24"/>
          <w:szCs w:val="24"/>
        </w:rPr>
      </w:pPr>
    </w:p>
    <w:p w14:paraId="0A92744D" w14:textId="1C0669D5" w:rsidR="00B748A1" w:rsidRPr="00B748A1" w:rsidRDefault="00B748A1" w:rsidP="00B748A1">
      <w:pPr>
        <w:pStyle w:val="NormalWeb"/>
        <w:spacing w:line="360" w:lineRule="auto"/>
        <w:ind w:left="4111"/>
      </w:pPr>
      <w:r w:rsidRPr="18705DF5">
        <w:rPr>
          <w:i/>
          <w:color w:val="000000" w:themeColor="text1"/>
        </w:rPr>
        <w:t xml:space="preserve">“A Ficha de Avaliação apresenta a posição da CB I em relação a todos os itens envolvidos no processo de avaliação. Adicionalmente, permite orientar os Programas na busca da qualidade e na melhoria do desempenho, a partir da definição de critérios objetivos. A Planilha de Síntese de Avaliação discriminará os diferentes aspectos dos programas, classificando-os nos conceitos </w:t>
      </w:r>
      <w:r w:rsidRPr="18705DF5">
        <w:rPr>
          <w:i/>
          <w:color w:val="000000" w:themeColor="text1"/>
        </w:rPr>
        <w:lastRenderedPageBreak/>
        <w:t>Insuficiente, Fraco, Regular, Bom ou Muito Bom, de forma a permitir a classificação dos programas segundo as notas 3, 4 ou 5, respectivamente. Dentre os programas nota 5, aqueles que atenderem aos critérios adicionais de avaliação, tais como, inserção</w:t>
      </w:r>
      <w:r w:rsidRPr="18705DF5">
        <w:rPr>
          <w:color w:val="000000" w:themeColor="text1"/>
        </w:rPr>
        <w:t xml:space="preserve"> </w:t>
      </w:r>
      <w:r w:rsidRPr="18705DF5">
        <w:rPr>
          <w:i/>
          <w:color w:val="000000" w:themeColor="text1"/>
        </w:rPr>
        <w:t xml:space="preserve">internacional, nucleação e inserção social poderão receber as notas 6 ou 7.” </w:t>
      </w:r>
      <w:r w:rsidR="18705DF5" w:rsidRPr="18705DF5">
        <w:rPr>
          <w:i/>
          <w:iCs/>
          <w:color w:val="000000" w:themeColor="text1"/>
        </w:rPr>
        <w:t>(Capes, 2016).</w:t>
      </w:r>
    </w:p>
    <w:p w14:paraId="3826C402" w14:textId="5CF6D4F5" w:rsidR="18705DF5" w:rsidRDefault="18705DF5" w:rsidP="18705DF5">
      <w:pPr>
        <w:pStyle w:val="NormalWeb"/>
        <w:spacing w:line="360" w:lineRule="auto"/>
        <w:rPr>
          <w:color w:val="000000" w:themeColor="text1"/>
        </w:rPr>
      </w:pPr>
      <w:r w:rsidRPr="18705DF5">
        <w:rPr>
          <w:color w:val="000000" w:themeColor="text1"/>
        </w:rPr>
        <w:t>As propostas do programa avaliado devem deixar claro e de forma objetiva os fins, as áreas de concentração e as linhas de pesquisa. As áreas de concentração devem refletir as áreas de especialização do seu corpo docente e refletir sobre as projeções futuras do programa. Os programas devem ter uma base concreta em seu núcleo de docentes permanentes para se garantir o total desenvolvimento das atividades de ensino, pesquisa e orientação do programa. (Capes, 2016).</w:t>
      </w:r>
    </w:p>
    <w:p w14:paraId="5BACE4F3" w14:textId="3A46FEC6" w:rsidR="18705DF5" w:rsidRDefault="18705DF5" w:rsidP="18705DF5">
      <w:pPr>
        <w:pStyle w:val="NormalWeb"/>
        <w:spacing w:line="360" w:lineRule="auto"/>
        <w:rPr>
          <w:color w:val="000000" w:themeColor="text1"/>
        </w:rPr>
      </w:pPr>
      <w:r w:rsidRPr="18705DF5">
        <w:rPr>
          <w:color w:val="000000" w:themeColor="text1"/>
        </w:rPr>
        <w:t>Os Programas devem debater e promover o oferecimento de disciplinas com conteúdo programático relacionados com conhecimento das linhas de pesquisa oferecidas pelo programa e de áreas relacionadas que podem promover um desenvolvimento maior. Linhas de pesquisa não atualizadas devem ser reavaliadas, como incentivo à formação interdisciplinar e multidisciplinar do discente e isto que torna a relação entre os programas possível. (Capes, 2016).</w:t>
      </w:r>
    </w:p>
    <w:p w14:paraId="1AFEBC48" w14:textId="030AFE78"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p>
    <w:p w14:paraId="24D4341B" w14:textId="343E35B8"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r w:rsidRPr="00B748A1">
        <w:rPr>
          <w:rFonts w:ascii="Times New Roman" w:eastAsia="Arial" w:hAnsi="Times New Roman" w:cs="Times New Roman"/>
          <w:color w:val="000000" w:themeColor="text1"/>
          <w:sz w:val="24"/>
          <w:szCs w:val="24"/>
        </w:rPr>
        <w:t>1.1 Biologia Animal</w:t>
      </w:r>
    </w:p>
    <w:p w14:paraId="3FAC7E18" w14:textId="76D82F9D"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p>
    <w:p w14:paraId="6D41BAFE" w14:textId="56D4F222"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r w:rsidRPr="00B748A1">
        <w:rPr>
          <w:rFonts w:ascii="Times New Roman" w:eastAsia="Arial" w:hAnsi="Times New Roman" w:cs="Times New Roman"/>
          <w:color w:val="000000" w:themeColor="text1"/>
          <w:sz w:val="24"/>
          <w:szCs w:val="24"/>
        </w:rPr>
        <w:t>1.2 Biologia Molecular</w:t>
      </w:r>
    </w:p>
    <w:p w14:paraId="6E0E9271" w14:textId="1F2C7961" w:rsidR="6A0C3B43" w:rsidRPr="00B748A1" w:rsidRDefault="6A0C3B43" w:rsidP="00B748A1">
      <w:pPr>
        <w:spacing w:line="360" w:lineRule="auto"/>
        <w:rPr>
          <w:rFonts w:ascii="Times New Roman" w:eastAsia="Arial" w:hAnsi="Times New Roman" w:cs="Times New Roman"/>
          <w:color w:val="000000" w:themeColor="text1"/>
          <w:sz w:val="24"/>
          <w:szCs w:val="24"/>
        </w:rPr>
      </w:pPr>
    </w:p>
    <w:p w14:paraId="0DE71F2D" w14:textId="6E497660" w:rsidR="00B748A1" w:rsidRPr="007A761C" w:rsidRDefault="6A0C3B43" w:rsidP="00B748A1">
      <w:pPr>
        <w:pStyle w:val="PargrafodaLista"/>
        <w:numPr>
          <w:ilvl w:val="0"/>
          <w:numId w:val="1"/>
        </w:numPr>
        <w:spacing w:line="360" w:lineRule="auto"/>
        <w:rPr>
          <w:rFonts w:ascii="Times New Roman" w:hAnsi="Times New Roman" w:cs="Times New Roman"/>
          <w:color w:val="000000" w:themeColor="text1"/>
          <w:sz w:val="24"/>
          <w:szCs w:val="24"/>
        </w:rPr>
      </w:pPr>
      <w:commentRangeStart w:id="2"/>
      <w:commentRangeStart w:id="3"/>
      <w:r w:rsidRPr="00B748A1">
        <w:rPr>
          <w:rFonts w:ascii="Times New Roman" w:eastAsia="Arial" w:hAnsi="Times New Roman" w:cs="Times New Roman"/>
          <w:color w:val="000000" w:themeColor="text1"/>
          <w:sz w:val="24"/>
          <w:szCs w:val="24"/>
        </w:rPr>
        <w:t>Ciências Biológicas III</w:t>
      </w:r>
      <w:commentRangeEnd w:id="2"/>
      <w:r w:rsidR="00BC1133">
        <w:rPr>
          <w:rStyle w:val="Refdecomentrio"/>
        </w:rPr>
        <w:commentReference w:id="2"/>
      </w:r>
      <w:commentRangeEnd w:id="3"/>
      <w:r w:rsidR="00BC1133">
        <w:rPr>
          <w:rStyle w:val="Refdecomentrio"/>
        </w:rPr>
        <w:commentReference w:id="3"/>
      </w:r>
    </w:p>
    <w:p w14:paraId="2D74FE1A" w14:textId="34EC81E9" w:rsidR="007A761C" w:rsidRDefault="007A761C" w:rsidP="18705DF5">
      <w:pPr>
        <w:pStyle w:val="NormalWeb"/>
        <w:spacing w:line="360" w:lineRule="auto"/>
        <w:rPr>
          <w:color w:val="000000" w:themeColor="text1"/>
        </w:rPr>
      </w:pPr>
      <w:r>
        <w:rPr>
          <w:color w:val="000000"/>
          <w:bdr w:val="none" w:sz="0" w:space="0" w:color="auto" w:frame="1"/>
          <w:shd w:val="clear" w:color="auto" w:fill="FFFFFF"/>
        </w:rPr>
        <w:t xml:space="preserve">O programa de Pós-Graduação em Ciências Biológicas III compreende as seguintes áreas: Microbiologia, Imunologia e Parasitologia. Ela é considerada uma das mais tradicionais no Sistema Nacional de Pós-Graduação (SNPG), pois é desenvolvida a mais de 50 anos. Um fato </w:t>
      </w:r>
      <w:r>
        <w:rPr>
          <w:color w:val="000000"/>
          <w:bdr w:val="none" w:sz="0" w:space="0" w:color="auto" w:frame="1"/>
          <w:shd w:val="clear" w:color="auto" w:fill="FFFFFF"/>
        </w:rPr>
        <w:lastRenderedPageBreak/>
        <w:t xml:space="preserve">importante sobre esta área é que ela aumenta de forma branda, pelo fato de apresentar uma dura avaliação das propostas dos cursos novos. Um desses quesitos é que haja uma semelhança entre as atividades propostas pelos cursos novos com os que já estão na área. Isso fez com que demorasse por volta de 15 anos para dobrar o número de programas, que passou de 18 para 36 programas em 2016. </w:t>
      </w:r>
      <w:r w:rsidR="18705DF5" w:rsidRPr="18705DF5">
        <w:rPr>
          <w:color w:val="000000" w:themeColor="text1"/>
        </w:rPr>
        <w:t>(Capes, 2016).</w:t>
      </w:r>
    </w:p>
    <w:p w14:paraId="79D635B4" w14:textId="14874313" w:rsidR="007A761C" w:rsidRDefault="007A761C" w:rsidP="18705DF5">
      <w:pPr>
        <w:pStyle w:val="NormalWeb"/>
        <w:spacing w:line="360" w:lineRule="auto"/>
        <w:rPr>
          <w:color w:val="000000" w:themeColor="text1"/>
        </w:rPr>
      </w:pPr>
      <w:r>
        <w:rPr>
          <w:color w:val="000000"/>
          <w:bdr w:val="none" w:sz="0" w:space="0" w:color="auto" w:frame="1"/>
          <w:shd w:val="clear" w:color="auto" w:fill="FFFFFF"/>
        </w:rPr>
        <w:t xml:space="preserve">Essa área é muito voltada, desde o século XIX, para a proposta de soluções para epidemias e pandemias. Continuamente, no século passado o Brasil já apresentava uma qualidade e quantidade de produções cientificas para solução de doenças tropicais principalmente nas áreas de Patologia e doenças Infecciosas e Parasitarias. Além disso, a área apresenta ótima visibilidade no cenário internacional, onde há projetos e publicações interdisciplinares que ajudam na expansão das pesquisas e tem um impacto muito bom na produção intelectual, visto que, essa interdisciplinaridade é muito importante para entender as metodologias para o progresso da área. </w:t>
      </w:r>
      <w:r w:rsidR="18705DF5" w:rsidRPr="18705DF5">
        <w:rPr>
          <w:color w:val="000000" w:themeColor="text1"/>
        </w:rPr>
        <w:t>(Capes, 2016).</w:t>
      </w:r>
    </w:p>
    <w:p w14:paraId="771D535E" w14:textId="37153960" w:rsidR="18705DF5" w:rsidRDefault="18705DF5" w:rsidP="18705DF5">
      <w:pPr>
        <w:pStyle w:val="NormalWeb"/>
        <w:spacing w:line="360" w:lineRule="auto"/>
        <w:rPr>
          <w:i/>
          <w:iCs/>
          <w:color w:val="000000" w:themeColor="text1"/>
        </w:rPr>
      </w:pPr>
      <w:r w:rsidRPr="18705DF5">
        <w:rPr>
          <w:i/>
          <w:iCs/>
        </w:rPr>
        <w:t xml:space="preserve">“A área CBIII tem buscado potencializar a formação de recursos humanos qualificados em todos os níveis em que se planeja o crescimento da pós-graduação brasileira em termos de número de discentes e de cursos. Um dos grandes desafios para a área é o desenvolvimento da ciência, tecnologia e inovação, com ampliação do número de doutores que possam atuar não somente no campo acadêmico, mas também no tecnológico, de forma a poder encarar as demandas que os problemas nacionais na atualidade apresentam. ” </w:t>
      </w:r>
      <w:r w:rsidRPr="18705DF5">
        <w:rPr>
          <w:i/>
          <w:iCs/>
          <w:color w:val="000000" w:themeColor="text1"/>
        </w:rPr>
        <w:t>(Capes, 2016).</w:t>
      </w:r>
    </w:p>
    <w:p w14:paraId="0219F94F" w14:textId="6FB72C58" w:rsidR="18705DF5" w:rsidRDefault="18705DF5" w:rsidP="18705DF5">
      <w:pPr>
        <w:pStyle w:val="NormalWeb"/>
        <w:spacing w:line="360" w:lineRule="auto"/>
        <w:rPr>
          <w:color w:val="000000" w:themeColor="text1"/>
        </w:rPr>
      </w:pPr>
      <w:r w:rsidRPr="18705DF5">
        <w:rPr>
          <w:color w:val="000000" w:themeColor="text1"/>
        </w:rPr>
        <w:t>Os referentes de maior peso da Ficha de Avaliação dos programas de Pós-Graduação na área de Ciências Biológicas III constituem-se dos tópicos: Corpo Docente, Corpo Discente, Teses, Dissertações e Produção Intelectual. De maneira que se busque o desenvolvimento acadêmico e tecnológico dos programas avaliados e da área de maneira geral. Todo o processo de avaliação dos programas de pós-graduação leva em consideração as atividades do conjugado de Docentes e Discentes. (Capes, 2016).</w:t>
      </w:r>
    </w:p>
    <w:p w14:paraId="7D2B1A90" w14:textId="77777777" w:rsidR="007A761C" w:rsidRPr="00B748A1" w:rsidRDefault="007A761C" w:rsidP="007A761C">
      <w:pPr>
        <w:pStyle w:val="NormalWeb"/>
        <w:spacing w:line="360" w:lineRule="auto"/>
      </w:pPr>
      <w:r w:rsidRPr="18705DF5">
        <w:rPr>
          <w:color w:val="000000" w:themeColor="text1"/>
        </w:rPr>
        <w:t>Abaixo apresenta-se a forma de avaliação e cada peso dos respectivos quesitos avaliados na área de Ciências Biológicas III para os programas de mestrado acadêmico, doutorado e mestrado profissional.</w:t>
      </w:r>
    </w:p>
    <w:p w14:paraId="18EAC8F4" w14:textId="6EAC6E8C" w:rsidR="18705DF5" w:rsidRDefault="18705DF5" w:rsidP="18705DF5">
      <w:pPr>
        <w:pStyle w:val="NormalWeb"/>
        <w:spacing w:line="360" w:lineRule="auto"/>
        <w:rPr>
          <w:color w:val="000000" w:themeColor="text1"/>
        </w:rPr>
      </w:pPr>
    </w:p>
    <w:tbl>
      <w:tblPr>
        <w:tblStyle w:val="TabeladeGradeClara"/>
        <w:tblW w:w="7387" w:type="dxa"/>
        <w:jc w:val="center"/>
        <w:tblLook w:val="04A0" w:firstRow="1" w:lastRow="0" w:firstColumn="1" w:lastColumn="0" w:noHBand="0" w:noVBand="1"/>
      </w:tblPr>
      <w:tblGrid>
        <w:gridCol w:w="2462"/>
        <w:gridCol w:w="2462"/>
        <w:gridCol w:w="2463"/>
      </w:tblGrid>
      <w:tr w:rsidR="007A761C" w:rsidRPr="00C853B4" w14:paraId="6FB74E50" w14:textId="77777777" w:rsidTr="00EE0F67">
        <w:trPr>
          <w:trHeight w:val="179"/>
          <w:jc w:val="center"/>
        </w:trPr>
        <w:tc>
          <w:tcPr>
            <w:tcW w:w="2462" w:type="dxa"/>
            <w:tcBorders>
              <w:top w:val="single" w:sz="12" w:space="0" w:color="auto"/>
              <w:bottom w:val="single" w:sz="12" w:space="0" w:color="auto"/>
            </w:tcBorders>
            <w:vAlign w:val="center"/>
          </w:tcPr>
          <w:p w14:paraId="79A7132D" w14:textId="77777777" w:rsidR="007A761C" w:rsidRPr="00C853B4" w:rsidRDefault="007A761C" w:rsidP="00EE0F67">
            <w:pPr>
              <w:spacing w:line="360" w:lineRule="auto"/>
              <w:jc w:val="center"/>
              <w:rPr>
                <w:rFonts w:cs="Arial"/>
                <w:i/>
                <w:color w:val="000000" w:themeColor="text1"/>
              </w:rPr>
            </w:pPr>
            <w:r w:rsidRPr="00C853B4">
              <w:rPr>
                <w:rFonts w:cs="Arial"/>
                <w:i/>
                <w:color w:val="000000" w:themeColor="text1"/>
              </w:rPr>
              <w:lastRenderedPageBreak/>
              <w:t>Quesitos</w:t>
            </w:r>
          </w:p>
        </w:tc>
        <w:tc>
          <w:tcPr>
            <w:tcW w:w="2462" w:type="dxa"/>
            <w:tcBorders>
              <w:top w:val="single" w:sz="12" w:space="0" w:color="auto"/>
              <w:bottom w:val="single" w:sz="12" w:space="0" w:color="auto"/>
            </w:tcBorders>
            <w:vAlign w:val="center"/>
          </w:tcPr>
          <w:p w14:paraId="199791C6" w14:textId="77777777" w:rsidR="007A761C" w:rsidRPr="00C853B4" w:rsidRDefault="007A761C" w:rsidP="00EE0F67">
            <w:pPr>
              <w:spacing w:line="360" w:lineRule="auto"/>
              <w:jc w:val="center"/>
              <w:rPr>
                <w:rFonts w:cs="Arial"/>
                <w:i/>
                <w:color w:val="000000" w:themeColor="text1"/>
              </w:rPr>
            </w:pPr>
            <w:r w:rsidRPr="00C853B4">
              <w:rPr>
                <w:rFonts w:cs="Arial"/>
                <w:i/>
                <w:color w:val="000000" w:themeColor="text1"/>
              </w:rPr>
              <w:t>Pesos para Mestrado Acadêmico e Doutorado</w:t>
            </w:r>
          </w:p>
        </w:tc>
        <w:tc>
          <w:tcPr>
            <w:tcW w:w="2463" w:type="dxa"/>
            <w:tcBorders>
              <w:top w:val="single" w:sz="12" w:space="0" w:color="auto"/>
              <w:bottom w:val="single" w:sz="12" w:space="0" w:color="auto"/>
            </w:tcBorders>
            <w:vAlign w:val="center"/>
          </w:tcPr>
          <w:p w14:paraId="66C0061C" w14:textId="77777777" w:rsidR="007A761C" w:rsidRPr="00C853B4" w:rsidRDefault="007A761C" w:rsidP="00EE0F67">
            <w:pPr>
              <w:spacing w:line="360" w:lineRule="auto"/>
              <w:jc w:val="center"/>
              <w:rPr>
                <w:rFonts w:cs="Arial"/>
                <w:i/>
                <w:color w:val="000000" w:themeColor="text1"/>
              </w:rPr>
            </w:pPr>
            <w:r w:rsidRPr="00C853B4">
              <w:rPr>
                <w:rFonts w:cs="Arial"/>
                <w:i/>
                <w:color w:val="000000" w:themeColor="text1"/>
              </w:rPr>
              <w:t>Pesos para Mestrados Profissionais</w:t>
            </w:r>
          </w:p>
        </w:tc>
      </w:tr>
      <w:tr w:rsidR="007A761C" w:rsidRPr="00C853B4" w14:paraId="09AC470A" w14:textId="77777777" w:rsidTr="00EE0F67">
        <w:trPr>
          <w:trHeight w:val="179"/>
          <w:jc w:val="center"/>
        </w:trPr>
        <w:tc>
          <w:tcPr>
            <w:tcW w:w="2462" w:type="dxa"/>
            <w:tcBorders>
              <w:top w:val="single" w:sz="12" w:space="0" w:color="auto"/>
            </w:tcBorders>
            <w:vAlign w:val="center"/>
          </w:tcPr>
          <w:p w14:paraId="664453B6" w14:textId="77777777" w:rsidR="007A761C" w:rsidRPr="00C853B4" w:rsidRDefault="007A761C" w:rsidP="00EE0F67">
            <w:pPr>
              <w:spacing w:line="360" w:lineRule="auto"/>
              <w:rPr>
                <w:rFonts w:cs="Arial"/>
                <w:color w:val="000000" w:themeColor="text1"/>
              </w:rPr>
            </w:pPr>
            <w:r w:rsidRPr="00C853B4">
              <w:rPr>
                <w:rFonts w:cs="Arial"/>
                <w:color w:val="000000" w:themeColor="text1"/>
              </w:rPr>
              <w:t>1.Proposta do Programa</w:t>
            </w:r>
          </w:p>
        </w:tc>
        <w:tc>
          <w:tcPr>
            <w:tcW w:w="2462" w:type="dxa"/>
            <w:tcBorders>
              <w:top w:val="single" w:sz="12" w:space="0" w:color="auto"/>
            </w:tcBorders>
            <w:vAlign w:val="center"/>
          </w:tcPr>
          <w:p w14:paraId="664C68AC"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w:t>
            </w:r>
          </w:p>
        </w:tc>
        <w:tc>
          <w:tcPr>
            <w:tcW w:w="2463" w:type="dxa"/>
            <w:tcBorders>
              <w:top w:val="single" w:sz="12" w:space="0" w:color="auto"/>
            </w:tcBorders>
            <w:vAlign w:val="center"/>
          </w:tcPr>
          <w:p w14:paraId="1C587C7B"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w:t>
            </w:r>
          </w:p>
        </w:tc>
      </w:tr>
      <w:tr w:rsidR="007A761C" w:rsidRPr="00C853B4" w14:paraId="16AFCBAE" w14:textId="77777777" w:rsidTr="00EE0F67">
        <w:trPr>
          <w:trHeight w:val="86"/>
          <w:jc w:val="center"/>
        </w:trPr>
        <w:tc>
          <w:tcPr>
            <w:tcW w:w="2462" w:type="dxa"/>
            <w:vAlign w:val="center"/>
          </w:tcPr>
          <w:p w14:paraId="312E01A2" w14:textId="77777777" w:rsidR="007A761C" w:rsidRPr="00C853B4" w:rsidRDefault="007A761C" w:rsidP="00EE0F67">
            <w:pPr>
              <w:spacing w:line="360" w:lineRule="auto"/>
              <w:rPr>
                <w:rFonts w:cs="Arial"/>
                <w:color w:val="000000" w:themeColor="text1"/>
              </w:rPr>
            </w:pPr>
            <w:r w:rsidRPr="00C853B4">
              <w:rPr>
                <w:rFonts w:cs="Arial"/>
                <w:color w:val="000000" w:themeColor="text1"/>
              </w:rPr>
              <w:t>2.Corpo Docente</w:t>
            </w:r>
          </w:p>
        </w:tc>
        <w:tc>
          <w:tcPr>
            <w:tcW w:w="2462" w:type="dxa"/>
            <w:vAlign w:val="center"/>
          </w:tcPr>
          <w:p w14:paraId="4D0163C4"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20%</w:t>
            </w:r>
          </w:p>
        </w:tc>
        <w:tc>
          <w:tcPr>
            <w:tcW w:w="2463" w:type="dxa"/>
            <w:vAlign w:val="center"/>
          </w:tcPr>
          <w:p w14:paraId="495D2DB8"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20%</w:t>
            </w:r>
          </w:p>
        </w:tc>
      </w:tr>
      <w:tr w:rsidR="007A761C" w:rsidRPr="00C853B4" w14:paraId="660448F5" w14:textId="77777777" w:rsidTr="00EE0F67">
        <w:trPr>
          <w:trHeight w:val="179"/>
          <w:jc w:val="center"/>
        </w:trPr>
        <w:tc>
          <w:tcPr>
            <w:tcW w:w="2462" w:type="dxa"/>
            <w:vAlign w:val="center"/>
          </w:tcPr>
          <w:p w14:paraId="712591E6" w14:textId="77777777" w:rsidR="007A761C" w:rsidRPr="00C853B4" w:rsidRDefault="007A761C" w:rsidP="00EE0F67">
            <w:pPr>
              <w:spacing w:line="360" w:lineRule="auto"/>
              <w:rPr>
                <w:rFonts w:cs="Arial"/>
                <w:color w:val="000000" w:themeColor="text1"/>
              </w:rPr>
            </w:pPr>
            <w:r w:rsidRPr="00C853B4">
              <w:rPr>
                <w:rFonts w:cs="Arial"/>
                <w:color w:val="000000" w:themeColor="text1"/>
              </w:rPr>
              <w:t>3.Corpo Discente, Teses e Dissertações</w:t>
            </w:r>
          </w:p>
        </w:tc>
        <w:tc>
          <w:tcPr>
            <w:tcW w:w="2462" w:type="dxa"/>
            <w:vAlign w:val="center"/>
          </w:tcPr>
          <w:p w14:paraId="495B0D87"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30%</w:t>
            </w:r>
          </w:p>
        </w:tc>
        <w:tc>
          <w:tcPr>
            <w:tcW w:w="2463" w:type="dxa"/>
            <w:vAlign w:val="center"/>
          </w:tcPr>
          <w:p w14:paraId="4522E050"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30%</w:t>
            </w:r>
          </w:p>
        </w:tc>
      </w:tr>
      <w:tr w:rsidR="007A761C" w:rsidRPr="00C853B4" w14:paraId="51A6D237" w14:textId="77777777" w:rsidTr="00EE0F67">
        <w:trPr>
          <w:trHeight w:val="86"/>
          <w:jc w:val="center"/>
        </w:trPr>
        <w:tc>
          <w:tcPr>
            <w:tcW w:w="2462" w:type="dxa"/>
            <w:vAlign w:val="center"/>
          </w:tcPr>
          <w:p w14:paraId="4D6FCE6C" w14:textId="77777777" w:rsidR="007A761C" w:rsidRPr="00C853B4" w:rsidRDefault="007A761C" w:rsidP="00EE0F67">
            <w:pPr>
              <w:spacing w:line="360" w:lineRule="auto"/>
              <w:rPr>
                <w:rFonts w:cs="Arial"/>
                <w:color w:val="000000" w:themeColor="text1"/>
              </w:rPr>
            </w:pPr>
            <w:r w:rsidRPr="00C853B4">
              <w:rPr>
                <w:rFonts w:cs="Arial"/>
                <w:color w:val="000000" w:themeColor="text1"/>
              </w:rPr>
              <w:t>4.Produção Intelectual</w:t>
            </w:r>
          </w:p>
        </w:tc>
        <w:tc>
          <w:tcPr>
            <w:tcW w:w="2462" w:type="dxa"/>
            <w:vAlign w:val="center"/>
          </w:tcPr>
          <w:p w14:paraId="554EE2E5"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40%</w:t>
            </w:r>
          </w:p>
        </w:tc>
        <w:tc>
          <w:tcPr>
            <w:tcW w:w="2463" w:type="dxa"/>
            <w:vAlign w:val="center"/>
          </w:tcPr>
          <w:p w14:paraId="4E6346FA"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30%</w:t>
            </w:r>
          </w:p>
        </w:tc>
      </w:tr>
      <w:tr w:rsidR="007A761C" w:rsidRPr="00C853B4" w14:paraId="23C788FB" w14:textId="77777777" w:rsidTr="00EE0F67">
        <w:trPr>
          <w:trHeight w:val="86"/>
          <w:jc w:val="center"/>
        </w:trPr>
        <w:tc>
          <w:tcPr>
            <w:tcW w:w="2462" w:type="dxa"/>
            <w:vAlign w:val="center"/>
          </w:tcPr>
          <w:p w14:paraId="07DB6951" w14:textId="77777777" w:rsidR="007A761C" w:rsidRPr="00C853B4" w:rsidRDefault="007A761C" w:rsidP="00EE0F67">
            <w:pPr>
              <w:spacing w:line="360" w:lineRule="auto"/>
              <w:rPr>
                <w:rFonts w:cs="Arial"/>
                <w:color w:val="000000" w:themeColor="text1"/>
              </w:rPr>
            </w:pPr>
            <w:r w:rsidRPr="00C853B4">
              <w:rPr>
                <w:rFonts w:cs="Arial"/>
                <w:color w:val="000000" w:themeColor="text1"/>
              </w:rPr>
              <w:t>5.Inserção Social</w:t>
            </w:r>
          </w:p>
        </w:tc>
        <w:tc>
          <w:tcPr>
            <w:tcW w:w="2462" w:type="dxa"/>
            <w:vAlign w:val="center"/>
          </w:tcPr>
          <w:p w14:paraId="0763FA08"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10%</w:t>
            </w:r>
          </w:p>
        </w:tc>
        <w:tc>
          <w:tcPr>
            <w:tcW w:w="2463" w:type="dxa"/>
            <w:vAlign w:val="center"/>
          </w:tcPr>
          <w:p w14:paraId="217BC1D3"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20%</w:t>
            </w:r>
          </w:p>
        </w:tc>
      </w:tr>
    </w:tbl>
    <w:p w14:paraId="2CB5A259" w14:textId="1C0A2EB0" w:rsidR="00C853B4" w:rsidRPr="007A761C" w:rsidRDefault="007A761C" w:rsidP="007A761C">
      <w:pPr>
        <w:pStyle w:val="NormalWeb"/>
        <w:spacing w:line="360" w:lineRule="auto"/>
        <w:jc w:val="center"/>
        <w:rPr>
          <w:color w:val="000000" w:themeColor="text1"/>
        </w:rPr>
      </w:pPr>
      <w:r w:rsidRPr="1DBC9D1A">
        <w:rPr>
          <w:color w:val="000000" w:themeColor="text1"/>
        </w:rPr>
        <w:t xml:space="preserve">Fonte: </w:t>
      </w:r>
      <w:r w:rsidR="1DBC9D1A" w:rsidRPr="1DBC9D1A">
        <w:rPr>
          <w:color w:val="000000" w:themeColor="text1"/>
        </w:rPr>
        <w:t>Capes,</w:t>
      </w:r>
      <w:r w:rsidR="18705DF5" w:rsidRPr="18705DF5">
        <w:rPr>
          <w:color w:val="000000" w:themeColor="text1"/>
        </w:rPr>
        <w:t xml:space="preserve"> </w:t>
      </w:r>
      <w:r w:rsidR="1DBC9D1A" w:rsidRPr="1DBC9D1A">
        <w:rPr>
          <w:color w:val="000000" w:themeColor="text1"/>
        </w:rPr>
        <w:t>2016</w:t>
      </w:r>
    </w:p>
    <w:p w14:paraId="5E54C870" w14:textId="0FD8BEE3"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p>
    <w:p w14:paraId="432105E9" w14:textId="1BE34A3F"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r w:rsidRPr="00B748A1">
        <w:rPr>
          <w:rFonts w:ascii="Times New Roman" w:eastAsia="Arial" w:hAnsi="Times New Roman" w:cs="Times New Roman"/>
          <w:color w:val="000000" w:themeColor="text1"/>
          <w:sz w:val="24"/>
          <w:szCs w:val="24"/>
        </w:rPr>
        <w:t>2.1 Biologia Microbiana</w:t>
      </w:r>
    </w:p>
    <w:p w14:paraId="00B5E7F6" w14:textId="18A57DCA" w:rsidR="6A0C3B43" w:rsidRPr="00B748A1" w:rsidRDefault="6EFEFAA6"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O programa de pós-graduação (mestrado e doutorado) em Biologia Microbiana pertence a área de Ciências Biológicas I. Este programa foi criado em 2012 na Universidade de Brasília. Suas áreas de pesquisa são – Biologia dos Patógenos, Microbiologia Ambiental e Microbiologia Aplicada – com um foco maior para a linha de Biologia dos Patógenos, apresentando 23 projetos dos 46 desta área. O corpo docente conta com 18 professores permanentes e 3 colaboradores, com diversos graus de experiência. Todos eles são doutores e possuem formações dentro e fora do Brasil. Suas formações são compatíveis com a área em que atuam e suas linhas de pesquisa. Entretanto, somente 11 docentes permanentes orientaram dissertações e teses nesse quadriênio, o que é ruim visto que a área possui 19 docentes permanentes. Há 11 docentes que são pesquisadores de produtividade do CNPq, sendo que 7 deles contem bolsa nível de 1 e 4 deles contem bolsa nível 2. As disciplinas ofertadas pelos discentes possuem um aspecto de diversidade e multidisciplinaridade que são características desta área de formação. (Capes, 2017).</w:t>
      </w:r>
    </w:p>
    <w:p w14:paraId="7223D917" w14:textId="44E88E0E" w:rsidR="6EFEFAA6" w:rsidRPr="00B748A1" w:rsidRDefault="6EFEFAA6"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xml:space="preserve">No que se refere a quantidade de formandos no quatriênio em questão, formou-se 20 alunos do mestrado e 4 do doutorado e foi produzido uma média de 20 artigos com discentes. Esses números são considerados baixos em relação aos outros programas, visto que, é um curso novo de pós-graduação na universidade. Além disso, há uma porcentagem de 42,5% de mestrandos formados em relação ao número de mestrandos matriculados, o que é considerado muito bom. A perspectiva de formação para esses docentes é muito boa, pois eles já são incorporados ao mercado de trabalho ou ingressam diretamente no doutorado. (Capes, 2017). </w:t>
      </w:r>
      <w:r w:rsidRPr="00B748A1">
        <w:rPr>
          <w:rFonts w:ascii="Times New Roman" w:eastAsia="Arial" w:hAnsi="Times New Roman" w:cs="Times New Roman"/>
          <w:sz w:val="24"/>
          <w:szCs w:val="24"/>
        </w:rPr>
        <w:lastRenderedPageBreak/>
        <w:t>“Com a recente criação do curso de doutorado, este programa terá um impacto regional importante na formação de recursos humanos de alta qualidade que poderão atuar como docentes, pesquisadores ou profissionais da área de microbiologia.” (Capes, 2017).</w:t>
      </w:r>
    </w:p>
    <w:p w14:paraId="6699DD5E" w14:textId="31DB4A31" w:rsidR="6EFEFAA6" w:rsidRPr="00B748A1" w:rsidRDefault="6EFEFAA6"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A produção cientifica em periódicos ficou com uma quantidade (193) e qualidade muito boas, sendo a produção, entorno de, 39 extratos A1+A2 e 81 nos extratos A1+A2+B1. É importante frisar que a produção de artigos é produzida em sua maior parte pelos docentes permanentes, porem a produção feita pelos colaboradores não fica muito atrás e possui um peso considerável na produção do programa, apresentando 40 de um total de 233 artigos. A produção de capitulo de livros dos discentes e participação em patente é boa, apontando para 33 capítulos de livros e uma participação em patente feita. (Capes, 2017).</w:t>
      </w:r>
    </w:p>
    <w:p w14:paraId="62D0358A" w14:textId="55127137" w:rsidR="6EFEFAA6" w:rsidRPr="00B748A1" w:rsidRDefault="6EFEFAA6" w:rsidP="00B748A1">
      <w:pPr>
        <w:spacing w:line="360" w:lineRule="auto"/>
        <w:rPr>
          <w:rFonts w:ascii="Times New Roman" w:eastAsia="Arial" w:hAnsi="Times New Roman" w:cs="Times New Roman"/>
          <w:sz w:val="24"/>
          <w:szCs w:val="24"/>
        </w:rPr>
      </w:pPr>
    </w:p>
    <w:p w14:paraId="269CD99B" w14:textId="4916C4D6" w:rsidR="6A0C3B43" w:rsidRPr="00B748A1" w:rsidRDefault="5D108EBC" w:rsidP="5D108EBC">
      <w:pPr>
        <w:spacing w:line="360" w:lineRule="auto"/>
        <w:ind w:left="360"/>
        <w:rPr>
          <w:rFonts w:ascii="Times New Roman" w:eastAsia="Arial" w:hAnsi="Times New Roman" w:cs="Times New Roman"/>
          <w:color w:val="000000" w:themeColor="text1"/>
          <w:sz w:val="24"/>
          <w:szCs w:val="24"/>
        </w:rPr>
      </w:pPr>
      <w:r w:rsidRPr="5D108EBC">
        <w:rPr>
          <w:rFonts w:ascii="Times New Roman" w:eastAsia="Arial" w:hAnsi="Times New Roman" w:cs="Times New Roman"/>
          <w:color w:val="000000" w:themeColor="text1"/>
          <w:sz w:val="24"/>
          <w:szCs w:val="24"/>
        </w:rPr>
        <w:t>2.2 Patologia Molecular</w:t>
      </w:r>
    </w:p>
    <w:p w14:paraId="343A258B" w14:textId="155E9CC7" w:rsidR="6EFEFAA6" w:rsidRPr="00B748A1" w:rsidRDefault="6EFEFAA6" w:rsidP="00B748A1">
      <w:pPr>
        <w:spacing w:line="360" w:lineRule="auto"/>
        <w:rPr>
          <w:rFonts w:ascii="Times New Roman" w:hAnsi="Times New Roman" w:cs="Times New Roman"/>
          <w:sz w:val="24"/>
          <w:szCs w:val="24"/>
        </w:rPr>
      </w:pPr>
      <w:r w:rsidRPr="00B748A1">
        <w:rPr>
          <w:rFonts w:ascii="Times New Roman" w:eastAsia="Times New Roman" w:hAnsi="Times New Roman" w:cs="Times New Roman"/>
          <w:sz w:val="24"/>
          <w:szCs w:val="24"/>
        </w:rPr>
        <w:t>O Programa de Pós-Graduação da Universidade de Brasília em Patologia Molecular, tem perspectivas de desenvolvimento incluindo a capacitação dos docentes, dos discentes e colaboradores internacionais. Esse programa tem uma linha multidisciplinar ligado à área da saúde. Eles vêm implementando medidas para aumentar as exigências na produção cientifica para contratação de orientadores e possuem uma boa infraestrutura para garantir o desenvolvimento do programa. O Programa contêm 3 áreas de conhecimento que contou com cerca de 20 projetos no período. A maioria dos projetos foram financiados e possuem quase a totalidade de docentes permanentes em sua elaboração. Sendo 11 deles da área de Biologia Molecular e desses 11, 3 deles são pertencentes também ao Programa de Biotecnologia e Biodiversidade.</w:t>
      </w:r>
      <w:r w:rsidR="18705DF5" w:rsidRPr="18705DF5">
        <w:rPr>
          <w:rFonts w:ascii="Times New Roman" w:eastAsia="Times New Roman" w:hAnsi="Times New Roman" w:cs="Times New Roman"/>
          <w:sz w:val="24"/>
          <w:szCs w:val="24"/>
        </w:rPr>
        <w:t xml:space="preserve"> (Capes, 2017).</w:t>
      </w:r>
    </w:p>
    <w:p w14:paraId="031891F4" w14:textId="10C3DC2D" w:rsidR="6EFEFAA6" w:rsidRPr="00B748A1" w:rsidRDefault="6EFEFAA6" w:rsidP="00B748A1">
      <w:pPr>
        <w:spacing w:line="360" w:lineRule="auto"/>
        <w:rPr>
          <w:rFonts w:ascii="Times New Roman" w:hAnsi="Times New Roman" w:cs="Times New Roman"/>
          <w:sz w:val="24"/>
          <w:szCs w:val="24"/>
        </w:rPr>
      </w:pPr>
      <w:r w:rsidRPr="00B748A1">
        <w:rPr>
          <w:rFonts w:ascii="Times New Roman" w:eastAsia="Times New Roman" w:hAnsi="Times New Roman" w:cs="Times New Roman"/>
          <w:sz w:val="24"/>
          <w:szCs w:val="24"/>
        </w:rPr>
        <w:t xml:space="preserve">Em relação ao corpo docente o programa apresentou por volta de 20 docentes permanentes e 5 docentes colaboradores. Todos eles possuem doutorado e pertencem a diversas áreas do conhecimento, como: Morfologia, Bioquímica, Medicina, Genética, entre outros. E possuem formação em instituições nacionais e internacionais. Cerca de 76% deles são bolsistas produtividade CNPq, que são distribuídos nos níveis 1A até 1D, nível 2 e bolsa DTI2. Já o corpo discente contou com 37 mestre e 35 doutores formados, que foram orientados por 17 docentes permanentes da área. Somente 3 discentes colaborativos não tiveram orientados no período, mas apresentam formações em andamento. A produção em artigos com Qualis A1-B1 foi de 128, sendo 53% dos artigos em Qualis A1,A2 e B1 e 40% em artigos Qualis B2 a </w:t>
      </w:r>
      <w:r w:rsidRPr="00B748A1">
        <w:rPr>
          <w:rFonts w:ascii="Times New Roman" w:eastAsia="Times New Roman" w:hAnsi="Times New Roman" w:cs="Times New Roman"/>
          <w:sz w:val="24"/>
          <w:szCs w:val="24"/>
        </w:rPr>
        <w:lastRenderedPageBreak/>
        <w:t>B5. O tempo de formação dos discentes também foi muito boa em relação ao período anterior, apresentando uma redução no tempo médio de titulação.</w:t>
      </w:r>
      <w:r w:rsidR="18705DF5" w:rsidRPr="18705DF5">
        <w:rPr>
          <w:rFonts w:ascii="Times New Roman" w:eastAsia="Times New Roman" w:hAnsi="Times New Roman" w:cs="Times New Roman"/>
          <w:sz w:val="24"/>
          <w:szCs w:val="24"/>
        </w:rPr>
        <w:t xml:space="preserve"> (Capes, 2017).</w:t>
      </w:r>
    </w:p>
    <w:p w14:paraId="62F0BF3E" w14:textId="4FC8F32A" w:rsidR="6EFEFAA6" w:rsidRPr="00B748A1" w:rsidRDefault="6EFEFAA6" w:rsidP="00B748A1">
      <w:pPr>
        <w:spacing w:line="360" w:lineRule="auto"/>
        <w:rPr>
          <w:rFonts w:ascii="Times New Roman" w:hAnsi="Times New Roman" w:cs="Times New Roman"/>
          <w:sz w:val="24"/>
          <w:szCs w:val="24"/>
        </w:rPr>
      </w:pPr>
      <w:r w:rsidRPr="00B748A1">
        <w:rPr>
          <w:rFonts w:ascii="Times New Roman" w:eastAsia="Times New Roman" w:hAnsi="Times New Roman" w:cs="Times New Roman"/>
          <w:sz w:val="24"/>
          <w:szCs w:val="24"/>
        </w:rPr>
        <w:t>A produção intelectual dos docentes permanentes neste período foi de 266 artigos, sendo 66% deles em Qualis A1, A2 e B1 e 34% deles em Qualis B2 a B5. Em comparação com o quadriênio anterior houve uma melhora considerável na produção do programa e a pontuação por docente ficou em torno de 697 pontos. Os capitulo de livros tiveram uma pontuação de 315, o que é considerado muito bom para o programa. Destaca-se que todos os docentes permanentes possuem publicações qualificadas no período em questão e que 8 patentes da área ganharam 510 pontos.</w:t>
      </w:r>
      <w:r w:rsidR="18705DF5" w:rsidRPr="18705DF5">
        <w:rPr>
          <w:rFonts w:ascii="Times New Roman" w:eastAsia="Times New Roman" w:hAnsi="Times New Roman" w:cs="Times New Roman"/>
          <w:sz w:val="24"/>
          <w:szCs w:val="24"/>
        </w:rPr>
        <w:t xml:space="preserve"> (Capes, 2017).</w:t>
      </w:r>
    </w:p>
    <w:p w14:paraId="66FD5BB6" w14:textId="651FA652" w:rsidR="6EFEFAA6" w:rsidRPr="00B748A1" w:rsidRDefault="6EFEFAA6" w:rsidP="00B748A1">
      <w:pPr>
        <w:spacing w:line="360" w:lineRule="auto"/>
        <w:rPr>
          <w:rFonts w:ascii="Times New Roman" w:hAnsi="Times New Roman" w:cs="Times New Roman"/>
          <w:sz w:val="24"/>
          <w:szCs w:val="24"/>
        </w:rPr>
      </w:pPr>
      <w:r w:rsidRPr="00B748A1">
        <w:rPr>
          <w:rFonts w:ascii="Times New Roman" w:eastAsia="Arial" w:hAnsi="Times New Roman" w:cs="Times New Roman"/>
          <w:sz w:val="24"/>
          <w:szCs w:val="24"/>
        </w:rPr>
        <w:t>Já ao que se refere a inserção social o programa tem um bom número de doutores deste programa participando dos cursos de graduação e pós-graduação. Vários dos professores participam do programa Reuni e trabalham em órgãos públicos como:  Secretaria de Educação do Distrito Federal, Agência do Meio Ambiente do Estado de Goiás, Ministérios, entre outros. Além do mais, é importante destacar que alguns destes docentes participam do programa de mestrado profissional em ensino de biologia em rede nacional (PROFBIO), que tem por objetivo a qualificação do professor de biologia do ensino básico. O programa ainda possui muitas colaborações nacionais e internacionais e alguns intercâmbios internacionais feitos por pós-doutorandos da área.</w:t>
      </w:r>
      <w:r w:rsidR="18705DF5" w:rsidRPr="18705DF5">
        <w:rPr>
          <w:rFonts w:ascii="Times New Roman" w:eastAsia="Arial" w:hAnsi="Times New Roman" w:cs="Times New Roman"/>
          <w:sz w:val="24"/>
          <w:szCs w:val="24"/>
        </w:rPr>
        <w:t xml:space="preserve"> (Capes, 2017).</w:t>
      </w:r>
    </w:p>
    <w:p w14:paraId="3574EE71" w14:textId="23208677" w:rsidR="6EFEFAA6" w:rsidRPr="00B748A1" w:rsidRDefault="6EFEFAA6" w:rsidP="00B748A1">
      <w:pPr>
        <w:spacing w:line="360" w:lineRule="auto"/>
        <w:ind w:left="360"/>
        <w:rPr>
          <w:rFonts w:ascii="Times New Roman" w:eastAsia="Arial" w:hAnsi="Times New Roman" w:cs="Times New Roman"/>
          <w:color w:val="000000" w:themeColor="text1"/>
          <w:sz w:val="24"/>
          <w:szCs w:val="24"/>
        </w:rPr>
      </w:pPr>
    </w:p>
    <w:p w14:paraId="0DF419EE" w14:textId="003E0857"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p>
    <w:p w14:paraId="71045929" w14:textId="5E275A52"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p>
    <w:p w14:paraId="19CE685D" w14:textId="354BC811" w:rsidR="4FA9EFBB" w:rsidRPr="00B748A1" w:rsidRDefault="4FA9EFBB" w:rsidP="00B748A1">
      <w:pPr>
        <w:spacing w:line="360" w:lineRule="auto"/>
        <w:rPr>
          <w:rFonts w:ascii="Times New Roman" w:eastAsia="Arial" w:hAnsi="Times New Roman" w:cs="Times New Roman"/>
          <w:sz w:val="24"/>
          <w:szCs w:val="24"/>
        </w:rPr>
      </w:pPr>
    </w:p>
    <w:p w14:paraId="09F2FC97" w14:textId="34C1C743" w:rsidR="580D7E56" w:rsidRPr="00B748A1" w:rsidRDefault="6A0C3B43"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xml:space="preserve"> </w:t>
      </w:r>
    </w:p>
    <w:p w14:paraId="606439A1" w14:textId="322769BC" w:rsidR="580D7E56" w:rsidRPr="00B748A1" w:rsidRDefault="6A0C3B43"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xml:space="preserve">REFERENCIAS: </w:t>
      </w:r>
    </w:p>
    <w:p w14:paraId="5883A480" w14:textId="24DFA272" w:rsidR="00DA0092" w:rsidRPr="00DA0092" w:rsidRDefault="00DA0092" w:rsidP="00DA0092">
      <w:pPr>
        <w:spacing w:line="360" w:lineRule="auto"/>
        <w:rPr>
          <w:rFonts w:ascii="Times New Roman" w:eastAsia="Calibri" w:hAnsi="Times New Roman" w:cs="Times New Roman"/>
          <w:sz w:val="24"/>
          <w:szCs w:val="24"/>
        </w:rPr>
      </w:pPr>
      <w:r w:rsidRPr="00DA0092">
        <w:rPr>
          <w:rFonts w:ascii="Times New Roman" w:eastAsia="Arial" w:hAnsi="Times New Roman" w:cs="Times New Roman"/>
          <w:sz w:val="24"/>
          <w:szCs w:val="24"/>
        </w:rPr>
        <w:t>PORTAL DE PERIODICOS</w:t>
      </w:r>
      <w:r>
        <w:rPr>
          <w:rFonts w:ascii="Times New Roman" w:eastAsia="Arial" w:hAnsi="Times New Roman" w:cs="Times New Roman"/>
          <w:sz w:val="24"/>
          <w:szCs w:val="24"/>
        </w:rPr>
        <w:t xml:space="preserve"> UNISUL</w:t>
      </w:r>
      <w:r w:rsidRPr="00DA0092">
        <w:rPr>
          <w:rFonts w:ascii="Times New Roman" w:eastAsia="Arial" w:hAnsi="Times New Roman" w:cs="Times New Roman"/>
          <w:sz w:val="24"/>
          <w:szCs w:val="24"/>
        </w:rPr>
        <w:t>, O Processo de Avaliação do Sistema Nacional de Pós-Graduação Identifica a Capes e a Diferencia de outras Agencias. Disponível em: (</w:t>
      </w:r>
      <w:hyperlink r:id="rId7">
        <w:r w:rsidRPr="00DA0092">
          <w:rPr>
            <w:rStyle w:val="Hyperlink"/>
            <w:rFonts w:ascii="Times New Roman" w:eastAsia="Arial" w:hAnsi="Times New Roman" w:cs="Times New Roman"/>
            <w:color w:val="auto"/>
            <w:sz w:val="24"/>
            <w:szCs w:val="24"/>
            <w:u w:val="none"/>
          </w:rPr>
          <w:t>http://www.portaldeperiodicos.unisul.br/index.php/</w:t>
        </w:r>
        <w:r w:rsidRPr="00DA0092">
          <w:rPr>
            <w:rStyle w:val="Hyperlink"/>
            <w:rFonts w:ascii="Times New Roman" w:eastAsia="Calibri" w:hAnsi="Times New Roman" w:cs="Times New Roman"/>
            <w:color w:val="auto"/>
            <w:sz w:val="24"/>
            <w:szCs w:val="24"/>
            <w:u w:val="none"/>
          </w:rPr>
          <w:t>Poiesis/article/view/1961/2708</w:t>
        </w:r>
      </w:hyperlink>
      <w:r w:rsidRPr="00DA0092">
        <w:rPr>
          <w:rStyle w:val="Hyperlink"/>
          <w:rFonts w:ascii="Times New Roman" w:eastAsia="Calibri" w:hAnsi="Times New Roman" w:cs="Times New Roman"/>
          <w:color w:val="auto"/>
          <w:sz w:val="24"/>
          <w:szCs w:val="24"/>
          <w:u w:val="none"/>
        </w:rPr>
        <w:t xml:space="preserve">). Acessado em: </w:t>
      </w:r>
      <w:r>
        <w:rPr>
          <w:rStyle w:val="Hyperlink"/>
          <w:rFonts w:ascii="Times New Roman" w:eastAsia="Calibri" w:hAnsi="Times New Roman" w:cs="Times New Roman"/>
          <w:color w:val="auto"/>
          <w:sz w:val="24"/>
          <w:szCs w:val="24"/>
          <w:u w:val="none"/>
        </w:rPr>
        <w:t>01/12/2018.</w:t>
      </w:r>
    </w:p>
    <w:p w14:paraId="3CF8A2B9" w14:textId="12E8BDB6" w:rsidR="00DA0092" w:rsidRPr="00DA0092" w:rsidRDefault="00DA0092" w:rsidP="00BA75BA">
      <w:pPr>
        <w:spacing w:line="360" w:lineRule="auto"/>
        <w:rPr>
          <w:rFonts w:ascii="Times New Roman" w:eastAsia="Calibri" w:hAnsi="Times New Roman" w:cs="Times New Roman"/>
          <w:sz w:val="24"/>
          <w:szCs w:val="24"/>
        </w:rPr>
      </w:pPr>
      <w:r w:rsidRPr="00DA0092">
        <w:rPr>
          <w:rFonts w:ascii="Times New Roman" w:eastAsia="Arial" w:hAnsi="Times New Roman" w:cs="Times New Roman"/>
          <w:sz w:val="24"/>
          <w:szCs w:val="24"/>
        </w:rPr>
        <w:t xml:space="preserve">PORTAL MEC, A Avaliação do Sistema Nacional de Pós-Graduação Stricto Sensu. Disponível em: </w:t>
      </w:r>
      <w:r w:rsidRPr="00DA0092">
        <w:rPr>
          <w:rFonts w:ascii="Times New Roman" w:eastAsia="Arial" w:hAnsi="Times New Roman" w:cs="Times New Roman"/>
          <w:sz w:val="24"/>
          <w:szCs w:val="24"/>
        </w:rPr>
        <w:lastRenderedPageBreak/>
        <w:t>(</w:t>
      </w:r>
      <w:hyperlink r:id="rId8">
        <w:r w:rsidRPr="00DA0092">
          <w:rPr>
            <w:rStyle w:val="Hyperlink"/>
            <w:rFonts w:ascii="Times New Roman" w:eastAsia="Calibri" w:hAnsi="Times New Roman" w:cs="Times New Roman"/>
            <w:color w:val="auto"/>
            <w:sz w:val="24"/>
            <w:szCs w:val="24"/>
            <w:u w:val="none"/>
          </w:rPr>
          <w:t>http://portal.mec.gov.br/index.php?option=com_docman&amp;view=download&amp;alias=1904-geraldo-nunes&amp;category_slug=novembro-2009-pdf&amp;Itemid=30192</w:t>
        </w:r>
      </w:hyperlink>
      <w:r w:rsidRPr="00DA0092">
        <w:rPr>
          <w:rStyle w:val="Hyperlink"/>
          <w:rFonts w:ascii="Times New Roman" w:eastAsia="Calibri" w:hAnsi="Times New Roman" w:cs="Times New Roman"/>
          <w:color w:val="auto"/>
          <w:sz w:val="24"/>
          <w:szCs w:val="24"/>
          <w:u w:val="none"/>
        </w:rPr>
        <w:t>). Acessado em: 01/12/2018</w:t>
      </w:r>
      <w:r>
        <w:rPr>
          <w:rStyle w:val="Hyperlink"/>
          <w:rFonts w:ascii="Times New Roman" w:eastAsia="Calibri" w:hAnsi="Times New Roman" w:cs="Times New Roman"/>
          <w:color w:val="auto"/>
          <w:sz w:val="24"/>
          <w:szCs w:val="24"/>
          <w:u w:val="none"/>
        </w:rPr>
        <w:t>.</w:t>
      </w:r>
    </w:p>
    <w:p w14:paraId="65F1C7FE" w14:textId="46F88B12" w:rsidR="00BA75BA" w:rsidRDefault="00BA75BA" w:rsidP="00BA75BA">
      <w:pPr>
        <w:pStyle w:val="NormalWeb"/>
        <w:spacing w:line="360" w:lineRule="auto"/>
        <w:rPr>
          <w:rFonts w:eastAsia="Yu Gothic Light"/>
          <w:color w:val="000000"/>
        </w:rPr>
      </w:pPr>
      <w:r w:rsidRPr="00BA75BA">
        <w:rPr>
          <w:rFonts w:eastAsia="Calibri"/>
        </w:rPr>
        <w:t xml:space="preserve">LEITE, Fernando. Título: </w:t>
      </w:r>
      <w:r w:rsidRPr="00BA75BA">
        <w:rPr>
          <w:rFonts w:eastAsia="Arial"/>
        </w:rPr>
        <w:t>Considerações básicas sobre a Avaliação do Sistema Nacional de Pos-Graduação.PDF,</w:t>
      </w:r>
      <w:r w:rsidRPr="00BA75BA">
        <w:rPr>
          <w:rFonts w:eastAsia="Yu Gothic Light"/>
          <w:color w:val="000000"/>
        </w:rPr>
        <w:t xml:space="preserve"> Programa de Pós-Graduação em Ciência da Informação, Universidade de Brasília.</w:t>
      </w:r>
    </w:p>
    <w:p w14:paraId="15181F14" w14:textId="77777777" w:rsidR="00893AC6" w:rsidRDefault="00893AC6" w:rsidP="00893AC6">
      <w:pPr>
        <w:spacing w:line="360" w:lineRule="auto"/>
        <w:rPr>
          <w:rFonts w:ascii="Times New Roman" w:hAnsi="Times New Roman" w:cs="Times New Roman"/>
          <w:sz w:val="24"/>
          <w:szCs w:val="24"/>
        </w:rPr>
      </w:pPr>
      <w:r>
        <w:rPr>
          <w:rFonts w:ascii="Times New Roman" w:hAnsi="Times New Roman" w:cs="Times New Roman"/>
          <w:sz w:val="24"/>
          <w:szCs w:val="24"/>
        </w:rPr>
        <w:t>CAPES, Ficha de Avaliação, Ciências Biológicas I, Biologia Animal, 2017.</w:t>
      </w:r>
    </w:p>
    <w:p w14:paraId="596CEFF8" w14:textId="77777777" w:rsidR="00893AC6" w:rsidRPr="00B748A1" w:rsidRDefault="00893AC6" w:rsidP="00893AC6">
      <w:pPr>
        <w:spacing w:line="360" w:lineRule="auto"/>
        <w:rPr>
          <w:rFonts w:ascii="Times New Roman" w:hAnsi="Times New Roman" w:cs="Times New Roman"/>
          <w:sz w:val="24"/>
          <w:szCs w:val="24"/>
        </w:rPr>
      </w:pPr>
      <w:r>
        <w:rPr>
          <w:rFonts w:ascii="Times New Roman" w:hAnsi="Times New Roman" w:cs="Times New Roman"/>
          <w:sz w:val="24"/>
          <w:szCs w:val="24"/>
        </w:rPr>
        <w:t>CAPES, Ficha de Avaliação, Ciências Biológicas I, Biologia Molecular, 2017.</w:t>
      </w:r>
    </w:p>
    <w:p w14:paraId="433EF5A7" w14:textId="77777777" w:rsidR="00893AC6" w:rsidRPr="00B748A1" w:rsidRDefault="00893AC6" w:rsidP="00893AC6">
      <w:pPr>
        <w:spacing w:line="360" w:lineRule="auto"/>
        <w:rPr>
          <w:rFonts w:ascii="Times New Roman" w:hAnsi="Times New Roman" w:cs="Times New Roman"/>
          <w:sz w:val="24"/>
          <w:szCs w:val="24"/>
        </w:rPr>
      </w:pPr>
      <w:r>
        <w:rPr>
          <w:rFonts w:ascii="Times New Roman" w:hAnsi="Times New Roman" w:cs="Times New Roman"/>
          <w:sz w:val="24"/>
          <w:szCs w:val="24"/>
        </w:rPr>
        <w:t>CAPES, Ficha de Avaliação, Ciências Biológicas III, Biologia Microbiana, 2017.</w:t>
      </w:r>
    </w:p>
    <w:p w14:paraId="6162EB79" w14:textId="77777777" w:rsidR="00893AC6" w:rsidRDefault="00893AC6" w:rsidP="00893AC6">
      <w:pPr>
        <w:spacing w:line="360" w:lineRule="auto"/>
        <w:rPr>
          <w:rFonts w:ascii="Times New Roman" w:hAnsi="Times New Roman" w:cs="Times New Roman"/>
          <w:sz w:val="24"/>
          <w:szCs w:val="24"/>
        </w:rPr>
      </w:pPr>
      <w:r>
        <w:rPr>
          <w:rFonts w:ascii="Times New Roman" w:hAnsi="Times New Roman" w:cs="Times New Roman"/>
          <w:sz w:val="24"/>
          <w:szCs w:val="24"/>
        </w:rPr>
        <w:t>CAPES, Ficha de Avaliação, Ciências Biológicas IIII, Patologia Molecular, 2017.</w:t>
      </w:r>
    </w:p>
    <w:p w14:paraId="2AF058B3" w14:textId="77777777" w:rsidR="00893AC6" w:rsidRDefault="00893AC6" w:rsidP="00893AC6">
      <w:pPr>
        <w:pStyle w:val="NormalWeb"/>
        <w:rPr>
          <w:color w:val="000000"/>
        </w:rPr>
      </w:pPr>
      <w:r w:rsidRPr="00893AC6">
        <w:t xml:space="preserve">CAPES, Documento de Área, </w:t>
      </w:r>
      <w:r w:rsidRPr="00893AC6">
        <w:rPr>
          <w:color w:val="000000"/>
        </w:rPr>
        <w:t>Área 06 – Ciências Biológicas I, 2016.</w:t>
      </w:r>
    </w:p>
    <w:p w14:paraId="61879967" w14:textId="77777777" w:rsidR="00893AC6" w:rsidRPr="00893AC6" w:rsidRDefault="00893AC6" w:rsidP="00893AC6">
      <w:pPr>
        <w:pStyle w:val="NormalWeb"/>
      </w:pPr>
      <w:r w:rsidRPr="00893AC6">
        <w:t xml:space="preserve">CAPES, Documento de Área, </w:t>
      </w:r>
      <w:r w:rsidRPr="00893AC6">
        <w:rPr>
          <w:color w:val="000000"/>
        </w:rPr>
        <w:t>Ciências Biológicas I</w:t>
      </w:r>
      <w:r>
        <w:rPr>
          <w:color w:val="000000"/>
        </w:rPr>
        <w:t>II</w:t>
      </w:r>
      <w:r w:rsidRPr="00893AC6">
        <w:rPr>
          <w:color w:val="000000"/>
        </w:rPr>
        <w:t>, 2016.</w:t>
      </w:r>
    </w:p>
    <w:p w14:paraId="3A882C4B" w14:textId="77777777" w:rsidR="00893AC6" w:rsidRPr="00BA75BA" w:rsidRDefault="00893AC6" w:rsidP="00BA75BA">
      <w:pPr>
        <w:pStyle w:val="NormalWeb"/>
        <w:spacing w:line="360" w:lineRule="auto"/>
      </w:pPr>
    </w:p>
    <w:p w14:paraId="07923F02" w14:textId="77777777" w:rsidR="00BA75BA" w:rsidRDefault="00BA75BA" w:rsidP="00BA75BA">
      <w:pPr>
        <w:spacing w:line="360" w:lineRule="auto"/>
        <w:rPr>
          <w:rFonts w:ascii="Times New Roman" w:eastAsia="Calibri" w:hAnsi="Times New Roman" w:cs="Times New Roman"/>
          <w:sz w:val="24"/>
          <w:szCs w:val="24"/>
        </w:rPr>
      </w:pPr>
    </w:p>
    <w:p w14:paraId="71B711F9" w14:textId="0CAB2DA5" w:rsidR="00DA0092" w:rsidRDefault="00DA0092" w:rsidP="18705DF5">
      <w:pPr>
        <w:shd w:val="clear" w:color="auto" w:fill="FFFFFF" w:themeFill="background1"/>
        <w:rPr>
          <w:rFonts w:ascii="Times New Roman" w:eastAsia="Arial" w:hAnsi="Times New Roman" w:cs="Times New Roman"/>
          <w:sz w:val="24"/>
          <w:szCs w:val="24"/>
        </w:rPr>
      </w:pPr>
    </w:p>
    <w:p w14:paraId="50BDAA03" w14:textId="77777777" w:rsidR="00DA0092" w:rsidRDefault="00DA0092" w:rsidP="18705DF5">
      <w:pPr>
        <w:shd w:val="clear" w:color="auto" w:fill="FFFFFF" w:themeFill="background1"/>
        <w:rPr>
          <w:rFonts w:ascii="Times New Roman" w:eastAsia="Arial" w:hAnsi="Times New Roman" w:cs="Times New Roman"/>
          <w:sz w:val="24"/>
          <w:szCs w:val="24"/>
        </w:rPr>
      </w:pPr>
    </w:p>
    <w:p w14:paraId="01F88C79" w14:textId="6C8294D8" w:rsidR="00DA0092" w:rsidRPr="00BA75BA" w:rsidRDefault="00DA0092" w:rsidP="00B748A1">
      <w:pPr>
        <w:spacing w:line="360" w:lineRule="auto"/>
        <w:rPr>
          <w:rFonts w:ascii="Open Sans" w:hAnsi="Open Sans" w:cs="Open Sans"/>
          <w:color w:val="666666"/>
          <w:shd w:val="clear" w:color="auto" w:fill="FFFFFF"/>
        </w:rPr>
      </w:pPr>
      <w:r>
        <w:rPr>
          <w:rStyle w:val="Forte"/>
          <w:rFonts w:ascii="Open Sans" w:hAnsi="Open Sans" w:cs="Open Sans"/>
          <w:color w:val="666666"/>
          <w:shd w:val="clear" w:color="auto" w:fill="FFFFFF"/>
        </w:rPr>
        <w:t>Modelo de referência de página da web</w:t>
      </w:r>
      <w:r>
        <w:rPr>
          <w:rFonts w:ascii="Open Sans" w:hAnsi="Open Sans" w:cs="Open Sans"/>
          <w:color w:val="666666"/>
          <w:shd w:val="clear" w:color="auto" w:fill="FFFFFF"/>
        </w:rPr>
        <w:t>: NOME DO SITE, </w:t>
      </w:r>
      <w:r>
        <w:rPr>
          <w:rStyle w:val="Forte"/>
          <w:rFonts w:ascii="Open Sans" w:hAnsi="Open Sans" w:cs="Open Sans"/>
          <w:color w:val="666666"/>
          <w:shd w:val="clear" w:color="auto" w:fill="FFFFFF"/>
        </w:rPr>
        <w:t>Título</w:t>
      </w:r>
      <w:r>
        <w:rPr>
          <w:rFonts w:ascii="Open Sans" w:hAnsi="Open Sans" w:cs="Open Sans"/>
          <w:color w:val="666666"/>
          <w:shd w:val="clear" w:color="auto" w:fill="FFFFFF"/>
        </w:rPr>
        <w:t>. Disponível em: (endereço completo do site). Acesso em: DD Mês (abreviado) AAAA</w:t>
      </w:r>
    </w:p>
    <w:p w14:paraId="44C99C34" w14:textId="7D0FEA1F" w:rsidR="580D7E56" w:rsidRPr="00B748A1" w:rsidRDefault="00D25F27" w:rsidP="00B748A1">
      <w:pPr>
        <w:spacing w:line="360" w:lineRule="auto"/>
        <w:rPr>
          <w:rFonts w:ascii="Times New Roman" w:eastAsia="Calibri" w:hAnsi="Times New Roman" w:cs="Times New Roman"/>
          <w:sz w:val="24"/>
          <w:szCs w:val="24"/>
        </w:rPr>
      </w:pPr>
      <w:r>
        <w:rPr>
          <w:rStyle w:val="Forte"/>
          <w:rFonts w:ascii="Open Sans" w:hAnsi="Open Sans" w:cs="Open Sans"/>
          <w:color w:val="666666"/>
          <w:shd w:val="clear" w:color="auto" w:fill="FFFFFF"/>
        </w:rPr>
        <w:t>Modelo de referência de entidade</w:t>
      </w:r>
      <w:r>
        <w:rPr>
          <w:rFonts w:ascii="Open Sans" w:hAnsi="Open Sans" w:cs="Open Sans"/>
          <w:color w:val="666666"/>
          <w:shd w:val="clear" w:color="auto" w:fill="FFFFFF"/>
        </w:rPr>
        <w:t>: NOME DA INSTITUIÇÃO, </w:t>
      </w:r>
      <w:r>
        <w:rPr>
          <w:rStyle w:val="Forte"/>
          <w:rFonts w:ascii="Open Sans" w:hAnsi="Open Sans" w:cs="Open Sans"/>
          <w:color w:val="666666"/>
          <w:shd w:val="clear" w:color="auto" w:fill="FFFFFF"/>
        </w:rPr>
        <w:t>Título</w:t>
      </w:r>
      <w:r>
        <w:rPr>
          <w:rFonts w:ascii="Open Sans" w:hAnsi="Open Sans" w:cs="Open Sans"/>
          <w:color w:val="666666"/>
          <w:shd w:val="clear" w:color="auto" w:fill="FFFFFF"/>
        </w:rPr>
        <w:t>. Cidade: Editora, Ano</w:t>
      </w:r>
    </w:p>
    <w:p w14:paraId="422BEE7A" w14:textId="6D5E6B07" w:rsidR="580D7E56" w:rsidRDefault="00D25F27" w:rsidP="00B748A1">
      <w:pPr>
        <w:spacing w:line="360" w:lineRule="auto"/>
        <w:rPr>
          <w:rFonts w:ascii="Open Sans" w:hAnsi="Open Sans" w:cs="Open Sans"/>
          <w:color w:val="666666"/>
          <w:shd w:val="clear" w:color="auto" w:fill="FFFFFF"/>
        </w:rPr>
      </w:pPr>
      <w:r>
        <w:rPr>
          <w:rStyle w:val="Forte"/>
          <w:rFonts w:ascii="Open Sans" w:hAnsi="Open Sans" w:cs="Open Sans"/>
          <w:color w:val="666666"/>
          <w:shd w:val="clear" w:color="auto" w:fill="FFFFFF"/>
        </w:rPr>
        <w:t>Modelo de referência de página da web</w:t>
      </w:r>
      <w:r>
        <w:rPr>
          <w:rFonts w:ascii="Open Sans" w:hAnsi="Open Sans" w:cs="Open Sans"/>
          <w:color w:val="666666"/>
          <w:shd w:val="clear" w:color="auto" w:fill="FFFFFF"/>
        </w:rPr>
        <w:t>: NOME DO SITE, </w:t>
      </w:r>
      <w:r>
        <w:rPr>
          <w:rStyle w:val="Forte"/>
          <w:rFonts w:ascii="Open Sans" w:hAnsi="Open Sans" w:cs="Open Sans"/>
          <w:color w:val="666666"/>
          <w:shd w:val="clear" w:color="auto" w:fill="FFFFFF"/>
        </w:rPr>
        <w:t>Título</w:t>
      </w:r>
      <w:r>
        <w:rPr>
          <w:rFonts w:ascii="Open Sans" w:hAnsi="Open Sans" w:cs="Open Sans"/>
          <w:color w:val="666666"/>
          <w:shd w:val="clear" w:color="auto" w:fill="FFFFFF"/>
        </w:rPr>
        <w:t>. Disponível em: (endereço completo do site). Acesso em: DD Mês (abreviado) AAAA</w:t>
      </w:r>
    </w:p>
    <w:p w14:paraId="6DDA5E3E" w14:textId="0678942E" w:rsidR="00D25F27" w:rsidRPr="00B748A1" w:rsidRDefault="00DA0092" w:rsidP="00B748A1">
      <w:pPr>
        <w:spacing w:line="360" w:lineRule="auto"/>
        <w:rPr>
          <w:rFonts w:ascii="Times New Roman" w:eastAsia="Calibri" w:hAnsi="Times New Roman" w:cs="Times New Roman"/>
          <w:sz w:val="24"/>
          <w:szCs w:val="24"/>
        </w:rPr>
      </w:pPr>
      <w:r>
        <w:rPr>
          <w:rStyle w:val="Forte"/>
          <w:rFonts w:ascii="Open Sans" w:hAnsi="Open Sans" w:cs="Open Sans"/>
          <w:color w:val="666666"/>
          <w:shd w:val="clear" w:color="auto" w:fill="FFFFFF"/>
        </w:rPr>
        <w:t>Modelo de referência de trabalho acadêmico</w:t>
      </w:r>
      <w:r>
        <w:rPr>
          <w:rFonts w:ascii="Open Sans" w:hAnsi="Open Sans" w:cs="Open Sans"/>
          <w:color w:val="666666"/>
          <w:shd w:val="clear" w:color="auto" w:fill="FFFFFF"/>
        </w:rPr>
        <w:t>: SOBRENOME, Nome. </w:t>
      </w:r>
      <w:r>
        <w:rPr>
          <w:rStyle w:val="Forte"/>
          <w:rFonts w:ascii="Open Sans" w:hAnsi="Open Sans" w:cs="Open Sans"/>
          <w:color w:val="666666"/>
          <w:shd w:val="clear" w:color="auto" w:fill="FFFFFF"/>
        </w:rPr>
        <w:t>Título</w:t>
      </w:r>
      <w:r>
        <w:rPr>
          <w:rFonts w:ascii="Open Sans" w:hAnsi="Open Sans" w:cs="Open Sans"/>
          <w:color w:val="666666"/>
          <w:shd w:val="clear" w:color="auto" w:fill="FFFFFF"/>
        </w:rPr>
        <w:t>: Subtítulo(se houver). n° de folhas. Tipo de trabalho, Curso, instituição, Ano.</w:t>
      </w:r>
    </w:p>
    <w:p w14:paraId="104A1BD1" w14:textId="2FF2D0E1" w:rsidR="00BA75BA" w:rsidRPr="00BA75BA" w:rsidRDefault="00BA75BA" w:rsidP="00BA75BA">
      <w:pPr>
        <w:pStyle w:val="NormalWeb"/>
      </w:pPr>
    </w:p>
    <w:p w14:paraId="456E0A82" w14:textId="78A26E4E" w:rsidR="580D7E56" w:rsidRPr="00B748A1" w:rsidRDefault="580D7E56" w:rsidP="00B748A1">
      <w:pPr>
        <w:spacing w:line="360" w:lineRule="auto"/>
        <w:rPr>
          <w:rFonts w:ascii="Times New Roman" w:eastAsia="Calibri" w:hAnsi="Times New Roman" w:cs="Times New Roman"/>
          <w:sz w:val="24"/>
          <w:szCs w:val="24"/>
        </w:rPr>
      </w:pPr>
    </w:p>
    <w:p w14:paraId="4ABF307B" w14:textId="4414BE77" w:rsidR="00893AC6" w:rsidRPr="00893AC6" w:rsidRDefault="00893AC6" w:rsidP="5D108EBC">
      <w:pPr>
        <w:spacing w:line="360" w:lineRule="auto"/>
        <w:rPr>
          <w:rFonts w:ascii="Times New Roman" w:hAnsi="Times New Roman" w:cs="Times New Roman"/>
          <w:sz w:val="24"/>
          <w:szCs w:val="24"/>
        </w:rPr>
      </w:pPr>
    </w:p>
    <w:p w14:paraId="7203DBC7" w14:textId="77777777" w:rsidR="00893AC6" w:rsidRPr="00B748A1" w:rsidRDefault="00893AC6" w:rsidP="00B748A1">
      <w:pPr>
        <w:spacing w:line="360" w:lineRule="auto"/>
        <w:rPr>
          <w:rFonts w:ascii="Times New Roman" w:hAnsi="Times New Roman" w:cs="Times New Roman"/>
          <w:sz w:val="24"/>
          <w:szCs w:val="24"/>
        </w:rPr>
      </w:pPr>
    </w:p>
    <w:sectPr w:rsidR="00893AC6" w:rsidRPr="00B748A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ia Julia Goncalves" w:date="2018-12-05T14:42:00Z" w:initials="MG">
    <w:p w14:paraId="5585886F" w14:textId="0863FE62" w:rsidR="00BC1133" w:rsidRDefault="00BC1133">
      <w:r>
        <w:t>LEITE, Fernando. Título: Considerações básicas sobre a Avaliação do Sistema Nacional de Pos-Graduação.PDF, Programa de Pós-Graduação em Ciência da Informação, Universidade de Brasília.</w:t>
      </w:r>
      <w:r>
        <w:annotationRef/>
      </w:r>
    </w:p>
  </w:comment>
  <w:comment w:id="2" w:author="Maria Julia Goncalves" w:date="2018-12-05T16:32:00Z" w:initials="MJG">
    <w:p w14:paraId="70E6984E" w14:textId="596DE491" w:rsidR="00BC1133" w:rsidRDefault="00BC1133">
      <w:pPr>
        <w:pStyle w:val="Textodecomentrio"/>
      </w:pPr>
      <w:r>
        <w:rPr>
          <w:rStyle w:val="Refdecomentrio"/>
        </w:rPr>
        <w:annotationRef/>
      </w:r>
    </w:p>
  </w:comment>
  <w:comment w:id="3" w:author="Maria Julia Goncalves" w:date="2018-12-05T16:32:00Z" w:initials="MJG">
    <w:p w14:paraId="67E66ECF" w14:textId="0E35D6C4" w:rsidR="00BC1133" w:rsidRDefault="00BC1133">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85886F" w15:done="0"/>
  <w15:commentEx w15:paraId="70E6984E" w15:done="0"/>
  <w15:commentEx w15:paraId="67E66ECF" w15:done="0"/>
</w15:commentsEx>
</file>

<file path=word/commentsIds.xml><?xml version="1.0" encoding="utf-8"?>
<w16cid:commentsIds xmlns:mc="http://schemas.openxmlformats.org/markup-compatibility/2006" xmlns:w16cid="http://schemas.microsoft.com/office/word/2016/wordml/cid" mc:Ignorable="w16cid">
  <w16cid:commentId w16cid:paraId="5585886F" w16cid:durableId="21BD28FE"/>
  <w16cid:commentId w16cid:paraId="70E6984E" w16cid:durableId="5DB7AD43"/>
  <w16cid:commentId w16cid:paraId="67E66ECF" w16cid:durableId="5957CB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2081A"/>
    <w:multiLevelType w:val="hybridMultilevel"/>
    <w:tmpl w:val="1AD0F8E2"/>
    <w:lvl w:ilvl="0" w:tplc="B9CC6972">
      <w:start w:val="1"/>
      <w:numFmt w:val="decimal"/>
      <w:lvlText w:val="%1."/>
      <w:lvlJc w:val="left"/>
      <w:pPr>
        <w:ind w:left="720" w:hanging="360"/>
      </w:pPr>
    </w:lvl>
    <w:lvl w:ilvl="1" w:tplc="BC66287E">
      <w:start w:val="1"/>
      <w:numFmt w:val="lowerLetter"/>
      <w:lvlText w:val="%2."/>
      <w:lvlJc w:val="left"/>
      <w:pPr>
        <w:ind w:left="1440" w:hanging="360"/>
      </w:pPr>
    </w:lvl>
    <w:lvl w:ilvl="2" w:tplc="DCE86E76">
      <w:start w:val="1"/>
      <w:numFmt w:val="lowerRoman"/>
      <w:lvlText w:val="%3."/>
      <w:lvlJc w:val="right"/>
      <w:pPr>
        <w:ind w:left="2160" w:hanging="180"/>
      </w:pPr>
    </w:lvl>
    <w:lvl w:ilvl="3" w:tplc="10C4A01A">
      <w:start w:val="1"/>
      <w:numFmt w:val="decimal"/>
      <w:lvlText w:val="%4."/>
      <w:lvlJc w:val="left"/>
      <w:pPr>
        <w:ind w:left="2880" w:hanging="360"/>
      </w:pPr>
    </w:lvl>
    <w:lvl w:ilvl="4" w:tplc="A210DCC6">
      <w:start w:val="1"/>
      <w:numFmt w:val="lowerLetter"/>
      <w:lvlText w:val="%5."/>
      <w:lvlJc w:val="left"/>
      <w:pPr>
        <w:ind w:left="3600" w:hanging="360"/>
      </w:pPr>
    </w:lvl>
    <w:lvl w:ilvl="5" w:tplc="573AB7A8">
      <w:start w:val="1"/>
      <w:numFmt w:val="lowerRoman"/>
      <w:lvlText w:val="%6."/>
      <w:lvlJc w:val="right"/>
      <w:pPr>
        <w:ind w:left="4320" w:hanging="180"/>
      </w:pPr>
    </w:lvl>
    <w:lvl w:ilvl="6" w:tplc="277C469C">
      <w:start w:val="1"/>
      <w:numFmt w:val="decimal"/>
      <w:lvlText w:val="%7."/>
      <w:lvlJc w:val="left"/>
      <w:pPr>
        <w:ind w:left="5040" w:hanging="360"/>
      </w:pPr>
    </w:lvl>
    <w:lvl w:ilvl="7" w:tplc="1C6262B6">
      <w:start w:val="1"/>
      <w:numFmt w:val="lowerLetter"/>
      <w:lvlText w:val="%8."/>
      <w:lvlJc w:val="left"/>
      <w:pPr>
        <w:ind w:left="5760" w:hanging="360"/>
      </w:pPr>
    </w:lvl>
    <w:lvl w:ilvl="8" w:tplc="3954B96E">
      <w:start w:val="1"/>
      <w:numFmt w:val="lowerRoman"/>
      <w:lvlText w:val="%9."/>
      <w:lvlJc w:val="right"/>
      <w:pPr>
        <w:ind w:left="6480" w:hanging="180"/>
      </w:pPr>
    </w:lvl>
  </w:abstractNum>
  <w:abstractNum w:abstractNumId="1" w15:restartNumberingAfterBreak="0">
    <w:nsid w:val="1E154110"/>
    <w:multiLevelType w:val="hybridMultilevel"/>
    <w:tmpl w:val="9E361588"/>
    <w:lvl w:ilvl="0" w:tplc="56789452">
      <w:start w:val="1"/>
      <w:numFmt w:val="bullet"/>
      <w:lvlText w:val=""/>
      <w:lvlJc w:val="left"/>
      <w:pPr>
        <w:ind w:left="720" w:hanging="360"/>
      </w:pPr>
      <w:rPr>
        <w:rFonts w:ascii="Symbol" w:hAnsi="Symbol" w:hint="default"/>
      </w:rPr>
    </w:lvl>
    <w:lvl w:ilvl="1" w:tplc="A1A0E9B0">
      <w:start w:val="1"/>
      <w:numFmt w:val="bullet"/>
      <w:lvlText w:val="o"/>
      <w:lvlJc w:val="left"/>
      <w:pPr>
        <w:ind w:left="1440" w:hanging="360"/>
      </w:pPr>
      <w:rPr>
        <w:rFonts w:ascii="Courier New" w:hAnsi="Courier New" w:hint="default"/>
      </w:rPr>
    </w:lvl>
    <w:lvl w:ilvl="2" w:tplc="922E5894">
      <w:start w:val="1"/>
      <w:numFmt w:val="bullet"/>
      <w:lvlText w:val=""/>
      <w:lvlJc w:val="left"/>
      <w:pPr>
        <w:ind w:left="2160" w:hanging="360"/>
      </w:pPr>
      <w:rPr>
        <w:rFonts w:ascii="Wingdings" w:hAnsi="Wingdings" w:hint="default"/>
      </w:rPr>
    </w:lvl>
    <w:lvl w:ilvl="3" w:tplc="9AF058C0">
      <w:start w:val="1"/>
      <w:numFmt w:val="bullet"/>
      <w:lvlText w:val=""/>
      <w:lvlJc w:val="left"/>
      <w:pPr>
        <w:ind w:left="2880" w:hanging="360"/>
      </w:pPr>
      <w:rPr>
        <w:rFonts w:ascii="Symbol" w:hAnsi="Symbol" w:hint="default"/>
      </w:rPr>
    </w:lvl>
    <w:lvl w:ilvl="4" w:tplc="3F6A45D4">
      <w:start w:val="1"/>
      <w:numFmt w:val="bullet"/>
      <w:lvlText w:val="o"/>
      <w:lvlJc w:val="left"/>
      <w:pPr>
        <w:ind w:left="3600" w:hanging="360"/>
      </w:pPr>
      <w:rPr>
        <w:rFonts w:ascii="Courier New" w:hAnsi="Courier New" w:hint="default"/>
      </w:rPr>
    </w:lvl>
    <w:lvl w:ilvl="5" w:tplc="31D4DFD0">
      <w:start w:val="1"/>
      <w:numFmt w:val="bullet"/>
      <w:lvlText w:val=""/>
      <w:lvlJc w:val="left"/>
      <w:pPr>
        <w:ind w:left="4320" w:hanging="360"/>
      </w:pPr>
      <w:rPr>
        <w:rFonts w:ascii="Wingdings" w:hAnsi="Wingdings" w:hint="default"/>
      </w:rPr>
    </w:lvl>
    <w:lvl w:ilvl="6" w:tplc="F0B04DC2">
      <w:start w:val="1"/>
      <w:numFmt w:val="bullet"/>
      <w:lvlText w:val=""/>
      <w:lvlJc w:val="left"/>
      <w:pPr>
        <w:ind w:left="5040" w:hanging="360"/>
      </w:pPr>
      <w:rPr>
        <w:rFonts w:ascii="Symbol" w:hAnsi="Symbol" w:hint="default"/>
      </w:rPr>
    </w:lvl>
    <w:lvl w:ilvl="7" w:tplc="61DA6312">
      <w:start w:val="1"/>
      <w:numFmt w:val="bullet"/>
      <w:lvlText w:val="o"/>
      <w:lvlJc w:val="left"/>
      <w:pPr>
        <w:ind w:left="5760" w:hanging="360"/>
      </w:pPr>
      <w:rPr>
        <w:rFonts w:ascii="Courier New" w:hAnsi="Courier New" w:hint="default"/>
      </w:rPr>
    </w:lvl>
    <w:lvl w:ilvl="8" w:tplc="0464F12C">
      <w:start w:val="1"/>
      <w:numFmt w:val="bullet"/>
      <w:lvlText w:val=""/>
      <w:lvlJc w:val="left"/>
      <w:pPr>
        <w:ind w:left="6480" w:hanging="360"/>
      </w:pPr>
      <w:rPr>
        <w:rFonts w:ascii="Wingdings" w:hAnsi="Wingdings" w:hint="default"/>
      </w:rPr>
    </w:lvl>
  </w:abstractNum>
  <w:abstractNum w:abstractNumId="2" w15:restartNumberingAfterBreak="0">
    <w:nsid w:val="70373D28"/>
    <w:multiLevelType w:val="hybridMultilevel"/>
    <w:tmpl w:val="90766C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Julia Goncalves">
    <w15:presenceInfo w15:providerId="Windows Live" w15:userId="84d6592b6452c8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4DA581"/>
    <w:rsid w:val="001B21AA"/>
    <w:rsid w:val="001C10AA"/>
    <w:rsid w:val="004D3CA4"/>
    <w:rsid w:val="00541678"/>
    <w:rsid w:val="007A761C"/>
    <w:rsid w:val="00893AC6"/>
    <w:rsid w:val="00985292"/>
    <w:rsid w:val="00A10A05"/>
    <w:rsid w:val="00A96169"/>
    <w:rsid w:val="00B748A1"/>
    <w:rsid w:val="00BA75BA"/>
    <w:rsid w:val="00BC1133"/>
    <w:rsid w:val="00C853B4"/>
    <w:rsid w:val="00D25F27"/>
    <w:rsid w:val="00DA0092"/>
    <w:rsid w:val="00EE0F67"/>
    <w:rsid w:val="00F110F1"/>
    <w:rsid w:val="0A4DA581"/>
    <w:rsid w:val="18705DF5"/>
    <w:rsid w:val="1DBC9D1A"/>
    <w:rsid w:val="4FA9EFBB"/>
    <w:rsid w:val="580D7E56"/>
    <w:rsid w:val="582D829F"/>
    <w:rsid w:val="5D108EBC"/>
    <w:rsid w:val="6A0C3B43"/>
    <w:rsid w:val="6EFEFAA6"/>
    <w:rsid w:val="7EB0BA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230D"/>
  <w15:chartTrackingRefBased/>
  <w15:docId w15:val="{ACAF2C90-D1B9-4320-8749-EBB3C9E6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paragraph" w:styleId="NormalWeb">
    <w:name w:val="Normal (Web)"/>
    <w:basedOn w:val="Normal"/>
    <w:uiPriority w:val="99"/>
    <w:unhideWhenUsed/>
    <w:rsid w:val="00B748A1"/>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B7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C853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C853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rte">
    <w:name w:val="Strong"/>
    <w:basedOn w:val="Fontepargpadro"/>
    <w:uiPriority w:val="22"/>
    <w:qFormat/>
    <w:rsid w:val="00D25F27"/>
    <w:rPr>
      <w:b/>
      <w:bCs/>
    </w:rPr>
  </w:style>
  <w:style w:type="character" w:styleId="HiperlinkVisitado">
    <w:name w:val="FollowedHyperlink"/>
    <w:basedOn w:val="Fontepargpadro"/>
    <w:uiPriority w:val="99"/>
    <w:semiHidden/>
    <w:unhideWhenUsed/>
    <w:rsid w:val="00DA0092"/>
    <w:rPr>
      <w:color w:val="954F72" w:themeColor="followedHyperlink"/>
      <w:u w:val="single"/>
    </w:rPr>
  </w:style>
  <w:style w:type="paragraph" w:styleId="Textodecomentrio">
    <w:name w:val="annotation text"/>
    <w:basedOn w:val="Normal"/>
    <w:link w:val="TextodecomentrioChar"/>
    <w:uiPriority w:val="99"/>
    <w:semiHidden/>
    <w:unhideWhenUsed/>
    <w:rsid w:val="004D3CA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D3CA4"/>
    <w:rPr>
      <w:sz w:val="20"/>
      <w:szCs w:val="20"/>
    </w:rPr>
  </w:style>
  <w:style w:type="character" w:styleId="Refdecomentrio">
    <w:name w:val="annotation reference"/>
    <w:basedOn w:val="Fontepargpadro"/>
    <w:uiPriority w:val="99"/>
    <w:semiHidden/>
    <w:unhideWhenUsed/>
    <w:rsid w:val="004D3CA4"/>
    <w:rPr>
      <w:sz w:val="16"/>
      <w:szCs w:val="16"/>
    </w:rPr>
  </w:style>
  <w:style w:type="paragraph" w:styleId="Textodebalo">
    <w:name w:val="Balloon Text"/>
    <w:basedOn w:val="Normal"/>
    <w:link w:val="TextodebaloChar"/>
    <w:uiPriority w:val="99"/>
    <w:semiHidden/>
    <w:unhideWhenUsed/>
    <w:rsid w:val="00F110F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110F1"/>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BC1133"/>
    <w:rPr>
      <w:b/>
      <w:bCs/>
    </w:rPr>
  </w:style>
  <w:style w:type="character" w:customStyle="1" w:styleId="AssuntodocomentrioChar">
    <w:name w:val="Assunto do comentário Char"/>
    <w:basedOn w:val="TextodecomentrioChar"/>
    <w:link w:val="Assuntodocomentrio"/>
    <w:uiPriority w:val="99"/>
    <w:semiHidden/>
    <w:rsid w:val="00BC11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2378">
      <w:bodyDiv w:val="1"/>
      <w:marLeft w:val="0"/>
      <w:marRight w:val="0"/>
      <w:marTop w:val="0"/>
      <w:marBottom w:val="0"/>
      <w:divBdr>
        <w:top w:val="none" w:sz="0" w:space="0" w:color="auto"/>
        <w:left w:val="none" w:sz="0" w:space="0" w:color="auto"/>
        <w:bottom w:val="none" w:sz="0" w:space="0" w:color="auto"/>
        <w:right w:val="none" w:sz="0" w:space="0" w:color="auto"/>
      </w:divBdr>
    </w:div>
    <w:div w:id="1195389369">
      <w:bodyDiv w:val="1"/>
      <w:marLeft w:val="0"/>
      <w:marRight w:val="0"/>
      <w:marTop w:val="0"/>
      <w:marBottom w:val="0"/>
      <w:divBdr>
        <w:top w:val="none" w:sz="0" w:space="0" w:color="auto"/>
        <w:left w:val="none" w:sz="0" w:space="0" w:color="auto"/>
        <w:bottom w:val="none" w:sz="0" w:space="0" w:color="auto"/>
        <w:right w:val="none" w:sz="0" w:space="0" w:color="auto"/>
      </w:divBdr>
      <w:divsChild>
        <w:div w:id="1076053742">
          <w:marLeft w:val="0"/>
          <w:marRight w:val="0"/>
          <w:marTop w:val="0"/>
          <w:marBottom w:val="0"/>
          <w:divBdr>
            <w:top w:val="none" w:sz="0" w:space="0" w:color="auto"/>
            <w:left w:val="none" w:sz="0" w:space="0" w:color="auto"/>
            <w:bottom w:val="none" w:sz="0" w:space="0" w:color="auto"/>
            <w:right w:val="none" w:sz="0" w:space="0" w:color="auto"/>
          </w:divBdr>
        </w:div>
        <w:div w:id="698892094">
          <w:marLeft w:val="0"/>
          <w:marRight w:val="0"/>
          <w:marTop w:val="0"/>
          <w:marBottom w:val="0"/>
          <w:divBdr>
            <w:top w:val="none" w:sz="0" w:space="0" w:color="auto"/>
            <w:left w:val="none" w:sz="0" w:space="0" w:color="auto"/>
            <w:bottom w:val="none" w:sz="0" w:space="0" w:color="auto"/>
            <w:right w:val="none" w:sz="0" w:space="0" w:color="auto"/>
          </w:divBdr>
        </w:div>
        <w:div w:id="1206016975">
          <w:marLeft w:val="0"/>
          <w:marRight w:val="0"/>
          <w:marTop w:val="0"/>
          <w:marBottom w:val="0"/>
          <w:divBdr>
            <w:top w:val="none" w:sz="0" w:space="0" w:color="auto"/>
            <w:left w:val="none" w:sz="0" w:space="0" w:color="auto"/>
            <w:bottom w:val="none" w:sz="0" w:space="0" w:color="auto"/>
            <w:right w:val="none" w:sz="0" w:space="0" w:color="auto"/>
          </w:divBdr>
        </w:div>
        <w:div w:id="985553304">
          <w:marLeft w:val="0"/>
          <w:marRight w:val="0"/>
          <w:marTop w:val="0"/>
          <w:marBottom w:val="0"/>
          <w:divBdr>
            <w:top w:val="none" w:sz="0" w:space="0" w:color="auto"/>
            <w:left w:val="none" w:sz="0" w:space="0" w:color="auto"/>
            <w:bottom w:val="none" w:sz="0" w:space="0" w:color="auto"/>
            <w:right w:val="none" w:sz="0" w:space="0" w:color="auto"/>
          </w:divBdr>
        </w:div>
      </w:divsChild>
    </w:div>
    <w:div w:id="16857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mec.gov.br/index.php?option=com_docman&amp;view=download&amp;alias=1904-geraldo-nunes&amp;category_slug=novembro-2009-pdf&amp;Itemid=30192" TargetMode="External"/><Relationship Id="rId3" Type="http://schemas.openxmlformats.org/officeDocument/2006/relationships/settings" Target="settings.xml"/><Relationship Id="rId7" Type="http://schemas.openxmlformats.org/officeDocument/2006/relationships/hyperlink" Target="http://www.portaldeperiodicos.unisul.br/index.php/Poiesis/article/view/1961/2708"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3f607b2b9a6b4e8f"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3356</Words>
  <Characters>18128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Julia Goncalves</dc:creator>
  <cp:keywords/>
  <dc:description/>
  <cp:lastModifiedBy>Maria Julia Goncalves</cp:lastModifiedBy>
  <cp:revision>2</cp:revision>
  <dcterms:created xsi:type="dcterms:W3CDTF">2018-12-05T18:36:00Z</dcterms:created>
  <dcterms:modified xsi:type="dcterms:W3CDTF">2018-12-05T18:36:00Z</dcterms:modified>
</cp:coreProperties>
</file>