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0F172A"/>
          <w:sz w:val="40"/>
          <w:szCs w:val="40"/>
        </w:rPr>
        <w:t xml:space="preserve">Pre-Registered Construct Model</w:t>
      </w:r>
    </w:p>
    <w:p>
      <w:pPr>
        <w:spacing w:after="80"/>
      </w:pPr>
      <w:r>
        <w:rPr>
          <w:rFonts w:ascii="Arial" w:cs="Arial" w:eastAsia="Arial" w:hAnsi="Arial"/>
          <w:color w:val="64748B"/>
          <w:sz w:val="24"/>
          <w:szCs w:val="24"/>
        </w:rPr>
        <w:t xml:space="preserve">Measurement Framework for AI-Assisted Radiology Decision Documentation</w:t>
      </w:r>
    </w:p>
    <w:p>
      <w:pPr>
        <w:spacing w:after="200"/>
      </w:pPr>
      <w:r>
        <w:rPr>
          <w:color w:val="64748B"/>
          <w:sz w:val="20"/>
          <w:szCs w:val="20"/>
        </w:rPr>
        <w:t xml:space="preserve">Joshua M. Henderson, PhD — Research Platform Architect</w:t>
      </w:r>
      <w:r>
        <w:rPr>
          <w:color w:val="94A3B8"/>
          <w:sz w:val="20"/>
          <w:szCs w:val="20"/>
        </w:rPr>
        <w:t xml:space="preserve">  |  February 2026  |  Draft for Expert Review</w:t>
      </w:r>
    </w:p>
    <w:p>
      <w:pPr>
        <w:pStyle w:val="Heading1"/>
      </w:pPr>
      <w:r>
        <w:t xml:space="preserve">Purpose</w:t>
      </w:r>
    </w:p>
    <w:p>
      <w:pPr>
        <w:spacing w:after="160" w:line="300"/>
      </w:pPr>
      <w:r>
        <w:rPr>
          <w:sz w:val="22"/>
          <w:szCs w:val="22"/>
        </w:rPr>
        <w:t xml:space="preserve">This document defines the constructs, indicators, and criterion variables for the proposed BRPLL reader study before data collection begins. The goal is to establish what we are measuring, how we are measuring it, and what would constitute evidence for or against the measurement framework’s validity. This is intended for review by the study’s quantitative psychologist (Baird) and experimental psychologist (Bernstein) prior to IRB submission.</w:t>
      </w:r>
    </w:p>
    <w:p>
      <w:pPr>
        <w:pStyle w:val="Heading1"/>
      </w:pPr>
      <w:r>
        <w:t xml:space="preserve">Primary Construct: Autonomous Clinical Decision-Making</w:t>
      </w:r>
    </w:p>
    <w:p>
      <w:pPr>
        <w:spacing w:after="160" w:line="300"/>
      </w:pPr>
      <w:r>
        <w:rPr>
          <w:sz w:val="22"/>
          <w:szCs w:val="22"/>
        </w:rPr>
        <w:t xml:space="preserve">Definition: The degree to which a clinician’s diagnostic assessment reflects independent judgment rather than uncritical delegation to an AI recommendation.</w:t>
      </w:r>
    </w:p>
    <w:p>
      <w:pPr>
        <w:spacing w:after="160" w:line="300"/>
      </w:pPr>
      <w:r>
        <w:rPr>
          <w:sz w:val="22"/>
          <w:szCs w:val="22"/>
        </w:rPr>
        <w:t xml:space="preserve">This construct is operationalized through behavioral indicators captured by the Evidify platform during AI-assisted reading sessions. The construct is latent; no single indicator is sufficient. The measurement model treats the indicators as a formative composite.</w:t>
      </w:r>
    </w:p>
    <w:p>
      <w:pPr>
        <w:pStyle w:val="Heading1"/>
      </w:pPr>
      <w:r>
        <w:t xml:space="preserve">Construct → Indicator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Construct Facet</w:t>
            </w:r>
          </w:p>
        </w:tc>
        <w:tc>
          <w:tcPr>
            <w:tcW w:type="dxa" w:w="2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Platform Metric</w:t>
            </w:r>
          </w:p>
        </w:tc>
        <w:tc>
          <w:tcPr>
            <w:tcW w:type="dxa" w:w="26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Measurement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duration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spent on independent assessment before AI exposure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preAiReadMs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(milliseconds)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duration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Proportion of total session spent on pre-AI 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timeRatio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independence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assessment changed after AI exposure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changeOccurred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Nominal (boolean)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independence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direction relative to AI recommendation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aiConsistentChange / aiInconsistentChange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Nominal (categorical)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Disclosure engagement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spent reviewing AI performance disclosure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aiExposureMs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(milliseconds)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Disclosure engagement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Comprehension of AI performance statistics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comprehensionCorrect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Nominal (boolean)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Deviation documentation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deviation rationale was documented when 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deviationDocumented / deviationSkipped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Nominal (boolean)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 Decision-Delegation 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Ordinal (derived)</w:t>
            </w:r>
          </w:p>
        </w:tc>
      </w:tr>
    </w:tbl>
    <w:p>
      <w:pPr>
        <w:spacing w:after="200"/>
      </w:pPr>
    </w:p>
    <w:p>
      <w:pPr>
        <w:pStyle w:val="Heading1"/>
      </w:pPr>
      <w:r>
        <w:t xml:space="preserve">ADDA: Automation Decision-Delegation Assessment</w:t>
      </w:r>
    </w:p>
    <w:p>
      <w:pPr>
        <w:spacing w:after="160" w:line="300"/>
      </w:pPr>
      <w:r>
        <w:rPr>
          <w:sz w:val="22"/>
          <w:szCs w:val="22"/>
        </w:rPr>
        <w:t xml:space="preserve">ADDA is a composite indicator derived from the behavioral indicators above. It is designed to flag cases where the pattern of behavior suggests delegation rather than autonomous decision-making. ADDA is not a score with psychometric properties in the traditional sense; it is a classification heuristic that requires empirical validation.</w:t>
      </w:r>
    </w:p>
    <w:p>
      <w:pPr>
        <w:pStyle w:val="Heading2"/>
      </w:pPr>
      <w:r>
        <w:t xml:space="preserve">Proposed ADDA Triggers (Draft)</w:t>
      </w:r>
    </w:p>
    <w:p>
      <w:pPr>
        <w:spacing w:after="160" w:line="300"/>
      </w:pPr>
      <w:r>
        <w:rPr>
          <w:sz w:val="22"/>
          <w:szCs w:val="22"/>
        </w:rPr>
        <w:t xml:space="preserve">A case is flagged as potential delegation when two or more of the following are present:</w:t>
      </w:r>
    </w:p>
    <w:p>
      <w:pPr>
        <w:pStyle w:val="ListParagraph"/>
        <w:numPr>
          <w:ilvl w:val="0"/>
          <w:numId w:val="2"/>
        </w:numPr>
        <w:spacing w:after="80"/>
      </w:pPr>
      <w:r>
        <w:rPr>
          <w:sz w:val="22"/>
          <w:szCs w:val="22"/>
        </w:rPr>
        <w:t xml:space="preserve">Pre-AI assessment time below the 10th percentile for practice cohort</w:t>
      </w:r>
    </w:p>
    <w:p>
      <w:pPr>
        <w:pStyle w:val="ListParagraph"/>
        <w:numPr>
          <w:ilvl w:val="0"/>
          <w:numId w:val="2"/>
        </w:numPr>
        <w:spacing w:after="80"/>
      </w:pPr>
      <w:r>
        <w:rPr>
          <w:sz w:val="22"/>
          <w:szCs w:val="22"/>
        </w:rPr>
        <w:t xml:space="preserve">Assessment changed to match AI recommendation</w:t>
      </w:r>
    </w:p>
    <w:p>
      <w:pPr>
        <w:pStyle w:val="ListParagraph"/>
        <w:numPr>
          <w:ilvl w:val="0"/>
          <w:numId w:val="2"/>
        </w:numPr>
        <w:spacing w:after="80"/>
      </w:pPr>
      <w:r>
        <w:rPr>
          <w:sz w:val="22"/>
          <w:szCs w:val="22"/>
        </w:rPr>
        <w:t xml:space="preserve">Post-AI review time below 5 seconds</w:t>
      </w:r>
    </w:p>
    <w:p>
      <w:pPr>
        <w:pStyle w:val="ListParagraph"/>
        <w:numPr>
          <w:ilvl w:val="0"/>
          <w:numId w:val="2"/>
        </w:numPr>
        <w:spacing w:after="80"/>
      </w:pPr>
      <w:r>
        <w:rPr>
          <w:sz w:val="22"/>
          <w:szCs w:val="22"/>
        </w:rPr>
        <w:t xml:space="preserve">AI performance disclosure not viewed or comprehension check failed</w:t>
      </w:r>
    </w:p>
    <w:p>
      <w:pPr>
        <w:pStyle w:val="ListParagraph"/>
        <w:numPr>
          <w:ilvl w:val="0"/>
          <w:numId w:val="2"/>
        </w:numPr>
        <w:spacing w:after="80"/>
      </w:pPr>
      <w:r>
        <w:rPr>
          <w:sz w:val="22"/>
          <w:szCs w:val="22"/>
        </w:rPr>
        <w:t xml:space="preserve">Deviation from AI required but rationale not documented</w:t>
      </w:r>
    </w:p>
    <w:p>
      <w:pPr>
        <w:pStyle w:val="Heading2"/>
      </w:pPr>
      <w:r>
        <w:t xml:space="preserve">Validation Required</w:t>
      </w:r>
    </w:p>
    <w:p>
      <w:pPr>
        <w:spacing w:after="160" w:line="300"/>
      </w:pPr>
      <w:r>
        <w:rPr>
          <w:sz w:val="22"/>
          <w:szCs w:val="22"/>
        </w:rPr>
        <w:t xml:space="preserve">These triggers are face-valid but empirically unvalidated. The following evidence is needed before ADDA can be used in published research or operational QA:</w:t>
      </w:r>
    </w:p>
    <w:p>
      <w:pPr>
        <w:pStyle w:val="ListParagraph"/>
        <w:numPr>
          <w:ilvl w:val="0"/>
          <w:numId w:val="2"/>
        </w:numPr>
        <w:spacing w:after="80"/>
      </w:pPr>
      <w:r>
        <w:rPr>
          <w:sz w:val="22"/>
          <w:szCs w:val="22"/>
        </w:rPr>
        <w:t xml:space="preserve">Concurrent validity: </w:t>
      </w:r>
    </w:p>
    <w:p>
      <w:pPr>
        <w:pStyle w:val="ListParagraph"/>
        <w:numPr>
          <w:ilvl w:val="0"/>
          <w:numId w:val="2"/>
        </w:numPr>
        <w:spacing w:after="80"/>
      </w:pPr>
      <w:r>
        <w:rPr>
          <w:sz w:val="22"/>
          <w:szCs w:val="22"/>
        </w:rPr>
        <w:t xml:space="preserve">Discriminant validity: </w:t>
      </w:r>
    </w:p>
    <w:p>
      <w:pPr>
        <w:pStyle w:val="ListParagraph"/>
        <w:numPr>
          <w:ilvl w:val="0"/>
          <w:numId w:val="2"/>
        </w:numPr>
        <w:spacing w:after="80"/>
      </w:pPr>
      <w:r>
        <w:rPr>
          <w:sz w:val="22"/>
          <w:szCs w:val="22"/>
        </w:rPr>
        <w:t xml:space="preserve">Criterion validity: </w:t>
      </w:r>
    </w:p>
    <w:p>
      <w:pPr>
        <w:pStyle w:val="ListParagraph"/>
        <w:numPr>
          <w:ilvl w:val="0"/>
          <w:numId w:val="2"/>
        </w:numPr>
        <w:spacing w:after="80"/>
      </w:pPr>
      <w:r>
        <w:rPr>
          <w:sz w:val="22"/>
          <w:szCs w:val="22"/>
        </w:rPr>
        <w:t xml:space="preserve">Inter-rater reliability: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Validity Type</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Expected Finding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Concurrent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Correlate ADDA flags with NASA-TLX self-reported workload during session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ADDA rates in high-workload sessions (convergent)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Discriminant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ADDA rates across HUMAN_FIRST vs AI_FIRST conditions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ADDA rate in AI_FIRST (if no independent read occurs, delegation is expected)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Criterion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Correlate ADDA flags with diagnostic accuracy vs. reference standard (MRMC)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Cases flagged as delegation show reduced accuracy vs. autonomous reads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Reliability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independent raters classify cases as autonomous/delegated from blinded event logs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Cohen’s κ ≥ 0.70 between raters and between raters and ADDA classification</w:t>
            </w:r>
          </w:p>
        </w:tc>
      </w:tr>
    </w:tbl>
    <w:p>
      <w:pPr>
        <w:spacing w:after="200"/>
      </w:pPr>
    </w:p>
    <w:p>
      <w:pPr>
        <w:pStyle w:val="Heading1"/>
      </w:pPr>
      <w:r>
        <w:t xml:space="preserve">Criterion Variables</w:t>
      </w:r>
    </w:p>
    <w:p>
      <w:pPr>
        <w:spacing w:after="160" w:line="300"/>
      </w:pPr>
      <w:r>
        <w:rPr>
          <w:sz w:val="22"/>
          <w:szCs w:val="22"/>
        </w:rPr>
        <w:t xml:space="preserve">The construct model requires external criteria to validate against. These are not captured by Evidify; they come from the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Role in Validation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Diagnostic accuracy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BI-RADS assessment vs. biopsy-confirmed reference standard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outcome for MRMC study; criterion for ADDA validation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Sensitivity / Specificity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MRMC analysis across readers and cases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radiology performance metrics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Self-reported workload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NASA-TLX administered post-session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Convergent validity for engagement metrics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Trust calibration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Pre/post trust questionnaire (Jian et al. scale)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Moderator: does trust predict delegation behavior?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Jury attribution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Vignette study (Prolific): STI ratings from mock jurors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that documentation format modulates trait inference</w:t>
            </w:r>
          </w:p>
        </w:tc>
      </w:tr>
    </w:tbl>
    <w:p>
      <w:pPr>
        <w:spacing w:after="200"/>
      </w:pPr>
    </w:p>
    <w:p>
      <w:pPr>
        <w:pStyle w:val="Heading1"/>
      </w:pPr>
      <w:r>
        <w:t xml:space="preserve">Proposed Study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HUMAN_FIRST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Radiologist reads and locks impression before AI is revealed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ADDA rate, higher pre-AI engagement, baseline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AI_FIRST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result displayed simultaneously with case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ADDA rate, reduced independent assessment time, potential anchoring</w:t>
            </w:r>
          </w:p>
        </w:tc>
      </w:tr>
    </w:tbl>
    <w:p>
      <w:pPr>
        <w:spacing w:after="120"/>
      </w:pPr>
    </w:p>
    <w:p>
      <w:pPr>
        <w:spacing w:after="160" w:line="300"/>
      </w:pPr>
      <w:r>
        <w:rPr>
          <w:sz w:val="22"/>
          <w:szCs w:val="22"/>
        </w:rPr>
        <w:t xml:space="preserve">Counterbalanced within-subjects design. Each reader sees each case in only one condition. Case difficulty balanced across conditions using ground-truth reference standard.</w:t>
      </w:r>
    </w:p>
    <w:p>
      <w:pPr>
        <w:pStyle w:val="Heading1"/>
      </w:pPr>
      <w:r>
        <w:t xml:space="preserve">Statistical Considerations</w:t>
      </w:r>
    </w:p>
    <w:p>
      <w:pPr>
        <w:pStyle w:val="ListParagraph"/>
        <w:numPr>
          <w:ilvl w:val="0"/>
          <w:numId w:val="2"/>
        </w:numPr>
        <w:spacing w:after="80"/>
      </w:pPr>
      <w:r>
        <w:rPr>
          <w:sz w:val="22"/>
          <w:szCs w:val="22"/>
        </w:rPr>
        <w:t xml:space="preserve">Primary analysis: MRMC ANOVA (Obuchowski–Rockette) for accuracy across conditions</w:t>
      </w:r>
    </w:p>
    <w:p>
      <w:pPr>
        <w:pStyle w:val="ListParagraph"/>
        <w:numPr>
          <w:ilvl w:val="0"/>
          <w:numId w:val="2"/>
        </w:numPr>
        <w:spacing w:after="80"/>
      </w:pPr>
      <w:r>
        <w:rPr>
          <w:sz w:val="22"/>
          <w:szCs w:val="22"/>
        </w:rPr>
        <w:t xml:space="preserve">Secondary: mixed-effects logistic regression for ADDA rate by condition, controlling for reader and case</w:t>
      </w:r>
    </w:p>
    <w:p>
      <w:pPr>
        <w:pStyle w:val="ListParagraph"/>
        <w:numPr>
          <w:ilvl w:val="0"/>
          <w:numId w:val="2"/>
        </w:numPr>
        <w:spacing w:after="80"/>
      </w:pPr>
      <w:r>
        <w:rPr>
          <w:sz w:val="22"/>
          <w:szCs w:val="22"/>
        </w:rPr>
        <w:t xml:space="preserve">Moderation: trust calibration score as moderator of condition × ADDA interaction</w:t>
      </w:r>
    </w:p>
    <w:p>
      <w:pPr>
        <w:pStyle w:val="ListParagraph"/>
        <w:numPr>
          <w:ilvl w:val="0"/>
          <w:numId w:val="2"/>
        </w:numPr>
        <w:spacing w:after="80"/>
      </w:pPr>
      <w:r>
        <w:rPr>
          <w:sz w:val="22"/>
          <w:szCs w:val="22"/>
        </w:rPr>
        <w:t xml:space="preserve">Power: target 20–30 readers × 60–100 cases per reader (based on radiology MRMC conventions; Baird to confirm)</w:t>
      </w:r>
    </w:p>
    <w:p>
      <w:pPr>
        <w:pStyle w:val="ListParagraph"/>
        <w:numPr>
          <w:ilvl w:val="0"/>
          <w:numId w:val="2"/>
        </w:numPr>
        <w:spacing w:after="80"/>
      </w:pPr>
      <w:r>
        <w:rPr>
          <w:sz w:val="22"/>
          <w:szCs w:val="22"/>
        </w:rPr>
        <w:t xml:space="preserve">Multiple comparisons: Bonferroni correction for primary hypotheses; exploratory analyses flagged as such</w:t>
      </w:r>
    </w:p>
    <w:p>
      <w:pPr>
        <w:pStyle w:val="Heading1"/>
      </w:pPr>
      <w:r>
        <w:t xml:space="preserve">What This Document Does Not Contain</w:t>
      </w:r>
    </w:p>
    <w:p>
      <w:pPr>
        <w:spacing w:after="160" w:line="300"/>
      </w:pPr>
      <w:r>
        <w:rPr>
          <w:sz w:val="22"/>
          <w:szCs w:val="22"/>
        </w:rPr>
        <w:t xml:space="preserve">This is a construct model, not a full study protocol. It does not specify recruitment procedures, informed consent language, case set selection criteria, image presentation parameters, or institutional approval status. Those elements belong in the IRB protocol, which should reference this document for measurement rationale.</w:t>
      </w:r>
    </w:p>
    <w:p>
      <w:pPr>
        <w:spacing w:after="160" w:line="300"/>
      </w:pPr>
      <w:r>
        <w:rPr>
          <w:sz w:val="22"/>
          <w:szCs w:val="22"/>
        </w:rPr>
        <w:t xml:space="preserve">The ADDA thresholds listed above are hypotheses, not validated cutoffs. The study must establish empirical support for these thresholds before they can be used operationally.</w:t>
      </w:r>
    </w:p>
    <w:p>
      <w:pPr>
        <w:pStyle w:val="Heading1"/>
      </w:pPr>
      <w:r>
        <w:t xml:space="preserve">Open Questions for the Study Team</w:t>
      </w:r>
    </w:p>
    <w:p>
      <w:pPr>
        <w:pStyle w:val="ListParagraph"/>
        <w:numPr>
          <w:ilvl w:val="0"/>
          <w:numId w:val="2"/>
        </w:numPr>
        <w:spacing w:after="80"/>
      </w:pPr>
      <w:r>
        <w:rPr>
          <w:sz w:val="22"/>
          <w:szCs w:val="22"/>
        </w:rPr>
        <w:t xml:space="preserve">Should ADDA be treated as a continuous composite or a categorical flag? Implications for power and interpretability differ. (Quantitative psychology)</w:t>
      </w:r>
    </w:p>
    <w:p>
      <w:pPr>
        <w:pStyle w:val="ListParagraph"/>
        <w:numPr>
          <w:ilvl w:val="0"/>
          <w:numId w:val="2"/>
        </w:numPr>
        <w:spacing w:after="80"/>
      </w:pPr>
      <w:r>
        <w:rPr>
          <w:sz w:val="22"/>
          <w:szCs w:val="22"/>
        </w:rPr>
        <w:t xml:space="preserve">What is the appropriate reference standard for mammography cases — biopsy-confirmed only, or consensus panel? (Radiology)</w:t>
      </w:r>
    </w:p>
    <w:p>
      <w:pPr>
        <w:pStyle w:val="ListParagraph"/>
        <w:numPr>
          <w:ilvl w:val="0"/>
          <w:numId w:val="2"/>
        </w:numPr>
        <w:spacing w:after="80"/>
      </w:pPr>
      <w:r>
        <w:rPr>
          <w:sz w:val="22"/>
          <w:szCs w:val="22"/>
        </w:rPr>
        <w:t xml:space="preserve">Is the AI_FIRST condition ecologically valid if current clinical practice already involves AI_FIRST workflows? (Human factors)</w:t>
      </w:r>
    </w:p>
    <w:p>
      <w:pPr>
        <w:pStyle w:val="ListParagraph"/>
        <w:numPr>
          <w:ilvl w:val="0"/>
          <w:numId w:val="2"/>
        </w:numPr>
        <w:spacing w:after="80"/>
      </w:pPr>
      <w:r>
        <w:rPr>
          <w:sz w:val="22"/>
          <w:szCs w:val="22"/>
        </w:rPr>
        <w:t xml:space="preserve">Should the jury attribution study (Study 2) use the same case vignettes as Study 1, or independent stimuli? (Experimental design)</w:t>
      </w:r>
    </w:p>
    <w:p>
      <w:pPr>
        <w:pStyle w:val="ListParagraph"/>
        <w:numPr>
          <w:ilvl w:val="0"/>
          <w:numId w:val="2"/>
        </w:numPr>
        <w:spacing w:after="80"/>
      </w:pPr>
      <w:r>
        <w:rPr>
          <w:sz w:val="22"/>
          <w:szCs w:val="22"/>
        </w:rPr>
        <w:t xml:space="preserve">What minimum sample of readers is powered to detect a meaningful difference in ADDA rates between conditions? (Biostatistics)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4155"/>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2026-02-05T12:51:30.150Z</dcterms:created>
  <dcterms:modified xsi:type="dcterms:W3CDTF">2026-02-05T12:51:30.150Z</dcterms:modified>
</cp:coreProperties>
</file>

<file path=docProps/custom.xml><?xml version="1.0" encoding="utf-8"?>
<Properties xmlns="http://schemas.openxmlformats.org/officeDocument/2006/custom-properties" xmlns:vt="http://schemas.openxmlformats.org/officeDocument/2006/docPropsVTypes"/>
</file>