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0F172A"/>
          <w:sz w:val="40"/>
          <w:szCs w:val="40"/>
        </w:rPr>
        <w:t xml:space="preserve">Observer Mode</w:t>
      </w:r>
    </w:p>
    <w:p>
      <w:pPr>
        <w:spacing w:after="80"/>
      </w:pPr>
      <w:r>
        <w:rPr>
          <w:rFonts w:ascii="Arial" w:cs="Arial" w:eastAsia="Arial" w:hAnsi="Arial"/>
          <w:color w:val="64748B"/>
          <w:sz w:val="26"/>
          <w:szCs w:val="26"/>
        </w:rPr>
        <w:t xml:space="preserve">Passive Workflow Documentation for Clinical AI Environments</w:t>
      </w:r>
    </w:p>
    <w:p>
      <w:pPr>
        <w:spacing w:after="200"/>
      </w:pPr>
      <w:r>
        <w:rPr>
          <w:color w:val="64748B"/>
          <w:sz w:val="20"/>
          <w:szCs w:val="20"/>
        </w:rPr>
        <w:t xml:space="preserve">Joshua M. Henderson, PhD — Research Platform Architect</w:t>
      </w:r>
      <w:r>
        <w:rPr>
          <w:color w:val="94A3B8"/>
          <w:sz w:val="20"/>
          <w:szCs w:val="20"/>
        </w:rPr>
        <w:t xml:space="preserve">  |  February 2026  |  Architecture Spec v0.1</w:t>
      </w:r>
    </w:p>
    <w:p>
      <w:pPr>
        <w:pStyle w:val="Heading1"/>
      </w:pPr>
      <w:r>
        <w:t xml:space="preserve">The Problem</w:t>
      </w:r>
    </w:p>
    <w:p>
      <w:pPr>
        <w:spacing w:after="160" w:line="300"/>
      </w:pPr>
      <w:r>
        <w:rPr>
          <w:sz w:val="22"/>
          <w:szCs w:val="22"/>
        </w:rPr>
        <w:t xml:space="preserve">Evidify’s current research instrument requires the radiologist to read within the platform’s interface. This enforces stimulus control (no peeking at AI before locking an independent assessment) but introduces friction: the clinician must leave their PACS environment to use a separate tool. For research reader studies, this is acceptable. For clinical deployment, it is a non-starter.</w:t>
      </w:r>
    </w:p>
    <w:p>
      <w:pPr>
        <w:spacing w:after="160" w:line="300"/>
      </w:pPr>
      <w:r>
        <w:rPr>
          <w:sz w:val="22"/>
          <w:szCs w:val="22"/>
        </w:rPr>
        <w:t xml:space="preserve">Observer Mode solves this by capturing the same event stream passively, alongside existing PACS infrastructure, without requiring the clinician to change their workflow.</w:t>
      </w:r>
    </w:p>
    <w:p>
      <w:pPr>
        <w:pStyle w:val="Heading1"/>
      </w:pPr>
      <w:r>
        <w:t xml:space="preserve">Core Principle</w:t>
      </w:r>
    </w:p>
    <w:p>
      <w:pPr>
        <w:spacing w:after="160" w:line="300"/>
      </w:pPr>
      <w:r>
        <w:rPr>
          <w:sz w:val="22"/>
          <w:szCs w:val="22"/>
        </w:rPr>
        <w:t xml:space="preserve">Observer Mode documents. It does not intervene, recommend, gate, or evaluate. It records the sequence and timing of events that already occur in a reading session. This distinction is critical: Observer Mode is instrumentation, not decision support. It remains outside FDA SaMD classification by design.</w:t>
      </w:r>
    </w:p>
    <w:p>
      <w:pPr>
        <w:pStyle w:val="Heading1"/>
      </w:pPr>
      <w:r>
        <w:t xml:space="preserve">Architecture</w:t>
      </w:r>
    </w:p>
    <w:p>
      <w:pPr>
        <w:pStyle w:val="Heading2"/>
      </w:pPr>
      <w:r>
        <w:t xml:space="preserve">What Observer Mode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opened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PACS integration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HL7/DICOM listener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start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viewport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PACS event stream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hook or screen capture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indicator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result displayed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vendor integration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callback or UI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anchor: pre/post 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dictation 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recognition / RIS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hook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commitment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HL7 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end, final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per case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from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Cohort percentile context</w:t>
            </w:r>
          </w:p>
        </w:tc>
      </w:tr>
    </w:tbl>
    <w:p>
      <w:pPr>
        <w:spacing w:after="160"/>
      </w:pPr>
    </w:p>
    <w:p>
      <w:pPr>
        <w:pStyle w:val="Heading2"/>
      </w:pPr>
      <w:r>
        <w:t xml:space="preserve">What Observer Mode Does NOT Do</w:t>
      </w:r>
    </w:p>
    <w:p>
      <w:pPr>
        <w:pStyle w:val="ListParagraph"/>
        <w:numPr>
          <w:ilvl w:val="0"/>
          <w:numId w:val="2"/>
        </w:numPr>
        <w:spacing w:after="80"/>
      </w:pPr>
      <w:r>
        <w:rPr>
          <w:sz w:val="22"/>
          <w:szCs w:val="22"/>
        </w:rPr>
        <w:t xml:space="preserve">Does not enforce read order (human-first vs. AI-first)</w:t>
      </w:r>
    </w:p>
    <w:p>
      <w:pPr>
        <w:pStyle w:val="ListParagraph"/>
        <w:numPr>
          <w:ilvl w:val="0"/>
          <w:numId w:val="2"/>
        </w:numPr>
        <w:spacing w:after="80"/>
      </w:pPr>
      <w:r>
        <w:rPr>
          <w:sz w:val="22"/>
          <w:szCs w:val="22"/>
        </w:rPr>
        <w:t xml:space="preserve">Does not lock impressions or prevent amendment</w:t>
      </w:r>
    </w:p>
    <w:p>
      <w:pPr>
        <w:pStyle w:val="ListParagraph"/>
        <w:numPr>
          <w:ilvl w:val="0"/>
          <w:numId w:val="2"/>
        </w:numPr>
        <w:spacing w:after="80"/>
      </w:pPr>
      <w:r>
        <w:rPr>
          <w:sz w:val="22"/>
          <w:szCs w:val="22"/>
        </w:rPr>
        <w:t xml:space="preserve">Does not display AI results or control AI visibility</w:t>
      </w:r>
    </w:p>
    <w:p>
      <w:pPr>
        <w:pStyle w:val="ListParagraph"/>
        <w:numPr>
          <w:ilvl w:val="0"/>
          <w:numId w:val="2"/>
        </w:numPr>
        <w:spacing w:after="80"/>
      </w:pPr>
      <w:r>
        <w:rPr>
          <w:sz w:val="22"/>
          <w:szCs w:val="22"/>
        </w:rPr>
        <w:t xml:space="preserve">Does not provide feedback, scores, flags, or alerts to the clinician</w:t>
      </w:r>
    </w:p>
    <w:p>
      <w:pPr>
        <w:pStyle w:val="ListParagraph"/>
        <w:numPr>
          <w:ilvl w:val="0"/>
          <w:numId w:val="2"/>
        </w:numPr>
        <w:spacing w:after="80"/>
      </w:pPr>
      <w:r>
        <w:rPr>
          <w:sz w:val="22"/>
          <w:szCs w:val="22"/>
        </w:rPr>
        <w:t xml:space="preserve">Does not gate or block any clinical action</w:t>
      </w:r>
    </w:p>
    <w:p>
      <w:pPr>
        <w:spacing w:after="160" w:line="300"/>
      </w:pPr>
      <w:r>
        <w:rPr>
          <w:sz w:val="22"/>
          <w:szCs w:val="22"/>
        </w:rPr>
        <w:t xml:space="preserve">These constraints are by design. Observer Mode produces a descriptive record of what happened and when. The record supports retrospective analysis, QA review, and legal documentation. It does not shape clinical behavior in real time.</w:t>
      </w:r>
    </w:p>
    <w:p>
      <w:pPr>
        <w:pStyle w:val="Heading1"/>
      </w:pPr>
      <w:r>
        <w:t xml:space="preserve">Integration Model</w:t>
      </w:r>
    </w:p>
    <w:p>
      <w:pPr>
        <w:pStyle w:val="Heading2"/>
      </w:pPr>
      <w:r>
        <w:t xml:space="preserve">Tier 1: PACS-Adjacent (Minimum Viable)</w:t>
      </w:r>
    </w:p>
    <w:p>
      <w:pPr>
        <w:spacing w:after="160" w:line="300"/>
      </w:pPr>
      <w:r>
        <w:rPr>
          <w:sz w:val="22"/>
          <w:szCs w:val="22"/>
        </w:rPr>
        <w:t xml:space="preserve">A lightweight agent installed on the reading workstation monitors PACS events (case open, scroll, zoom, window/level changes) and AI overlay activation via OS-level hooks or PACS plugin API. No PACS vendor cooperation required. Events are logged locally and hash-chained using the same CanonicalHash algorithm as the research instrument.</w:t>
      </w:r>
    </w:p>
    <w:p>
      <w:pPr>
        <w:pStyle w:val="Heading2"/>
      </w:pPr>
      <w:r>
        <w:t xml:space="preserve">Tier 2: DICOM/HL7 Integration</w:t>
      </w:r>
    </w:p>
    <w:p>
      <w:pPr>
        <w:spacing w:after="160" w:line="300"/>
      </w:pPr>
      <w:r>
        <w:rPr>
          <w:sz w:val="22"/>
          <w:szCs w:val="22"/>
        </w:rPr>
        <w:t xml:space="preserve">Listens to the institutional DICOM and HL7 message streams to capture case assignment, AI result delivery, and report signing events. Requires IT cooperation but not PACS modification. Provides higher-fidelity temporal data than Tier 1.</w:t>
      </w:r>
    </w:p>
    <w:p>
      <w:pPr>
        <w:pStyle w:val="Heading2"/>
      </w:pPr>
      <w:r>
        <w:t xml:space="preserve">Tier 3: Full PACS Plugin</w:t>
      </w:r>
    </w:p>
    <w:p>
      <w:pPr>
        <w:spacing w:after="160" w:line="300"/>
      </w:pPr>
      <w:r>
        <w:rPr>
          <w:sz w:val="22"/>
          <w:szCs w:val="22"/>
        </w:rPr>
        <w:t xml:space="preserve">Deep integration with the PACS vendor SDK. Captures viewport-level interaction data (which image, which series, zoom level, annotation placement). Highest fidelity, but requires vendor partnership. This is the long-term product vision.</w:t>
      </w:r>
    </w:p>
    <w:p>
      <w:pPr>
        <w:pStyle w:val="Heading1"/>
      </w:pPr>
      <w:r>
        <w:t xml:space="preserve">Data Flow</w:t>
      </w:r>
    </w:p>
    <w:p>
      <w:pPr>
        <w:spacing w:after="160" w:line="300"/>
      </w:pPr>
      <w:r>
        <w:rPr>
          <w:sz w:val="22"/>
          <w:szCs w:val="22"/>
        </w:rPr>
        <w:t xml:space="preserve">All event capture occurs on the local workstation. Events are hash-chained in real time using the same cryptographic sequencing as the research instrument. The chained log can be exported to a secure institutional server for aggregation, but PHI never leaves the local network without explicit institutional policy. The local-first architecture is preserved.</w:t>
      </w:r>
    </w:p>
    <w:p>
      <w:pPr>
        <w:spacing w:after="160" w:line="300"/>
      </w:pPr>
      <w:r>
        <w:rPr>
          <w:sz w:val="22"/>
          <w:szCs w:val="22"/>
        </w:rPr>
        <w:t xml:space="preserve">For research analysis, de-identified event streams (timing, sequence, assessment categories without patient identifiers) are exported via the same ExportPack format used in the research instrument. This allows direct comparison between Observer Mode field data and controlled reader study data.</w:t>
      </w:r>
    </w:p>
    <w:p>
      <w:pPr>
        <w:pStyle w:val="Heading1"/>
      </w:pPr>
      <w:r>
        <w:t xml:space="preserve">Research Bridge</w:t>
      </w:r>
    </w:p>
    <w:p>
      <w:pPr>
        <w:spacing w:after="160" w:line="300"/>
      </w:pPr>
      <w:r>
        <w:rPr>
          <w:sz w:val="22"/>
          <w:szCs w:val="22"/>
        </w:rPr>
        <w:t xml:space="preserve">Observer Mode serves two research functions. First, it generates ecological validity data: real-world reading patterns that can be compared against controlled reader study findings. If ADDA metrics behave differently in the field than in the lab, the construct needs revision. Second, it creates the normative dataset that makes cohort context meaningful. Practice-level percentiles for time-per-case, AI agreement rates, and deviation frequency all require real-world volume that a reader study alone cannot provide.</w:t>
      </w:r>
    </w:p>
    <w:p>
      <w:pPr>
        <w:pStyle w:val="Heading1"/>
      </w:pPr>
      <w:r>
        <w:t xml:space="preserve">Path from Research to Clinical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instrument (current): controlled reader studies with enforced workflow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BRPLL collaboration, IRB approval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Mode pilot: passive capture alongside PACS in a single reading room, no workflow enforcement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 construct validation from Phase 1, institutional IT cooperation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Multi-site Observer Mode: normative dataset across practices, QA reporting, insurer integration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 BAA infrastructure, reproducible deployment</w:t>
            </w:r>
          </w:p>
        </w:tc>
      </w:tr>
    </w:tbl>
    <w:p>
      <w:pPr>
        <w:spacing w:after="200"/>
      </w:pPr>
    </w:p>
    <w:p>
      <w:pPr>
        <w:pStyle w:val="Heading1"/>
      </w:pPr>
      <w:r>
        <w:t xml:space="preserve">Open Questions for Expert Review</w:t>
      </w:r>
    </w:p>
    <w:p>
      <w:pPr>
        <w:pStyle w:val="ListParagraph"/>
        <w:numPr>
          <w:ilvl w:val="0"/>
          <w:numId w:val="2"/>
        </w:numPr>
        <w:spacing w:after="80"/>
      </w:pPr>
      <w:r>
        <w:rPr>
          <w:sz w:val="22"/>
          <w:szCs w:val="22"/>
        </w:rPr>
        <w:t xml:space="preserve">What minimum event fidelity is required for the hash chain to support sequence integrity claims in a legal context? (Evidence law)</w:t>
      </w:r>
    </w:p>
    <w:p>
      <w:pPr>
        <w:pStyle w:val="ListParagraph"/>
        <w:numPr>
          <w:ilvl w:val="0"/>
          <w:numId w:val="2"/>
        </w:numPr>
        <w:spacing w:after="80"/>
      </w:pPr>
      <w:r>
        <w:rPr>
          <w:sz w:val="22"/>
          <w:szCs w:val="22"/>
        </w:rPr>
        <w:t xml:space="preserve">What OS-level event capture methods are available on clinical workstations without PACS vendor cooperation? (Clinical informatics)</w:t>
      </w:r>
    </w:p>
    <w:p>
      <w:pPr>
        <w:pStyle w:val="ListParagraph"/>
        <w:numPr>
          <w:ilvl w:val="0"/>
          <w:numId w:val="2"/>
        </w:numPr>
        <w:spacing w:after="80"/>
      </w:pPr>
      <w:r>
        <w:rPr>
          <w:sz w:val="22"/>
          <w:szCs w:val="22"/>
        </w:rPr>
        <w:t xml:space="preserve">How does measurement reactivity change when clinicians know they are being observed passively vs. not at all? (Human factors)</w:t>
      </w:r>
    </w:p>
    <w:p>
      <w:pPr>
        <w:pStyle w:val="ListParagraph"/>
        <w:numPr>
          <w:ilvl w:val="0"/>
          <w:numId w:val="2"/>
        </w:numPr>
        <w:spacing w:after="80"/>
      </w:pPr>
      <w:r>
        <w:rPr>
          <w:sz w:val="22"/>
          <w:szCs w:val="22"/>
        </w:rPr>
        <w:t xml:space="preserve">What institutional review is required for passive observation of clinical workflow? (IRB / research ethics)</w:t>
      </w:r>
    </w:p>
    <w:p>
      <w:pPr>
        <w:pStyle w:val="ListParagraph"/>
        <w:numPr>
          <w:ilvl w:val="0"/>
          <w:numId w:val="2"/>
        </w:numPr>
        <w:spacing w:after="80"/>
      </w:pPr>
      <w:r>
        <w:rPr>
          <w:sz w:val="22"/>
          <w:szCs w:val="22"/>
        </w:rPr>
        <w:t xml:space="preserve">What HIPAA implications exist for logging interaction events (not images or reports) on a local workstation? (Compliance)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4155"/>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2026-02-05T12:51:30.055Z</dcterms:created>
  <dcterms:modified xsi:type="dcterms:W3CDTF">2026-02-05T12:51:30.056Z</dcterms:modified>
</cp:coreProperties>
</file>

<file path=docProps/custom.xml><?xml version="1.0" encoding="utf-8"?>
<Properties xmlns="http://schemas.openxmlformats.org/officeDocument/2006/custom-properties" xmlns:vt="http://schemas.openxmlformats.org/officeDocument/2006/docPropsVTypes"/>
</file>