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28"/>
          <w:szCs w:val="28"/>
        </w:rPr>
        <w:t xml:space="preserve">IRB Protocol Supplement: Research Technology Description</w:t>
      </w:r>
    </w:p>
    <w:p>
      <w:pPr>
        <w:spacing w:after="80"/>
        <w:jc w:val="center"/>
      </w:pPr>
      <w:r>
        <w:rPr>
          <w:rFonts w:ascii="Arial" w:cs="Arial" w:eastAsia="Arial" w:hAnsi="Arial"/>
          <w:color w:val="1B2A4A"/>
          <w:sz w:val="24"/>
          <w:szCs w:val="24"/>
        </w:rPr>
        <w:t xml:space="preserve">Evidify Radiology AI Governance Research Platform</w:t>
      </w:r>
    </w:p>
    <w:p>
      <w:pPr>
        <w:spacing w:after="200"/>
        <w:jc w:val="center"/>
      </w:pPr>
      <w:r>
        <w:rPr>
          <w:rFonts w:ascii="Arial" w:cs="Arial" w:eastAsia="Arial" w:hAnsi="Arial"/>
          <w:color w:val="555555"/>
          <w:sz w:val="20"/>
          <w:szCs w:val="20"/>
        </w:rPr>
        <w:t xml:space="preserve">Version 1.0 — February 2026 — Prepared by Joshua M. Henderson, PhD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2"/>
              <w:left w:val="none"/>
              <w:bottom w:val="none"/>
              <w:right w:val="none"/>
            </w:tcBorders>
            <w:tcMar>
              <w:top w:type="dxa" w:w="0"/>
              <w:left w:type="dxa" w:w="0"/>
              <w:bottom w:type="dxa" w:w="0"/>
              <w:right w:type="dxa" w:w="0"/>
            </w:tcMar>
          </w:tcPr>
          <w:p>
            <w:pPr>
              <w:spacing w:after="0"/>
            </w:pPr>
          </w:p>
        </w:tc>
      </w:tr>
    </w:tbl>
    <w:p>
      <w:pPr>
        <w:spacing w:after="80"/>
      </w:pPr>
    </w:p>
    <w:p>
      <w:pPr>
        <w:pStyle w:val="Heading1"/>
      </w:pPr>
      <w:r>
        <w:t xml:space="preserve">1. Purpose and Scope</w:t>
      </w:r>
    </w:p>
    <w:p>
      <w:pPr>
        <w:spacing w:after="160" w:line="276"/>
      </w:pPr>
      <w:r>
        <w:rPr>
          <w:rFonts w:ascii="Arial" w:cs="Arial" w:eastAsia="Arial" w:hAnsi="Arial"/>
          <w:color w:val="333333"/>
          <w:sz w:val="22"/>
          <w:szCs w:val="22"/>
        </w:rPr>
        <w:t xml:space="preserve">This document provides a technical description of the Evidify Radiology AI Governance Research Platform (“the Platform”) for inclusion in Institutional Review Board (IRB) protocol submissions. It describes the Platform’s architecture, data handling procedures, privacy protections, and risk profile as they pertain to human subjects research involving radiologist participants and/or mock juror participants.</w:t>
      </w:r>
    </w:p>
    <w:p>
      <w:pPr>
        <w:spacing w:after="160" w:line="276"/>
      </w:pPr>
      <w:r>
        <w:rPr>
          <w:rFonts w:ascii="Arial" w:cs="Arial" w:eastAsia="Arial" w:hAnsi="Arial"/>
          <w:color w:val="333333"/>
          <w:sz w:val="22"/>
          <w:szCs w:val="22"/>
        </w:rPr>
        <w:t xml:space="preserve">The Platform is a browser-based research instrument designed to present clinical imaging cases under controlled experimental conditions, capture clinician decision-making data with cryptographic temporal ordering, and export structured evidence packages for analysis. It is not a clinical decision-support tool, does not interface with electronic health records or PACS systems, and does not process, transmit, or store protected health information (PHI).</w:t>
      </w:r>
    </w:p>
    <w:p>
      <w:pPr>
        <w:pStyle w:val="Heading1"/>
      </w:pPr>
      <w:r>
        <w:t xml:space="preserve">2. System Architecture</w:t>
      </w:r>
    </w:p>
    <w:p>
      <w:pPr>
        <w:pStyle w:val="Heading2"/>
      </w:pPr>
      <w:r>
        <w:t xml:space="preserve">2.1 Local-First Design</w:t>
      </w:r>
    </w:p>
    <w:p>
      <w:pPr>
        <w:spacing w:after="160" w:line="276"/>
      </w:pPr>
      <w:r>
        <w:rPr>
          <w:rFonts w:ascii="Arial" w:cs="Arial" w:eastAsia="Arial" w:hAnsi="Arial"/>
          <w:color w:val="333333"/>
          <w:sz w:val="22"/>
          <w:szCs w:val="22"/>
        </w:rPr>
        <w:t xml:space="preserve">The Platform operates entirely within the participant’s web browser. There is no server-side component, no cloud infrastructure, and no network transmission of participant data during a research session. All computation — including event logging, hash chain generation, metric derivation, and export package assembly — occurs locally on the device running the browser.</w:t>
      </w:r>
    </w:p>
    <w:p>
      <w:pPr>
        <w:spacing w:after="160" w:line="276"/>
      </w:pPr>
      <w:r>
        <w:rPr>
          <w:rFonts w:ascii="Arial" w:cs="Arial" w:eastAsia="Arial" w:hAnsi="Arial"/>
          <w:color w:val="333333"/>
          <w:sz w:val="22"/>
          <w:szCs w:val="22"/>
        </w:rPr>
        <w:t xml:space="preserve">This architecture was selected specifically to eliminate data-in-transit privacy risks and to avoid the need for HIPAA-covered infrastructure. The Platform functions without an internet connection once loaded.</w:t>
      </w:r>
    </w:p>
    <w:p>
      <w:pPr>
        <w:pStyle w:val="Heading2"/>
      </w:pPr>
      <w: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Modern web browser (Chrome, Firefox, Safari, Edge)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18+ with TypeScript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Cryptography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 Crypto API (SHA-256), browser-native, no third-party cryptographic libraries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Persistence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Browser memory only during session; no localStorage, no IndexedDB, no cookies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 Dependencies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 Static file hosting only (e.g., institutional web server, localhost)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External Network Calls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 during research sessions</w:t>
            </w:r>
          </w:p>
        </w:tc>
      </w:tr>
    </w:tbl>
    <w:p>
      <w:pPr>
        <w:spacing w:after="80"/>
      </w:pPr>
    </w:p>
    <w:p>
      <w:pPr>
        <w:pStyle w:val="Heading2"/>
      </w:pPr>
      <w:r>
        <w:t xml:space="preserve">2.3 Deployment Model</w:t>
      </w:r>
    </w:p>
    <w:p>
      <w:pPr>
        <w:spacing w:after="160" w:line="276"/>
      </w:pPr>
      <w:r>
        <w:rPr>
          <w:rFonts w:ascii="Arial" w:cs="Arial" w:eastAsia="Arial" w:hAnsi="Arial"/>
          <w:color w:val="333333"/>
          <w:sz w:val="22"/>
          <w:szCs w:val="22"/>
        </w:rPr>
        <w:t xml:space="preserve">For multi-site reader studies, the Platform is distributed as a static web application bundle. Each participating site runs the Platform from a local web server or directly from the file system. No centralized server collects data in real time. Completed export packages are transmitted to the research team through institutionally approved secure file transfer mechanisms (e.g., encrypted email, institutional SFTP, Box/OneDrive with institutional BAA).</w:t>
      </w:r>
    </w:p>
    <w:p>
      <w:pPr>
        <w:pStyle w:val="Heading1"/>
      </w:pPr>
      <w:r>
        <w:t xml:space="preserve">3. Participant Interaction and Data Collection</w:t>
      </w:r>
    </w:p>
    <w:p>
      <w:pPr>
        <w:pStyle w:val="Heading2"/>
      </w:pPr>
      <w:r>
        <w:t xml:space="preserve">3.1 Study Session Workflow</w:t>
      </w:r>
    </w:p>
    <w:p>
      <w:pPr>
        <w:spacing w:after="160" w:line="276"/>
      </w:pPr>
      <w:r>
        <w:rPr>
          <w:rFonts w:ascii="Arial" w:cs="Arial" w:eastAsia="Arial" w:hAnsi="Arial"/>
          <w:color w:val="333333"/>
          <w:sz w:val="22"/>
          <w:szCs w:val="22"/>
        </w:rPr>
        <w:t xml:space="preserve">A typical research session proceeds through the following phases. The exact sequence and available conditions are determined by the study protocol and configured by the research team prior to participant interaction.</w:t>
      </w:r>
    </w:p>
    <w:p>
      <w:pPr>
        <w:pStyle w:val="ListParagraph"/>
        <w:numPr>
          <w:ilvl w:val="0"/>
          <w:numId w:val="2"/>
        </w:numPr>
        <w:spacing w:after="100" w:line="276"/>
      </w:pPr>
      <w:r>
        <w:rPr>
          <w:rFonts w:ascii="Arial" w:cs="Arial" w:eastAsia="Arial" w:hAnsi="Arial"/>
          <w:b/>
          <w:bCs/>
          <w:sz w:val="22"/>
          <w:szCs w:val="22"/>
        </w:rPr>
        <w:t xml:space="preserve">Calibration. </w:t>
      </w:r>
      <w:r>
        <w:rPr>
          <w:rFonts w:ascii="Arial" w:cs="Arial" w:eastAsia="Arial" w:hAnsi="Arial"/>
          <w:sz w:val="22"/>
          <w:szCs w:val="22"/>
        </w:rPr>
        <w:t xml:space="preserve">The participant views a practice case to familiarize themselves with the interface controls (BI-RADS selection, confidence rating, keyboard shortcuts). Calibration data is labeled as such in the export and may be excluded from analysis.</w:t>
      </w:r>
    </w:p>
    <w:p>
      <w:pPr>
        <w:pStyle w:val="ListParagraph"/>
        <w:numPr>
          <w:ilvl w:val="0"/>
          <w:numId w:val="2"/>
        </w:numPr>
        <w:spacing w:after="100" w:line="276"/>
      </w:pPr>
      <w:r>
        <w:rPr>
          <w:rFonts w:ascii="Arial" w:cs="Arial" w:eastAsia="Arial" w:hAnsi="Arial"/>
          <w:b/>
          <w:bCs/>
          <w:sz w:val="22"/>
          <w:szCs w:val="22"/>
        </w:rPr>
        <w:t xml:space="preserve">Independent Assessment (Pre-AI). </w:t>
      </w:r>
      <w:r>
        <w:rPr>
          <w:rFonts w:ascii="Arial" w:cs="Arial" w:eastAsia="Arial" w:hAnsi="Arial"/>
          <w:sz w:val="22"/>
          <w:szCs w:val="22"/>
        </w:rPr>
        <w:t xml:space="preserve">The participant views a clinical image (e.g., mammogram) and provides their independent BI-RADS classification and confidence rating. Upon submission, this assessment is cryptographically timestamped and locked. It cannot be modified retroactively.</w:t>
      </w:r>
    </w:p>
    <w:p>
      <w:pPr>
        <w:pStyle w:val="ListParagraph"/>
        <w:numPr>
          <w:ilvl w:val="0"/>
          <w:numId w:val="2"/>
        </w:numPr>
        <w:spacing w:after="100" w:line="276"/>
      </w:pPr>
      <w:r>
        <w:rPr>
          <w:rFonts w:ascii="Arial" w:cs="Arial" w:eastAsia="Arial" w:hAnsi="Arial"/>
          <w:b/>
          <w:bCs/>
          <w:sz w:val="22"/>
          <w:szCs w:val="22"/>
        </w:rPr>
        <w:t xml:space="preserve">AI Disclosure. </w:t>
      </w:r>
      <w:r>
        <w:rPr>
          <w:rFonts w:ascii="Arial" w:cs="Arial" w:eastAsia="Arial" w:hAnsi="Arial"/>
          <w:sz w:val="22"/>
          <w:szCs w:val="22"/>
        </w:rPr>
        <w:t xml:space="preserve">Depending on the experimental condition, the participant is shown an AI system’s assessment of the same case. The disclosure format (e.g., AI classification only, AI classification with false discovery rate, AI classification with full performance metrics) is a randomizable independent variable.</w:t>
      </w:r>
    </w:p>
    <w:p>
      <w:pPr>
        <w:pStyle w:val="ListParagraph"/>
        <w:numPr>
          <w:ilvl w:val="0"/>
          <w:numId w:val="2"/>
        </w:numPr>
        <w:spacing w:after="100" w:line="276"/>
      </w:pPr>
      <w:r>
        <w:rPr>
          <w:rFonts w:ascii="Arial" w:cs="Arial" w:eastAsia="Arial" w:hAnsi="Arial"/>
          <w:b/>
          <w:bCs/>
          <w:sz w:val="22"/>
          <w:szCs w:val="22"/>
        </w:rPr>
        <w:t xml:space="preserve">Reconciliation (Post-AI). </w:t>
      </w:r>
      <w:r>
        <w:rPr>
          <w:rFonts w:ascii="Arial" w:cs="Arial" w:eastAsia="Arial" w:hAnsi="Arial"/>
          <w:sz w:val="22"/>
          <w:szCs w:val="22"/>
        </w:rPr>
        <w:t xml:space="preserve">The participant may revise their assessment in light of the AI disclosure. If they change their assessment, the system requires structured deviation documentation: a reason category, supporting evidence, and free-text rationale. If they maintain their original assessment, this is also recorded.</w:t>
      </w:r>
    </w:p>
    <w:p>
      <w:pPr>
        <w:pStyle w:val="ListParagraph"/>
        <w:numPr>
          <w:ilvl w:val="0"/>
          <w:numId w:val="2"/>
        </w:numPr>
        <w:spacing w:after="100" w:line="276"/>
      </w:pPr>
      <w:r>
        <w:rPr>
          <w:rFonts w:ascii="Arial" w:cs="Arial" w:eastAsia="Arial" w:hAnsi="Arial"/>
          <w:b/>
          <w:bCs/>
          <w:sz w:val="22"/>
          <w:szCs w:val="22"/>
        </w:rPr>
        <w:t xml:space="preserve">Post-Case Measures. </w:t>
      </w:r>
      <w:r>
        <w:rPr>
          <w:rFonts w:ascii="Arial" w:cs="Arial" w:eastAsia="Arial" w:hAnsi="Arial"/>
          <w:sz w:val="22"/>
          <w:szCs w:val="22"/>
        </w:rPr>
        <w:t xml:space="preserve">The participant may complete brief self-report items regarding perceived workload, subjective AI reliance, and comprehension of disclosed error rates. These measures are optional and configured per protocol.</w:t>
      </w:r>
    </w:p>
    <w:p>
      <w:pPr>
        <w:pStyle w:val="ListParagraph"/>
        <w:numPr>
          <w:ilvl w:val="0"/>
          <w:numId w:val="2"/>
        </w:numPr>
        <w:spacing w:after="160" w:line="276"/>
      </w:pPr>
      <w:r>
        <w:rPr>
          <w:rFonts w:ascii="Arial" w:cs="Arial" w:eastAsia="Arial" w:hAnsi="Arial"/>
          <w:b/>
          <w:bCs/>
          <w:sz w:val="22"/>
          <w:szCs w:val="22"/>
        </w:rPr>
        <w:t xml:space="preserve">Export. </w:t>
      </w:r>
      <w:r>
        <w:rPr>
          <w:rFonts w:ascii="Arial" w:cs="Arial" w:eastAsia="Arial" w:hAnsi="Arial"/>
          <w:sz w:val="22"/>
          <w:szCs w:val="22"/>
        </w:rPr>
        <w:t xml:space="preserve">Upon session completion, the Platform generates a structured export package containing the complete event ledger, derived metrics, hash chain verification output, and a frozen method snapshot. This package is the unit of data collection for analysis.</w:t>
      </w:r>
    </w:p>
    <w:p>
      <w:pPr>
        <w:pStyle w:val="Heading2"/>
      </w:pPr>
      <w:r>
        <w:t xml:space="preserve">3.2 Data Elements Collected</w:t>
      </w:r>
    </w:p>
    <w:p>
      <w:pPr>
        <w:spacing w:after="160" w:line="276"/>
      </w:pPr>
      <w:r>
        <w:rPr>
          <w:rFonts w:ascii="Arial" w:cs="Arial" w:eastAsia="Arial" w:hAnsi="Arial"/>
          <w:color w:val="333333"/>
          <w:sz w:val="22"/>
          <w:szCs w:val="22"/>
        </w:rPr>
        <w:t xml:space="preserve">The following table enumerates all data elements captured by the Platform during a research session. No data is collected outside of active research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Elements</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PHI 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Assessment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BI-RADS classification (0–5), confidence rating (1–5), assessment rationale (free 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PHI. Participant’s own clinical judgment about a research stimulus, not a patient record.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Temporal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Timestamps for: case load, first impression submission, AI disclosure presentation, final assessment submission, session start/end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PHI. Measures research task performance, not patient encounters.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Deviation Documentation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Reason category (e.g., clinical experience, image quality), supporting evidence text, deviation rationale 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PHI. Participant’s reasoning about a simulated case.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Self-Report Measures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Perceived workload (Likert), AI reliance estimate (Likert), comprehension check responses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PHI. Standard psychological research measures.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Interaction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Mouse hover regions (aggregated), keyboard shortcut usage, panel toggle events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PHI. Interface interaction metrics.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Cryptographic Metadata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SHA-256 hashes, chain linkage pointers, verification status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PHI. Computed integrity values, not participant identifiers.</w:t>
            </w:r>
          </w:p>
        </w:tc>
      </w:tr>
    </w:tbl>
    <w:p>
      <w:pPr>
        <w:spacing w:after="80"/>
      </w:pPr>
    </w:p>
    <w:p>
      <w:pPr>
        <w:pStyle w:val="Heading2"/>
      </w:pPr>
      <w:r>
        <w:t xml:space="preserve">3.3 Data NOT Collected</w:t>
      </w:r>
    </w:p>
    <w:p>
      <w:pPr>
        <w:spacing w:after="160" w:line="276"/>
      </w:pPr>
      <w:r>
        <w:rPr>
          <w:rFonts w:ascii="Arial" w:cs="Arial" w:eastAsia="Arial" w:hAnsi="Arial"/>
          <w:color w:val="333333"/>
          <w:sz w:val="22"/>
          <w:szCs w:val="22"/>
        </w:rPr>
        <w:t xml:space="preserve">The Platform does not collect, process, or transmit any of the following:</w:t>
      </w:r>
    </w:p>
    <w:p>
      <w:pPr>
        <w:pStyle w:val="ListParagraph"/>
        <w:numPr>
          <w:ilvl w:val="0"/>
          <w:numId w:val="3"/>
        </w:numPr>
        <w:spacing w:after="100" w:line="276"/>
      </w:pPr>
      <w:r>
        <w:rPr>
          <w:rFonts w:ascii="Arial" w:cs="Arial" w:eastAsia="Arial" w:hAnsi="Arial"/>
          <w:color w:val="333333"/>
          <w:sz w:val="22"/>
          <w:szCs w:val="22"/>
        </w:rPr>
        <w:t xml:space="preserve">Participant names, dates of birth, or any direct identifiers</w:t>
      </w:r>
    </w:p>
    <w:p>
      <w:pPr>
        <w:pStyle w:val="ListParagraph"/>
        <w:numPr>
          <w:ilvl w:val="0"/>
          <w:numId w:val="4"/>
        </w:numPr>
        <w:spacing w:after="100" w:line="276"/>
      </w:pPr>
      <w:r>
        <w:rPr>
          <w:rFonts w:ascii="Arial" w:cs="Arial" w:eastAsia="Arial" w:hAnsi="Arial"/>
          <w:color w:val="333333"/>
          <w:sz w:val="22"/>
          <w:szCs w:val="22"/>
        </w:rPr>
        <w:t xml:space="preserve">IP addresses, device fingerprints, or browser metadata</w:t>
      </w:r>
    </w:p>
    <w:p>
      <w:pPr>
        <w:pStyle w:val="ListParagraph"/>
        <w:numPr>
          <w:ilvl w:val="0"/>
          <w:numId w:val="5"/>
        </w:numPr>
        <w:spacing w:after="100" w:line="276"/>
      </w:pPr>
      <w:r>
        <w:rPr>
          <w:rFonts w:ascii="Arial" w:cs="Arial" w:eastAsia="Arial" w:hAnsi="Arial"/>
          <w:color w:val="333333"/>
          <w:sz w:val="22"/>
          <w:szCs w:val="22"/>
        </w:rPr>
        <w:t xml:space="preserve">Actual patient health information or clinical records</w:t>
      </w:r>
    </w:p>
    <w:p>
      <w:pPr>
        <w:pStyle w:val="ListParagraph"/>
        <w:numPr>
          <w:ilvl w:val="0"/>
          <w:numId w:val="6"/>
        </w:numPr>
        <w:spacing w:after="100" w:line="276"/>
      </w:pPr>
      <w:r>
        <w:rPr>
          <w:rFonts w:ascii="Arial" w:cs="Arial" w:eastAsia="Arial" w:hAnsi="Arial"/>
          <w:color w:val="333333"/>
          <w:sz w:val="22"/>
          <w:szCs w:val="22"/>
        </w:rPr>
        <w:t xml:space="preserve">Audio, video, or screen recordings of participants</w:t>
      </w:r>
    </w:p>
    <w:p>
      <w:pPr>
        <w:pStyle w:val="ListParagraph"/>
        <w:numPr>
          <w:ilvl w:val="0"/>
          <w:numId w:val="7"/>
        </w:numPr>
        <w:spacing w:after="100" w:line="276"/>
      </w:pPr>
      <w:r>
        <w:rPr>
          <w:rFonts w:ascii="Arial" w:cs="Arial" w:eastAsia="Arial" w:hAnsi="Arial"/>
          <w:color w:val="333333"/>
          <w:sz w:val="22"/>
          <w:szCs w:val="22"/>
        </w:rPr>
        <w:t xml:space="preserve">Cookies, tracking pixels, or analytics data</w:t>
      </w:r>
    </w:p>
    <w:p>
      <w:pPr>
        <w:pStyle w:val="ListParagraph"/>
        <w:numPr>
          <w:ilvl w:val="0"/>
          <w:numId w:val="8"/>
        </w:numPr>
        <w:spacing w:after="100" w:line="276"/>
      </w:pPr>
      <w:r>
        <w:rPr>
          <w:rFonts w:ascii="Arial" w:cs="Arial" w:eastAsia="Arial" w:hAnsi="Arial"/>
          <w:color w:val="333333"/>
          <w:sz w:val="22"/>
          <w:szCs w:val="22"/>
        </w:rPr>
        <w:t xml:space="preserve">Any data outside of active research sessions</w:t>
      </w:r>
    </w:p>
    <w:p>
      <w:pPr>
        <w:spacing w:after="80"/>
      </w:pPr>
    </w:p>
    <w:p>
      <w:pPr>
        <w:pStyle w:val="Heading1"/>
      </w:pPr>
      <w:r>
        <w:t xml:space="preserve">4. Clinical Imaging Stimuli</w:t>
      </w:r>
    </w:p>
    <w:p>
      <w:pPr>
        <w:spacing w:after="160" w:line="276"/>
      </w:pPr>
      <w:r>
        <w:rPr>
          <w:rFonts w:ascii="Arial" w:cs="Arial" w:eastAsia="Arial" w:hAnsi="Arial"/>
          <w:color w:val="333333"/>
          <w:sz w:val="22"/>
          <w:szCs w:val="22"/>
        </w:rPr>
        <w:t xml:space="preserve">The Platform displays mammographic images as visual stimuli for radiologist reader studies. These images are sourced from publicly available, de-identified research datasets. No images are obtained from clinical practice, and no images contain patient-identifiable information.</w:t>
      </w:r>
    </w:p>
    <w:p>
      <w:pPr>
        <w:pStyle w:val="Heading2"/>
      </w:pPr>
      <w:r>
        <w:t xml:space="preserve">4.1 Image Sources</w:t>
      </w:r>
    </w:p>
    <w:p>
      <w:pPr>
        <w:spacing w:after="160" w:line="276"/>
      </w:pPr>
      <w:r>
        <w:rPr>
          <w:rFonts w:ascii="Arial" w:cs="Arial" w:eastAsia="Arial" w:hAnsi="Arial"/>
          <w:b/>
          <w:bCs/>
          <w:color w:val="333333"/>
          <w:sz w:val="22"/>
          <w:szCs w:val="22"/>
        </w:rPr>
        <w:t xml:space="preserve">INbreast Dataset. </w:t>
      </w:r>
      <w:r>
        <w:rPr>
          <w:rFonts w:ascii="Arial" w:cs="Arial" w:eastAsia="Arial" w:hAnsi="Arial"/>
          <w:color w:val="333333"/>
          <w:sz w:val="22"/>
          <w:szCs w:val="22"/>
        </w:rPr>
        <w:t xml:space="preserve">A publicly available, fully anonymized mammographic database from the Breast Research Group at INESC Porto, Portugal. All images have been stripped of DICOM headers containing patient identifiers. The dataset is published in academic literature and freely available for research use. Citation: Moreira et al. (2012), INbreast: Toward a Full-Field Digital Mammographic Database.</w:t>
      </w:r>
    </w:p>
    <w:p>
      <w:pPr>
        <w:spacing w:after="160" w:line="276"/>
      </w:pPr>
      <w:r>
        <w:rPr>
          <w:rFonts w:ascii="Arial" w:cs="Arial" w:eastAsia="Arial" w:hAnsi="Arial"/>
          <w:color w:val="333333"/>
          <w:sz w:val="22"/>
          <w:szCs w:val="22"/>
        </w:rPr>
        <w:t xml:space="preserve">Should the study protocol require images beyond those available in public datasets, the research team will obtain images through the appropriate institutional data use agreement, with all patient identifiers removed prior to integration with the Platform. The Platform itself has no mechanism to access, query, or connect to clinical imaging systems.</w:t>
      </w:r>
    </w:p>
    <w:p>
      <w:pPr>
        <w:pStyle w:val="Heading1"/>
      </w:pPr>
      <w:r>
        <w:t xml:space="preserve">5. Cryptographic Integrity System</w:t>
      </w:r>
    </w:p>
    <w:p>
      <w:pPr>
        <w:pStyle w:val="Heading2"/>
      </w:pPr>
      <w:r>
        <w:t xml:space="preserve">5.1 Purpose</w:t>
      </w:r>
    </w:p>
    <w:p>
      <w:pPr>
        <w:spacing w:after="160" w:line="276"/>
      </w:pPr>
      <w:r>
        <w:rPr>
          <w:rFonts w:ascii="Arial" w:cs="Arial" w:eastAsia="Arial" w:hAnsi="Arial"/>
          <w:color w:val="333333"/>
          <w:sz w:val="22"/>
          <w:szCs w:val="22"/>
        </w:rPr>
        <w:t xml:space="preserve">The Platform’s cryptographic system serves a dual purpose: as a research instrument for studying the effect of verifiable decision documentation on perceived liability (a dependent variable in jury simulation studies), and as a technical implementation of tamper-evident logging that could inform future clinical governance standards.</w:t>
      </w:r>
    </w:p>
    <w:p>
      <w:pPr>
        <w:spacing w:after="160" w:line="276"/>
      </w:pPr>
      <w:r>
        <w:rPr>
          <w:rFonts w:ascii="Arial" w:cs="Arial" w:eastAsia="Arial" w:hAnsi="Arial"/>
          <w:color w:val="333333"/>
          <w:sz w:val="22"/>
          <w:szCs w:val="22"/>
        </w:rPr>
        <w:t xml:space="preserve">It is important to note that the cryptographic system is the object of study, not a security guarantee. The Platform does not make claims of legal admissibility; rather, it implements a technical architecture whose admissibility and evidentiary weight are among the research questions the proposed studies aim to investigate.</w:t>
      </w:r>
    </w:p>
    <w:p>
      <w:pPr>
        <w:pStyle w:val="Heading2"/>
      </w:pPr>
      <w:r>
        <w:t xml:space="preserve">5.2 Technical Implementation</w:t>
      </w:r>
    </w:p>
    <w:p>
      <w:pPr>
        <w:pStyle w:val="ListParagraph"/>
        <w:numPr>
          <w:ilvl w:val="0"/>
          <w:numId w:val="9"/>
        </w:numPr>
        <w:spacing w:after="100" w:line="276"/>
      </w:pPr>
      <w:r>
        <w:rPr>
          <w:rFonts w:ascii="Arial" w:cs="Arial" w:eastAsia="Arial" w:hAnsi="Arial"/>
          <w:color w:val="333333"/>
          <w:sz w:val="22"/>
          <w:szCs w:val="22"/>
        </w:rPr>
        <w:t xml:space="preserve">Each decision event is serialized into a canonical JSON format with deterministic field ordering.</w:t>
      </w:r>
    </w:p>
    <w:p>
      <w:pPr>
        <w:pStyle w:val="ListParagraph"/>
        <w:numPr>
          <w:ilvl w:val="0"/>
          <w:numId w:val="10"/>
        </w:numPr>
        <w:spacing w:after="100" w:line="276"/>
      </w:pPr>
      <w:r>
        <w:rPr>
          <w:rFonts w:ascii="Arial" w:cs="Arial" w:eastAsia="Arial" w:hAnsi="Arial"/>
          <w:color w:val="333333"/>
          <w:sz w:val="22"/>
          <w:szCs w:val="22"/>
        </w:rPr>
        <w:t xml:space="preserve">The serialized event is hashed using SHA-256 via the browser’s native Web Crypto API.</w:t>
      </w:r>
    </w:p>
    <w:p>
      <w:pPr>
        <w:pStyle w:val="ListParagraph"/>
        <w:numPr>
          <w:ilvl w:val="0"/>
          <w:numId w:val="11"/>
        </w:numPr>
        <w:spacing w:after="100" w:line="276"/>
      </w:pPr>
      <w:r>
        <w:rPr>
          <w:rFonts w:ascii="Arial" w:cs="Arial" w:eastAsia="Arial" w:hAnsi="Arial"/>
          <w:color w:val="333333"/>
          <w:sz w:val="22"/>
          <w:szCs w:val="22"/>
        </w:rPr>
        <w:t xml:space="preserve">Each hash incorporates the hash of the preceding event, forming a sequential chain (analogous to a blockchain without distributed consensus).</w:t>
      </w:r>
    </w:p>
    <w:p>
      <w:pPr>
        <w:pStyle w:val="ListParagraph"/>
        <w:numPr>
          <w:ilvl w:val="0"/>
          <w:numId w:val="12"/>
        </w:numPr>
        <w:spacing w:after="100" w:line="276"/>
      </w:pPr>
      <w:r>
        <w:rPr>
          <w:rFonts w:ascii="Arial" w:cs="Arial" w:eastAsia="Arial" w:hAnsi="Arial"/>
          <w:color w:val="333333"/>
          <w:sz w:val="22"/>
          <w:szCs w:val="22"/>
        </w:rPr>
        <w:t xml:space="preserve">The first event in a session uses a null previous-hash value (genesis block).</w:t>
      </w:r>
    </w:p>
    <w:p>
      <w:pPr>
        <w:pStyle w:val="ListParagraph"/>
        <w:numPr>
          <w:ilvl w:val="0"/>
          <w:numId w:val="13"/>
        </w:numPr>
        <w:spacing w:after="100" w:line="276"/>
      </w:pPr>
      <w:r>
        <w:rPr>
          <w:rFonts w:ascii="Arial" w:cs="Arial" w:eastAsia="Arial" w:hAnsi="Arial"/>
          <w:color w:val="333333"/>
          <w:sz w:val="22"/>
          <w:szCs w:val="22"/>
        </w:rPr>
        <w:t xml:space="preserve">Verification is performed by recomputing all hashes from the raw event data and comparing them to the stored chain. Any discrepancy indicates that the event data has been altered after initial recording.</w:t>
      </w:r>
    </w:p>
    <w:p>
      <w:pPr>
        <w:spacing w:after="80"/>
      </w:pPr>
    </w:p>
    <w:p>
      <w:pPr>
        <w:pStyle w:val="Heading2"/>
      </w:pPr>
      <w:r>
        <w:t xml:space="preserve">5.3 Limitations Disclosed</w:t>
      </w:r>
    </w:p>
    <w:p>
      <w:pPr>
        <w:spacing w:after="160" w:line="276"/>
      </w:pPr>
      <w:r>
        <w:rPr>
          <w:rFonts w:ascii="Arial" w:cs="Arial" w:eastAsia="Arial" w:hAnsi="Arial"/>
          <w:color w:val="333333"/>
          <w:sz w:val="22"/>
          <w:szCs w:val="22"/>
        </w:rPr>
        <w:t xml:space="preserve">The following limitations apply to the cryptographic system and should be understood by the IRB:</w:t>
      </w:r>
    </w:p>
    <w:p>
      <w:pPr>
        <w:pStyle w:val="ListParagraph"/>
        <w:numPr>
          <w:ilvl w:val="0"/>
          <w:numId w:val="14"/>
        </w:numPr>
        <w:spacing w:after="100" w:line="276"/>
      </w:pPr>
      <w:r>
        <w:rPr>
          <w:rFonts w:ascii="Arial" w:cs="Arial" w:eastAsia="Arial" w:hAnsi="Arial"/>
          <w:color w:val="333333"/>
          <w:sz w:val="22"/>
          <w:szCs w:val="22"/>
        </w:rPr>
        <w:t xml:space="preserve">The hash chain runs entirely client-side. There is no external timestamping authority (TSA) providing independent temporal attestation. Timestamps are derived from the participant’s local system clock.</w:t>
      </w:r>
    </w:p>
    <w:p>
      <w:pPr>
        <w:pStyle w:val="ListParagraph"/>
        <w:numPr>
          <w:ilvl w:val="0"/>
          <w:numId w:val="3"/>
        </w:numPr>
        <w:spacing w:after="100" w:line="276"/>
      </w:pPr>
      <w:r>
        <w:rPr>
          <w:rFonts w:ascii="Arial" w:cs="Arial" w:eastAsia="Arial" w:hAnsi="Arial"/>
          <w:b/>
          <w:bCs/>
          <w:color w:val="333333"/>
          <w:sz w:val="22"/>
          <w:szCs w:val="22"/>
        </w:rPr>
        <w:t xml:space="preserve">This means: </w:t>
      </w:r>
      <w:r>
        <w:rPr>
          <w:rFonts w:ascii="Arial" w:cs="Arial" w:eastAsia="Arial" w:hAnsi="Arial"/>
          <w:color w:val="333333"/>
          <w:sz w:val="22"/>
          <w:szCs w:val="22"/>
        </w:rPr>
        <w:t xml:space="preserve">The system proves internal consistency (events were recorded in the claimed order and have not been modified since recording) but does not independently prove when events occurred in absolute time.</w:t>
      </w:r>
    </w:p>
    <w:p>
      <w:pPr>
        <w:pStyle w:val="ListParagraph"/>
        <w:numPr>
          <w:ilvl w:val="0"/>
          <w:numId w:val="4"/>
        </w:numPr>
        <w:spacing w:after="100" w:line="276"/>
      </w:pPr>
      <w:r>
        <w:rPr>
          <w:rFonts w:ascii="Arial" w:cs="Arial" w:eastAsia="Arial" w:hAnsi="Arial"/>
          <w:color w:val="333333"/>
          <w:sz w:val="22"/>
          <w:szCs w:val="22"/>
        </w:rPr>
        <w:t xml:space="preserve">A technically sophisticated actor with full access to the client device could, in theory, construct a valid chain with fabricated timestamps. This attack requires deliberate, technically skilled manipulation and would not occur through normal use or accidental data corruption.</w:t>
      </w:r>
    </w:p>
    <w:p>
      <w:pPr>
        <w:pStyle w:val="ListParagraph"/>
        <w:numPr>
          <w:ilvl w:val="0"/>
          <w:numId w:val="5"/>
        </w:numPr>
        <w:spacing w:after="100" w:line="276"/>
      </w:pPr>
      <w:r>
        <w:rPr>
          <w:rFonts w:ascii="Arial" w:cs="Arial" w:eastAsia="Arial" w:hAnsi="Arial"/>
          <w:color w:val="333333"/>
          <w:sz w:val="22"/>
          <w:szCs w:val="22"/>
        </w:rPr>
        <w:t xml:space="preserve">For research purposes, these limitations are acceptable because: (a) participant sessions are conducted under controlled conditions, (b) the hash chain is a research variable being studied, not a production security control, and (c) the export packages are transmitted to the research team through secure channels and are not modified after collection.</w:t>
      </w:r>
    </w:p>
    <w:p>
      <w:pPr>
        <w:spacing w:after="80"/>
      </w:pPr>
    </w:p>
    <w:p>
      <w:pPr>
        <w:pStyle w:val="Heading1"/>
      </w:pPr>
      <w:r>
        <w:t xml:space="preserve">6. Privacy and Data Security</w:t>
      </w:r>
    </w:p>
    <w:p>
      <w:pPr>
        <w:pStyle w:val="Heading2"/>
      </w:pPr>
      <w:r>
        <w:t xml:space="preserve">6.1 Data Flow Diagram</w:t>
      </w:r>
    </w:p>
    <w:p>
      <w:pPr>
        <w:spacing w:after="160" w:line="276"/>
      </w:pPr>
      <w:r>
        <w:rPr>
          <w:rFonts w:ascii="Arial" w:cs="Arial" w:eastAsia="Arial" w:hAnsi="Arial"/>
          <w:color w:val="333333"/>
          <w:sz w:val="22"/>
          <w:szCs w:val="22"/>
        </w:rPr>
        <w:t xml:space="preserve">The data flow for a research session is as follows:</w:t>
      </w:r>
    </w:p>
    <w:p>
      <w:pPr>
        <w:pStyle w:val="ListParagraph"/>
        <w:numPr>
          <w:ilvl w:val="0"/>
          <w:numId w:val="15"/>
        </w:numPr>
        <w:spacing w:after="100" w:line="276"/>
      </w:pPr>
      <w:r>
        <w:rPr>
          <w:rFonts w:ascii="Arial" w:cs="Arial" w:eastAsia="Arial" w:hAnsi="Arial"/>
          <w:sz w:val="22"/>
          <w:szCs w:val="22"/>
        </w:rPr>
        <w:t xml:space="preserve">Participant opens the Platform in a web browser on a research-provided or personal device.</w:t>
      </w:r>
    </w:p>
    <w:p>
      <w:pPr>
        <w:pStyle w:val="ListParagraph"/>
        <w:numPr>
          <w:ilvl w:val="0"/>
          <w:numId w:val="15"/>
        </w:numPr>
        <w:spacing w:after="100" w:line="276"/>
      </w:pPr>
      <w:r>
        <w:rPr>
          <w:rFonts w:ascii="Arial" w:cs="Arial" w:eastAsia="Arial" w:hAnsi="Arial"/>
          <w:sz w:val="22"/>
          <w:szCs w:val="22"/>
        </w:rPr>
        <w:t xml:space="preserve">All Platform code, images, and configuration are loaded from static files. No network calls are made during the session.</w:t>
      </w:r>
    </w:p>
    <w:p>
      <w:pPr>
        <w:pStyle w:val="ListParagraph"/>
        <w:numPr>
          <w:ilvl w:val="0"/>
          <w:numId w:val="15"/>
        </w:numPr>
        <w:spacing w:after="100" w:line="276"/>
      </w:pPr>
      <w:r>
        <w:rPr>
          <w:rFonts w:ascii="Arial" w:cs="Arial" w:eastAsia="Arial" w:hAnsi="Arial"/>
          <w:sz w:val="22"/>
          <w:szCs w:val="22"/>
        </w:rPr>
        <w:t xml:space="preserve">Participant interacts with the Platform. All events are recorded in browser memory only.</w:t>
      </w:r>
    </w:p>
    <w:p>
      <w:pPr>
        <w:pStyle w:val="ListParagraph"/>
        <w:numPr>
          <w:ilvl w:val="0"/>
          <w:numId w:val="15"/>
        </w:numPr>
        <w:spacing w:after="100" w:line="276"/>
      </w:pPr>
      <w:r>
        <w:rPr>
          <w:rFonts w:ascii="Arial" w:cs="Arial" w:eastAsia="Arial" w:hAnsi="Arial"/>
          <w:sz w:val="22"/>
          <w:szCs w:val="22"/>
        </w:rPr>
        <w:t xml:space="preserve">Upon session completion, the Platform generates a JSON/structured export file available for download.</w:t>
      </w:r>
    </w:p>
    <w:p>
      <w:pPr>
        <w:pStyle w:val="ListParagraph"/>
        <w:numPr>
          <w:ilvl w:val="0"/>
          <w:numId w:val="15"/>
        </w:numPr>
        <w:spacing w:after="100" w:line="276"/>
      </w:pPr>
      <w:r>
        <w:rPr>
          <w:rFonts w:ascii="Arial" w:cs="Arial" w:eastAsia="Arial" w:hAnsi="Arial"/>
          <w:sz w:val="22"/>
          <w:szCs w:val="22"/>
        </w:rPr>
        <w:t xml:space="preserve">The participant or research coordinator transmits the export file to the research team via institutionally approved secure transfer (e.g., institutional Box, encrypted email, SFTP).</w:t>
      </w:r>
    </w:p>
    <w:p>
      <w:pPr>
        <w:pStyle w:val="ListParagraph"/>
        <w:numPr>
          <w:ilvl w:val="0"/>
          <w:numId w:val="15"/>
        </w:numPr>
        <w:spacing w:after="100" w:line="276"/>
      </w:pPr>
      <w:r>
        <w:rPr>
          <w:rFonts w:ascii="Arial" w:cs="Arial" w:eastAsia="Arial" w:hAnsi="Arial"/>
          <w:sz w:val="22"/>
          <w:szCs w:val="22"/>
        </w:rPr>
        <w:t xml:space="preserve">When the browser tab is closed, all session data in memory is destroyed. No data persists on the participant’s device.</w:t>
      </w:r>
    </w:p>
    <w:p>
      <w:pPr>
        <w:pStyle w:val="Heading2"/>
      </w:pPr>
      <w:r>
        <w:t xml:space="preserve">6.2 HIPAA Applicability</w:t>
      </w:r>
    </w:p>
    <w:p>
      <w:pPr>
        <w:spacing w:after="160" w:line="276"/>
      </w:pPr>
      <w:r>
        <w:rPr>
          <w:rFonts w:ascii="Arial" w:cs="Arial" w:eastAsia="Arial" w:hAnsi="Arial"/>
          <w:color w:val="333333"/>
          <w:sz w:val="22"/>
          <w:szCs w:val="22"/>
        </w:rPr>
        <w:t xml:space="preserve">The Platform does not meet the threshold for HIPAA applicability because:</w:t>
      </w:r>
    </w:p>
    <w:p>
      <w:pPr>
        <w:pStyle w:val="ListParagraph"/>
        <w:numPr>
          <w:ilvl w:val="0"/>
          <w:numId w:val="6"/>
        </w:numPr>
        <w:spacing w:after="100" w:line="276"/>
      </w:pPr>
      <w:r>
        <w:rPr>
          <w:rFonts w:ascii="Arial" w:cs="Arial" w:eastAsia="Arial" w:hAnsi="Arial"/>
          <w:color w:val="333333"/>
          <w:sz w:val="22"/>
          <w:szCs w:val="22"/>
        </w:rPr>
        <w:t xml:space="preserve">It does not create, receive, maintain, or transmit protected health information (PHI) as defined under 45 CFR §160.103.</w:t>
      </w:r>
    </w:p>
    <w:p>
      <w:pPr>
        <w:pStyle w:val="ListParagraph"/>
        <w:numPr>
          <w:ilvl w:val="0"/>
          <w:numId w:val="7"/>
        </w:numPr>
        <w:spacing w:after="100" w:line="276"/>
      </w:pPr>
      <w:r>
        <w:rPr>
          <w:rFonts w:ascii="Arial" w:cs="Arial" w:eastAsia="Arial" w:hAnsi="Arial"/>
          <w:color w:val="333333"/>
          <w:sz w:val="22"/>
          <w:szCs w:val="22"/>
        </w:rPr>
        <w:t xml:space="preserve">The clinical images used are from publicly available, fully de-identified research datasets that do not constitute individually identifiable health information.</w:t>
      </w:r>
    </w:p>
    <w:p>
      <w:pPr>
        <w:pStyle w:val="ListParagraph"/>
        <w:numPr>
          <w:ilvl w:val="0"/>
          <w:numId w:val="8"/>
        </w:numPr>
        <w:spacing w:after="100" w:line="276"/>
      </w:pPr>
      <w:r>
        <w:rPr>
          <w:rFonts w:ascii="Arial" w:cs="Arial" w:eastAsia="Arial" w:hAnsi="Arial"/>
          <w:color w:val="333333"/>
          <w:sz w:val="22"/>
          <w:szCs w:val="22"/>
        </w:rPr>
        <w:t xml:space="preserve">Participant assessment data reflects judgments about simulated/research cases, not actual patient encounters.</w:t>
      </w:r>
    </w:p>
    <w:p>
      <w:pPr>
        <w:pStyle w:val="ListParagraph"/>
        <w:numPr>
          <w:ilvl w:val="0"/>
          <w:numId w:val="9"/>
        </w:numPr>
        <w:spacing w:after="100" w:line="276"/>
      </w:pPr>
      <w:r>
        <w:rPr>
          <w:rFonts w:ascii="Arial" w:cs="Arial" w:eastAsia="Arial" w:hAnsi="Arial"/>
          <w:color w:val="333333"/>
          <w:sz w:val="22"/>
          <w:szCs w:val="22"/>
        </w:rPr>
        <w:t xml:space="preserve">No data leaves the participant’s browser during a session; there is no covered entity or business associate relationship created by use of the Platform.</w:t>
      </w:r>
    </w:p>
    <w:p>
      <w:pPr>
        <w:spacing w:after="80"/>
      </w:pPr>
    </w:p>
    <w:p>
      <w:pPr>
        <w:pStyle w:val="Heading2"/>
      </w:pPr>
      <w:r>
        <w:t xml:space="preserve">6.3 Participant Identification and De-identification</w:t>
      </w:r>
    </w:p>
    <w:p>
      <w:pPr>
        <w:spacing w:after="160" w:line="276"/>
      </w:pPr>
      <w:r>
        <w:rPr>
          <w:rFonts w:ascii="Arial" w:cs="Arial" w:eastAsia="Arial" w:hAnsi="Arial"/>
          <w:color w:val="333333"/>
          <w:sz w:val="22"/>
          <w:szCs w:val="22"/>
        </w:rPr>
        <w:t xml:space="preserve">The Platform assigns each session a random alphanumeric session identifier (e.g., “BRPLL-001”). This identifier does not contain or encode any participant-identifying information. The linkage between session identifiers and participant identities (if needed for longitudinal studies) is maintained separately by the research team in a secured key file, per standard IRB-approved de-identification procedures. The Platform itself has no knowledge of participant identity.</w:t>
      </w:r>
    </w:p>
    <w:p>
      <w:pPr>
        <w:pStyle w:val="Heading1"/>
      </w:pPr>
      <w:r>
        <w:t xml:space="preserve">7. Risk Assessment</w:t>
      </w:r>
    </w:p>
    <w:p>
      <w:pPr>
        <w:pStyle w:val="Heading2"/>
      </w:pPr>
      <w:r>
        <w:t xml:space="preserve">7.1 Participant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 Category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Privacy breach (data exposure)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Very Low</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Minimal — no PHI, no identifiers in Platform data</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Local-first architecture; no network transmission; session data destroyed on browser close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Psychological distress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Very Low</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Minimal — participants are trained radiologists viewing routine case types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Calibration phase for familiarization; voluntary withdrawal at any time; debriefing protocol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Professional concern (performance being judged)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Minimal — research data is de-identified and aggregated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Informed consent emphasizes: no individual performance evaluation, no employer reporting, data reported only in aggregate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 burden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Moderate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Minimal — estimated 30–60 minutes per session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Compensation per institutional norms; flexible scheduling</w:t>
            </w:r>
          </w:p>
        </w:tc>
      </w:tr>
    </w:tbl>
    <w:p>
      <w:pPr>
        <w:spacing w:after="80"/>
      </w:pPr>
    </w:p>
    <w:p>
      <w:pPr>
        <w:pStyle w:val="Heading2"/>
      </w:pPr>
      <w:r>
        <w:t xml:space="preserve">7.2 Data Security Risks</w:t>
      </w:r>
    </w:p>
    <w:p>
      <w:pPr>
        <w:spacing w:after="160" w:line="276"/>
      </w:pPr>
      <w:r>
        <w:rPr>
          <w:rFonts w:ascii="Arial" w:cs="Arial" w:eastAsia="Arial" w:hAnsi="Arial"/>
          <w:color w:val="333333"/>
          <w:sz w:val="22"/>
          <w:szCs w:val="22"/>
        </w:rPr>
        <w:t xml:space="preserve">The primary data security risk is loss or interception of the export file during transmission from the participant site to the research team. This risk is mitigated by:</w:t>
      </w:r>
    </w:p>
    <w:p>
      <w:pPr>
        <w:pStyle w:val="ListParagraph"/>
        <w:numPr>
          <w:ilvl w:val="0"/>
          <w:numId w:val="10"/>
        </w:numPr>
        <w:spacing w:after="100" w:line="276"/>
      </w:pPr>
      <w:r>
        <w:rPr>
          <w:rFonts w:ascii="Arial" w:cs="Arial" w:eastAsia="Arial" w:hAnsi="Arial"/>
          <w:color w:val="333333"/>
          <w:sz w:val="22"/>
          <w:szCs w:val="22"/>
        </w:rPr>
        <w:t xml:space="preserve">Using institutionally approved secure file transfer mechanisms with encryption in transit.</w:t>
      </w:r>
    </w:p>
    <w:p>
      <w:pPr>
        <w:pStyle w:val="ListParagraph"/>
        <w:numPr>
          <w:ilvl w:val="0"/>
          <w:numId w:val="11"/>
        </w:numPr>
        <w:spacing w:after="100" w:line="276"/>
      </w:pPr>
      <w:r>
        <w:rPr>
          <w:rFonts w:ascii="Arial" w:cs="Arial" w:eastAsia="Arial" w:hAnsi="Arial"/>
          <w:color w:val="333333"/>
          <w:sz w:val="22"/>
          <w:szCs w:val="22"/>
        </w:rPr>
        <w:t xml:space="preserve">Ensuring export files contain no direct identifiers.</w:t>
      </w:r>
    </w:p>
    <w:p>
      <w:pPr>
        <w:pStyle w:val="ListParagraph"/>
        <w:numPr>
          <w:ilvl w:val="0"/>
          <w:numId w:val="12"/>
        </w:numPr>
        <w:spacing w:after="100" w:line="276"/>
      </w:pPr>
      <w:r>
        <w:rPr>
          <w:rFonts w:ascii="Arial" w:cs="Arial" w:eastAsia="Arial" w:hAnsi="Arial"/>
          <w:color w:val="333333"/>
          <w:sz w:val="22"/>
          <w:szCs w:val="22"/>
        </w:rPr>
        <w:t xml:space="preserve">Maintaining the session-to-participant key file separately from the export data, in a secured location accessible only to authorized research personnel.</w:t>
      </w:r>
    </w:p>
    <w:p>
      <w:pPr>
        <w:spacing w:after="80"/>
      </w:pPr>
    </w:p>
    <w:p>
      <w:pPr>
        <w:pStyle w:val="Heading1"/>
      </w:pPr>
      <w:r>
        <w:t xml:space="preserve">8. Regulatory Classification</w:t>
      </w:r>
    </w:p>
    <w:p>
      <w:pPr>
        <w:spacing w:after="160" w:line="276"/>
      </w:pPr>
      <w:r>
        <w:rPr>
          <w:rFonts w:ascii="Arial" w:cs="Arial" w:eastAsia="Arial" w:hAnsi="Arial"/>
          <w:color w:val="333333"/>
          <w:sz w:val="22"/>
          <w:szCs w:val="22"/>
        </w:rPr>
        <w:t xml:space="preserve">The Platform is a research instrument, not a clinical device. It does not provide clinical decision support, does not generate diagnoses or treatment recommendations, and is not intended for use in clinical care. It presents pre-selected stimuli and records participant responses under controlled experimental conditions.</w:t>
      </w:r>
    </w:p>
    <w:p>
      <w:pPr>
        <w:spacing w:after="160" w:line="276"/>
      </w:pPr>
      <w:r>
        <w:rPr>
          <w:rFonts w:ascii="Arial" w:cs="Arial" w:eastAsia="Arial" w:hAnsi="Arial"/>
          <w:color w:val="333333"/>
          <w:sz w:val="22"/>
          <w:szCs w:val="22"/>
        </w:rPr>
        <w:t xml:space="preserve">Under FDA guidance, the Platform does not meet the definition of a Software as a Medical Device (SaMD) because it is not intended to be used for one or more medical purposes without being part of a hardware medical device. Its intended use is exclusively for behavioral research on human factors in AI-assisted clinical decision-making.</w:t>
      </w:r>
    </w:p>
    <w:p>
      <w:pPr>
        <w:spacing w:after="160" w:line="276"/>
      </w:pPr>
      <w:r>
        <w:rPr>
          <w:rFonts w:ascii="Arial" w:cs="Arial" w:eastAsia="Arial" w:hAnsi="Arial"/>
          <w:color w:val="333333"/>
          <w:sz w:val="22"/>
          <w:szCs w:val="22"/>
        </w:rPr>
        <w:t xml:space="preserve">Should the research program produce findings that support development of a clinical governance tool derived from this Platform, such a tool would require separate regulatory evaluation, including potential FDA pre-submission and 510(k) or De Novo classification review. That evaluation is outside the scope of the current research protocol.</w:t>
      </w:r>
    </w:p>
    <w:p>
      <w:pPr>
        <w:pStyle w:val="Heading1"/>
      </w:pPr>
      <w:r>
        <w:t xml:space="preserve">9. Platform Development and Investigator Qualifications</w:t>
      </w:r>
    </w:p>
    <w:p>
      <w:pPr>
        <w:spacing w:after="160" w:line="276"/>
      </w:pPr>
      <w:r>
        <w:rPr>
          <w:rFonts w:ascii="Arial" w:cs="Arial" w:eastAsia="Arial" w:hAnsi="Arial"/>
          <w:color w:val="333333"/>
          <w:sz w:val="22"/>
          <w:szCs w:val="22"/>
        </w:rPr>
        <w:t xml:space="preserve">The Platform was designed and developed by Joshua M. Henderson, PhD, a licensed clinical psychologist (New York, New Jersey) with PSYPACT authorization and two years of systematic experience integrating AI tools into clinical assessment workflows. Dr. Henderson’s background in psychological assessment methodology, forensic documentation standards, and clinical decision-making processes informed the Platform’s design, particularly the decision documentation architecture, deviation capture system, and the application of Spontaneous Trait Inference theory to legal defensibility.</w:t>
      </w:r>
    </w:p>
    <w:p>
      <w:pPr>
        <w:spacing w:after="160" w:line="276"/>
      </w:pPr>
      <w:r>
        <w:rPr>
          <w:rFonts w:ascii="Arial" w:cs="Arial" w:eastAsia="Arial" w:hAnsi="Arial"/>
          <w:color w:val="333333"/>
          <w:sz w:val="22"/>
          <w:szCs w:val="22"/>
        </w:rPr>
        <w:t xml:space="preserve">Dr. Henderson serves as Research Platform Architect for the proposed studies. Technical questions regarding the Platform’s architecture, data handling, or security properties should be directed to Dr. Henderson at [contact information].</w:t>
      </w:r>
    </w:p>
    <w:p>
      <w:pPr>
        <w:pStyle w:val="Heading1"/>
      </w:pPr>
      <w:r>
        <w:t xml:space="preserve">10.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February 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J.M. Henderson, PhD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Initial version for IRB submission</w:t>
            </w:r>
          </w:p>
        </w:tc>
      </w:tr>
    </w:tbl>
    <w:p>
      <w:pPr>
        <w:spacing w:after="80"/>
      </w:pPr>
    </w:p>
    <w:p>
      <w:pPr>
        <w:spacing w:after="80"/>
      </w:pPr>
    </w:p>
    <w:p>
      <w:pPr>
        <w:spacing w:after="160" w:line="276"/>
      </w:pPr>
      <w:r>
        <w:rPr>
          <w:rFonts w:ascii="Arial" w:cs="Arial" w:eastAsia="Arial" w:hAnsi="Arial"/>
          <w:color w:val="333333"/>
          <w:sz w:val="22"/>
          <w:szCs w:val="22"/>
        </w:rPr>
        <w:t xml:space="preserve">This document is a supplement to the full IRB protocol submission and should be read in conjunction with the study-specific protocol, informed consent documents, and data management plan.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2026 Evidify.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IRB Protocol Supplement — Technology Description — Evidify Research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4"/>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2A4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2026-02-04T21:41:34.009Z</dcterms:created>
  <dcterms:modified xsi:type="dcterms:W3CDTF">2026-02-04T21:41:34.010Z</dcterms:modified>
</cp:coreProperties>
</file>

<file path=docProps/custom.xml><?xml version="1.0" encoding="utf-8"?>
<Properties xmlns="http://schemas.openxmlformats.org/officeDocument/2006/custom-properties" xmlns:vt="http://schemas.openxmlformats.org/officeDocument/2006/docPropsVTypes"/>
</file>