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480"/>
        <w:jc w:val="center"/>
      </w:pPr>
      <w:r>
        <w:rPr>
          <w:rFonts w:ascii="Times New Roman" w:cs="Times New Roman" w:eastAsia="Times New Roman" w:hAnsi="Times New Roman"/>
          <w:b/>
          <w:bCs/>
          <w:sz w:val="24"/>
          <w:szCs w:val="24"/>
        </w:rPr>
        <w:t xml:space="preserve">Cryptographic Documentation of Autonomous Decision-Making</w:t>
      </w:r>
    </w:p>
    <w:p>
      <w:pPr>
        <w:spacing w:after="200" w:line="480"/>
        <w:jc w:val="center"/>
      </w:pPr>
      <w:r>
        <w:rPr>
          <w:rFonts w:ascii="Times New Roman" w:cs="Times New Roman" w:eastAsia="Times New Roman" w:hAnsi="Times New Roman"/>
          <w:b/>
          <w:bCs/>
          <w:sz w:val="24"/>
          <w:szCs w:val="24"/>
        </w:rPr>
        <w:t xml:space="preserve">in AI-Assisted Radiology: A Proof-of-Concept Implementation</w:t>
      </w:r>
    </w:p>
    <w:p>
      <w:pPr>
        <w:spacing w:after="100" w:line="480"/>
        <w:jc w:val="center"/>
      </w:pPr>
    </w:p>
    <w:p>
      <w:pPr>
        <w:spacing w:after="60" w:line="480"/>
        <w:jc w:val="center"/>
      </w:pPr>
      <w:r>
        <w:rPr>
          <w:rFonts w:ascii="Times New Roman" w:cs="Times New Roman" w:eastAsia="Times New Roman" w:hAnsi="Times New Roman"/>
          <w:sz w:val="24"/>
          <w:szCs w:val="24"/>
        </w:rPr>
        <w:t xml:space="preserve">Joshua M. Henderson, PhD</w:t>
      </w:r>
    </w:p>
    <w:p>
      <w:pPr>
        <w:spacing w:after="60" w:line="480"/>
        <w:jc w:val="center"/>
      </w:pPr>
      <w:r>
        <w:rPr>
          <w:rFonts w:ascii="Times New Roman" w:cs="Times New Roman" w:eastAsia="Times New Roman" w:hAnsi="Times New Roman"/>
          <w:i/>
          <w:iCs/>
          <w:sz w:val="22"/>
          <w:szCs w:val="22"/>
        </w:rPr>
        <w:t xml:space="preserve">Research Platform Architect, Evidify</w:t>
      </w:r>
    </w:p>
    <w:p>
      <w:pPr>
        <w:spacing w:after="200" w:line="480"/>
        <w:jc w:val="center"/>
      </w:pPr>
      <w:r>
        <w:rPr>
          <w:rFonts w:ascii="Times New Roman" w:cs="Times New Roman" w:eastAsia="Times New Roman" w:hAnsi="Times New Roman"/>
          <w:i/>
          <w:iCs/>
          <w:sz w:val="22"/>
          <w:szCs w:val="22"/>
        </w:rPr>
        <w:t xml:space="preserve">[Additional authors to be confirmed]</w:t>
      </w:r>
    </w:p>
    <w:p>
      <w:pPr>
        <w:spacing w:after="400" w:line="480"/>
        <w:jc w:val="center"/>
      </w:pPr>
      <w:r>
        <w:rPr>
          <w:rFonts w:ascii="Times New Roman" w:cs="Times New Roman" w:eastAsia="Times New Roman" w:hAnsi="Times New Roman"/>
          <w:sz w:val="22"/>
          <w:szCs w:val="22"/>
        </w:rPr>
        <w:t xml:space="preserve">Draft — February 2026</w:t>
      </w:r>
    </w:p>
    <w:p>
      <w:pPr>
        <w:pStyle w:val="Heading1"/>
        <w:spacing w:before="360" w:after="200" w:line="480"/>
      </w:pPr>
      <w:r>
        <w:rPr>
          <w:rFonts w:ascii="Times New Roman" w:cs="Times New Roman" w:eastAsia="Times New Roman" w:hAnsi="Times New Roman"/>
          <w:b/>
          <w:bCs/>
          <w:sz w:val="24"/>
          <w:szCs w:val="24"/>
        </w:rPr>
        <w:t xml:space="preserve">Abstract</w:t>
      </w:r>
    </w:p>
    <w:p>
      <w:pPr>
        <w:spacing w:after="200" w:line="480"/>
      </w:pPr>
      <w:r>
        <w:rPr>
          <w:rFonts w:ascii="Times New Roman" w:cs="Times New Roman" w:eastAsia="Times New Roman" w:hAnsi="Times New Roman"/>
          <w:sz w:val="24"/>
          <w:szCs w:val="24"/>
        </w:rPr>
        <w:t xml:space="preserve">AI-assisted diagnostic tools are entering radiology workflows faster than the legal and documentation infrastructure can accommodate them. When a radiologist uses AI assistance and a diagnostic error occurs, current documentation practices cannot distinguish between autonomous clinical judgment and uncritical acceptance of algorithmic recommendations. This distinction carries significant malpractice liability implications. We present Evidify, a local-first documentation platform that uses cryptographic hash chaining to create tamper-evident, temporally ordered records of AI-assisted reading sessions. The platform captures independent assessments before AI consultation, documents the AI exposure and reconciliation process, and produces export artifacts structured to prevent Spontaneous Trait Inference in legal proceedings. We describe the platform architecture, propose two complementary studies—a multi-reader multi-case (MRMC) reader study examining the effect of read order on diagnostic accuracy and decision autonomy, and a jury simulation study examining how documentation format modulates juror attribution—and discuss the construct validity requirements for the platform’s behavioral metrics.</w:t>
      </w:r>
    </w:p>
    <w:p>
      <w:pPr>
        <w:spacing w:after="200" w:line="48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AI-assisted radiology, malpractice liability, cryptographic documentation, automation bias, Spontaneous Trait Inference, decision autonomy, MRMC</w:t>
      </w:r>
    </w:p>
    <w:p>
      <w:pPr>
        <w:pStyle w:val="Heading1"/>
        <w:spacing w:before="360" w:after="200" w:line="480"/>
      </w:pPr>
      <w:r>
        <w:rPr>
          <w:rFonts w:ascii="Times New Roman" w:cs="Times New Roman" w:eastAsia="Times New Roman" w:hAnsi="Times New Roman"/>
          <w:b/>
          <w:bCs/>
          <w:sz w:val="24"/>
          <w:szCs w:val="24"/>
        </w:rPr>
        <w:t xml:space="preserve">1. Introduction</w:t>
      </w:r>
    </w:p>
    <w:p>
      <w:pPr>
        <w:spacing w:after="200" w:line="480"/>
      </w:pPr>
      <w:r>
        <w:rPr>
          <w:rFonts w:ascii="Times New Roman" w:cs="Times New Roman" w:eastAsia="Times New Roman" w:hAnsi="Times New Roman"/>
          <w:sz w:val="24"/>
          <w:szCs w:val="24"/>
        </w:rPr>
        <w:t xml:space="preserve">The integration of artificial intelligence into diagnostic radiology has introduced a new category of malpractice risk. When a radiologist reads alongside an AI system and a missed finding results in patient harm, the central legal question becomes: did the radiologist exercise independent clinical judgment, or did they defer to the algorithm? Current documentation systems—electronic health records, PACS timestamps, dictation logs—capture what decision was made and when, but not the cognitive process that produced it. This gap creates liability uncertainty for radiologists, health systems, and AI vendors alike.</w:t>
      </w:r>
    </w:p>
    <w:p>
      <w:pPr>
        <w:spacing w:after="200" w:line="480"/>
      </w:pPr>
      <w:r>
        <w:rPr>
          <w:rFonts w:ascii="Times New Roman" w:cs="Times New Roman" w:eastAsia="Times New Roman" w:hAnsi="Times New Roman"/>
          <w:sz w:val="24"/>
          <w:szCs w:val="24"/>
        </w:rPr>
        <w:t xml:space="preserve">Baird, Shepherd, Bruno, and Bernstein (in preparation) identify this gap and propose a documentation framework requiring that AI-assisted reads produce evidence of independent assessment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AI consultation. Their analysis establishes the legal and regulatory rationale; this paper presents the technical implementation and proposes a research program to validate it.</w:t>
      </w:r>
    </w:p>
    <w:p>
      <w:pPr>
        <w:pStyle w:val="Heading2"/>
        <w:spacing w:before="360" w:after="200" w:line="480"/>
      </w:pPr>
      <w:r>
        <w:rPr>
          <w:rFonts w:ascii="Times New Roman" w:cs="Times New Roman" w:eastAsia="Times New Roman" w:hAnsi="Times New Roman"/>
          <w:b/>
          <w:bCs/>
          <w:sz w:val="24"/>
          <w:szCs w:val="24"/>
        </w:rPr>
        <w:t xml:space="preserve">1.1 The Malpractice Documentation Gap</w:t>
      </w:r>
    </w:p>
    <w:p>
      <w:pPr>
        <w:spacing w:after="200" w:line="480"/>
      </w:pPr>
      <w:r>
        <w:rPr>
          <w:rFonts w:ascii="Times New Roman" w:cs="Times New Roman" w:eastAsia="Times New Roman" w:hAnsi="Times New Roman"/>
          <w:sz w:val="24"/>
          <w:szCs w:val="24"/>
        </w:rPr>
        <w:t xml:space="preserve">In traditional radiology, the radiologist’s report is the primary documentation of clinical reasoning. When AI enters the workflow, additional questions arise: Did the radiologist see the AI result before or after forming their own impression? If they changed their assessment, was it based on independent re-evaluation or passive acceptance? If they disagreed with the AI, did they document why? Current systems cannot answer these questions because they do not capture the temporal sequence of decision-making events relative to AI exposure.</w:t>
      </w:r>
    </w:p>
    <w:p>
      <w:pPr>
        <w:spacing w:after="200" w:line="480"/>
      </w:pPr>
      <w:r>
        <w:rPr>
          <w:rFonts w:ascii="Times New Roman" w:cs="Times New Roman" w:eastAsia="Times New Roman" w:hAnsi="Times New Roman"/>
          <w:sz w:val="24"/>
          <w:szCs w:val="24"/>
        </w:rPr>
        <w:t xml:space="preserve">Bernstein et al. (2025, </w:t>
      </w:r>
      <w:r>
        <w:rPr>
          <w:rFonts w:ascii="Times New Roman" w:cs="Times New Roman" w:eastAsia="Times New Roman" w:hAnsi="Times New Roman"/>
          <w:i/>
          <w:iCs/>
          <w:sz w:val="24"/>
          <w:szCs w:val="24"/>
        </w:rPr>
        <w:t xml:space="preserve">Nature Health</w:t>
      </w:r>
      <w:r>
        <w:rPr>
          <w:rFonts w:ascii="Times New Roman" w:cs="Times New Roman" w:eastAsia="Times New Roman" w:hAnsi="Times New Roman"/>
          <w:sz w:val="24"/>
          <w:szCs w:val="24"/>
        </w:rPr>
        <w:t xml:space="preserve">) demonstrate that AI assistance can reduce diagnostic accuracy when radiologists defer to incorrect AI recommendations—a finding that underscores the importance of documenting whether the clinician maintained autonomous judgment.</w:t>
      </w:r>
    </w:p>
    <w:p>
      <w:pPr>
        <w:pStyle w:val="Heading2"/>
        <w:spacing w:before="360" w:after="200" w:line="480"/>
      </w:pPr>
      <w:r>
        <w:rPr>
          <w:rFonts w:ascii="Times New Roman" w:cs="Times New Roman" w:eastAsia="Times New Roman" w:hAnsi="Times New Roman"/>
          <w:b/>
          <w:bCs/>
          <w:sz w:val="24"/>
          <w:szCs w:val="24"/>
        </w:rPr>
        <w:t xml:space="preserve">1.2 The “iff” Condition</w:t>
      </w:r>
    </w:p>
    <w:p>
      <w:pPr>
        <w:spacing w:after="200" w:line="480"/>
      </w:pPr>
      <w:r>
        <w:rPr>
          <w:rFonts w:ascii="Times New Roman" w:cs="Times New Roman" w:eastAsia="Times New Roman" w:hAnsi="Times New Roman"/>
          <w:sz w:val="24"/>
          <w:szCs w:val="24"/>
        </w:rPr>
        <w:t xml:space="preserve">Baird (personal communication, January 2026) articulates the central constraint: the documentation of a human-first read protects the radiologist </w:t>
      </w:r>
      <w:r>
        <w:rPr>
          <w:rFonts w:ascii="Times New Roman" w:cs="Times New Roman" w:eastAsia="Times New Roman" w:hAnsi="Times New Roman"/>
          <w:i/>
          <w:iCs/>
          <w:sz w:val="24"/>
          <w:szCs w:val="24"/>
        </w:rPr>
        <w:t xml:space="preserve">if and only if</w:t>
      </w:r>
      <w:r>
        <w:rPr>
          <w:rFonts w:ascii="Times New Roman" w:cs="Times New Roman" w:eastAsia="Times New Roman" w:hAnsi="Times New Roman"/>
          <w:sz w:val="24"/>
          <w:szCs w:val="24"/>
        </w:rPr>
        <w:t xml:space="preserve"> the jury has faith in the sequence of events. Stimulus control by architecture—preventing access to AI results before the independent assessment is locked, and preventing retroactive amendment after AI exposure—is necessary but not sufficient. The documentation must also be verifiable: the sequence must be cryptographically tamper-evident so that its integrity can be demonstrated under cross-examination.</w:t>
      </w:r>
    </w:p>
    <w:p>
      <w:pPr>
        <w:pStyle w:val="Heading1"/>
        <w:spacing w:before="360" w:after="200" w:line="480"/>
      </w:pPr>
      <w:r>
        <w:rPr>
          <w:rFonts w:ascii="Times New Roman" w:cs="Times New Roman" w:eastAsia="Times New Roman" w:hAnsi="Times New Roman"/>
          <w:b/>
          <w:bCs/>
          <w:sz w:val="24"/>
          <w:szCs w:val="24"/>
        </w:rPr>
        <w:t xml:space="preserve">2. Background</w:t>
      </w:r>
    </w:p>
    <w:p>
      <w:pPr>
        <w:pStyle w:val="Heading2"/>
        <w:spacing w:before="360" w:after="200" w:line="480"/>
      </w:pPr>
      <w:r>
        <w:rPr>
          <w:rFonts w:ascii="Times New Roman" w:cs="Times New Roman" w:eastAsia="Times New Roman" w:hAnsi="Times New Roman"/>
          <w:b/>
          <w:bCs/>
          <w:sz w:val="24"/>
          <w:szCs w:val="24"/>
        </w:rPr>
        <w:t xml:space="preserve">2.1 AI Liability in Radiology</w:t>
      </w:r>
    </w:p>
    <w:p>
      <w:pPr>
        <w:spacing w:after="200" w:line="480"/>
      </w:pPr>
      <w:r>
        <w:rPr>
          <w:rFonts w:ascii="Times New Roman" w:cs="Times New Roman" w:eastAsia="Times New Roman" w:hAnsi="Times New Roman"/>
          <w:sz w:val="24"/>
          <w:szCs w:val="24"/>
        </w:rPr>
        <w:t xml:space="preserve">The liability landscape for AI-assisted radiology remains unsettled. When an AI flags a finding that the radiologist dismisses, the radiologist may face heightened scrutiny: the AI “saw” what the radiologist missed. Conversely, when a radiologist follows an incorrect AI recommendation, the question of who bears responsibility—the clinician, the vendor, or the institution—depends in part on whether the clinician exercised independent judgment. Without documentation of the decision process, this determination relies on self-serving testimony on both sides.</w:t>
      </w:r>
    </w:p>
    <w:p>
      <w:pPr>
        <w:pStyle w:val="Heading2"/>
        <w:spacing w:before="360" w:after="200" w:line="480"/>
      </w:pPr>
      <w:r>
        <w:rPr>
          <w:rFonts w:ascii="Times New Roman" w:cs="Times New Roman" w:eastAsia="Times New Roman" w:hAnsi="Times New Roman"/>
          <w:b/>
          <w:bCs/>
          <w:sz w:val="24"/>
          <w:szCs w:val="24"/>
        </w:rPr>
        <w:t xml:space="preserve">2.2 Automation Bias and Decision Delegation</w:t>
      </w:r>
    </w:p>
    <w:p>
      <w:pPr>
        <w:spacing w:after="200" w:line="480"/>
      </w:pPr>
      <w:r>
        <w:rPr>
          <w:rFonts w:ascii="Times New Roman" w:cs="Times New Roman" w:eastAsia="Times New Roman" w:hAnsi="Times New Roman"/>
          <w:sz w:val="24"/>
          <w:szCs w:val="24"/>
        </w:rPr>
        <w:t xml:space="preserve">Automation bias—the tendency to favor suggestions from automated systems over independent analysis—is well-documented in aviation, manufacturing, and medicine. In radiology, automation bias manifests as both commission errors (accepting false-positive AI findings) and omission errors (missing findings not flagged by AI). The behavioral indicators of automation bias include shortened independent assessment time, high rates of assessment change following AI exposure, and failure to engage with AI performance disclosures.</w:t>
      </w:r>
    </w:p>
    <w:p>
      <w:pPr>
        <w:pStyle w:val="Heading2"/>
        <w:spacing w:before="360" w:after="200" w:line="480"/>
      </w:pPr>
      <w:r>
        <w:rPr>
          <w:rFonts w:ascii="Times New Roman" w:cs="Times New Roman" w:eastAsia="Times New Roman" w:hAnsi="Times New Roman"/>
          <w:b/>
          <w:bCs/>
          <w:sz w:val="24"/>
          <w:szCs w:val="24"/>
        </w:rPr>
        <w:t xml:space="preserve">2.3 Spontaneous Trait Inference and Legal Attribution</w:t>
      </w:r>
    </w:p>
    <w:p>
      <w:pPr>
        <w:spacing w:after="200" w:line="480"/>
      </w:pPr>
      <w:r>
        <w:rPr>
          <w:rFonts w:ascii="Times New Roman" w:cs="Times New Roman" w:eastAsia="Times New Roman" w:hAnsi="Times New Roman"/>
          <w:sz w:val="24"/>
          <w:szCs w:val="24"/>
        </w:rPr>
        <w:t xml:space="preserve">Spontaneous Trait Inference (STI; Uleman et al., 1996; Winter &amp; Uleman, 1984) describes the automatic, unintentional process by which observers infer dispositional traits from behavioral descriptions. When a juror sees that a radiologist spent 90 seconds on a case where the AI recommendation was available, the juror may spontaneously infer “rushedness” or “carelessness”—even if 90 seconds is above the cohort median for that case type.</w:t>
      </w:r>
    </w:p>
    <w:p>
      <w:pPr>
        <w:spacing w:after="200" w:line="480"/>
      </w:pPr>
      <w:r>
        <w:rPr>
          <w:rFonts w:ascii="Times New Roman" w:cs="Times New Roman" w:eastAsia="Times New Roman" w:hAnsi="Times New Roman"/>
          <w:sz w:val="24"/>
          <w:szCs w:val="24"/>
        </w:rPr>
        <w:t xml:space="preserve">This inferential process is triggered by decontextualized behavioral data: isolated timestamps, raw timing numbers, and event logs without normative framing. The Pennington and Hastie (1992) Story Model of jury decision-making suggests that jurors construct causal narratives from available evidence; bare timestamps invite gap-filling with negative attributions. We propose that documentation format itself is an intervention: structured narrative documentation that contextualizes timing data within practice norms can prevent the STI cascade that raw logs invite.</w:t>
      </w:r>
    </w:p>
    <w:p>
      <w:pPr>
        <w:pStyle w:val="Heading1"/>
        <w:spacing w:before="360" w:after="200" w:line="480"/>
      </w:pPr>
      <w:r>
        <w:rPr>
          <w:rFonts w:ascii="Times New Roman" w:cs="Times New Roman" w:eastAsia="Times New Roman" w:hAnsi="Times New Roman"/>
          <w:b/>
          <w:bCs/>
          <w:sz w:val="24"/>
          <w:szCs w:val="24"/>
        </w:rPr>
        <w:t xml:space="preserve">3. Platform Architecture: Evidify</w:t>
      </w:r>
    </w:p>
    <w:p>
      <w:pPr>
        <w:spacing w:after="200" w:line="480"/>
      </w:pPr>
      <w:r>
        <w:rPr>
          <w:rFonts w:ascii="Times New Roman" w:cs="Times New Roman" w:eastAsia="Times New Roman" w:hAnsi="Times New Roman"/>
          <w:sz w:val="24"/>
          <w:szCs w:val="24"/>
        </w:rPr>
        <w:t xml:space="preserve">Evidify is a local-first documentation platform that captures, chains, and exports the decision sequence of AI-assisted clinical reads. The platform is implemented as a browser-based application; all computation occurs on the local device, and no protected health information is transmitted to external servers.</w:t>
      </w:r>
    </w:p>
    <w:p>
      <w:pPr>
        <w:pStyle w:val="Heading2"/>
        <w:spacing w:before="360" w:after="200" w:line="480"/>
      </w:pPr>
      <w:r>
        <w:rPr>
          <w:rFonts w:ascii="Times New Roman" w:cs="Times New Roman" w:eastAsia="Times New Roman" w:hAnsi="Times New Roman"/>
          <w:b/>
          <w:bCs/>
          <w:sz w:val="24"/>
          <w:szCs w:val="24"/>
        </w:rPr>
        <w:t xml:space="preserve">3.1 Event Capture and Hash Chain</w:t>
      </w:r>
    </w:p>
    <w:p>
      <w:pPr>
        <w:spacing w:after="200" w:line="480"/>
      </w:pPr>
      <w:r>
        <w:rPr>
          <w:rFonts w:ascii="Times New Roman" w:cs="Times New Roman" w:eastAsia="Times New Roman" w:hAnsi="Times New Roman"/>
          <w:sz w:val="24"/>
          <w:szCs w:val="24"/>
        </w:rPr>
        <w:t xml:space="preserve">Every clinically significant event in a reading session is captured as a structured record: case opened, first impression locked, AI result revealed, AI disclosure reviewed, assessment reconciled, deviation documented. Each event is appended to a cryptographic hash chain using SHA-256. Each entry’s hash incorporates the previous entry’s hash, creating a tamper-evident sequence: any insertion, deletion, or reordering of events breaks the chain and is detectable by an independent verifier.</w:t>
      </w:r>
    </w:p>
    <w:p>
      <w:pPr>
        <w:pStyle w:val="Heading2"/>
        <w:spacing w:before="360" w:after="200" w:line="480"/>
      </w:pPr>
      <w:r>
        <w:rPr>
          <w:rFonts w:ascii="Times New Roman" w:cs="Times New Roman" w:eastAsia="Times New Roman" w:hAnsi="Times New Roman"/>
          <w:b/>
          <w:bCs/>
          <w:sz w:val="24"/>
          <w:szCs w:val="24"/>
        </w:rPr>
        <w:t xml:space="preserve">3.2 Stimulus Control by Architecture</w:t>
      </w:r>
    </w:p>
    <w:p>
      <w:pPr>
        <w:spacing w:after="200" w:line="480"/>
      </w:pPr>
      <w:r>
        <w:rPr>
          <w:rFonts w:ascii="Times New Roman" w:cs="Times New Roman" w:eastAsia="Times New Roman" w:hAnsi="Times New Roman"/>
          <w:sz w:val="24"/>
          <w:szCs w:val="24"/>
        </w:rPr>
        <w:t xml:space="preserve">The platform enforces a HUMAN_FIRST reading protocol: the clinician views the case and commits a BI-RADS assessment before the AI result is available. Once the first impression is locked, the AI recommendation is revealed along with performance disclosure data (false discovery rate, false omission rate). The clinician then reconciles their assessment with the AI’s recommendation. If they change their assessment, the change is documented. If they disagree with the AI, a deviation rationale is required. This sequence is enforced by the interface: there is no self-report step, no honor system, and no pathway to view AI results before locking the independent assessment.</w:t>
      </w:r>
    </w:p>
    <w:p>
      <w:pPr>
        <w:pStyle w:val="Heading2"/>
        <w:spacing w:before="360" w:after="200" w:line="480"/>
      </w:pPr>
      <w:r>
        <w:rPr>
          <w:rFonts w:ascii="Times New Roman" w:cs="Times New Roman" w:eastAsia="Times New Roman" w:hAnsi="Times New Roman"/>
          <w:b/>
          <w:bCs/>
          <w:sz w:val="24"/>
          <w:szCs w:val="24"/>
        </w:rPr>
        <w:t xml:space="preserve">3.3 Export Artifacts</w:t>
      </w:r>
    </w:p>
    <w:p>
      <w:pPr>
        <w:spacing w:after="200" w:line="480"/>
      </w:pPr>
      <w:r>
        <w:rPr>
          <w:rFonts w:ascii="Times New Roman" w:cs="Times New Roman" w:eastAsia="Times New Roman" w:hAnsi="Times New Roman"/>
          <w:sz w:val="24"/>
          <w:szCs w:val="24"/>
        </w:rPr>
        <w:t xml:space="preserve">The platform produces three export views from the same underlying event record. The Legal Defense view contextualizes timing and behavioral data within cohort norms and provides narrative framing designed to prevent STI. The Clinical QA view presents aggregate session metrics for quality review. The Research view provides the complete event stream and derived metrics for analysis. A framing transparency disclaimer in the Legal Defense view states that it is a contextualized presentation of the same underlying record available in the Research view.</w:t>
      </w:r>
    </w:p>
    <w:p>
      <w:pPr>
        <w:pStyle w:val="Heading1"/>
        <w:spacing w:before="360" w:after="200" w:line="480"/>
      </w:pPr>
      <w:r>
        <w:rPr>
          <w:rFonts w:ascii="Times New Roman" w:cs="Times New Roman" w:eastAsia="Times New Roman" w:hAnsi="Times New Roman"/>
          <w:b/>
          <w:bCs/>
          <w:sz w:val="24"/>
          <w:szCs w:val="24"/>
        </w:rPr>
        <w:t xml:space="preserve">4. Proposed Studies</w:t>
      </w:r>
    </w:p>
    <w:p>
      <w:pPr>
        <w:pStyle w:val="Heading2"/>
        <w:spacing w:before="360" w:after="200" w:line="480"/>
      </w:pPr>
      <w:r>
        <w:rPr>
          <w:rFonts w:ascii="Times New Roman" w:cs="Times New Roman" w:eastAsia="Times New Roman" w:hAnsi="Times New Roman"/>
          <w:b/>
          <w:bCs/>
          <w:sz w:val="24"/>
          <w:szCs w:val="24"/>
        </w:rPr>
        <w:t xml:space="preserve">4.1 Study 1: MRMC Reader Study</w:t>
      </w:r>
    </w:p>
    <w:p>
      <w:pPr>
        <w:spacing w:after="200" w:line="480"/>
      </w:pPr>
      <w:r>
        <w:rPr>
          <w:rFonts w:ascii="Times New Roman" w:cs="Times New Roman" w:eastAsia="Times New Roman" w:hAnsi="Times New Roman"/>
          <w:b/>
          <w:bCs/>
          <w:sz w:val="24"/>
          <w:szCs w:val="24"/>
        </w:rPr>
        <w:t xml:space="preserve">Design: </w:t>
      </w:r>
      <w:r>
        <w:rPr>
          <w:rFonts w:ascii="Times New Roman" w:cs="Times New Roman" w:eastAsia="Times New Roman" w:hAnsi="Times New Roman"/>
          <w:sz w:val="24"/>
          <w:szCs w:val="24"/>
        </w:rPr>
        <w:t xml:space="preserve">Multi-reader multi-case (MRMC) study using the Obuchowski–Rockette method. Radiologists read mammography cases under two counterbalanced conditions: HUMAN_FIRST (independent assessment locked before AI reveal) and AI_FIRST (AI result displayed simultaneously with case presentation).</w:t>
      </w:r>
    </w:p>
    <w:p>
      <w:pPr>
        <w:spacing w:after="200" w:line="480"/>
      </w:pPr>
      <w:r>
        <w:rPr>
          <w:rFonts w:ascii="Times New Roman" w:cs="Times New Roman" w:eastAsia="Times New Roman" w:hAnsi="Times New Roman"/>
          <w:b/>
          <w:bCs/>
          <w:sz w:val="24"/>
          <w:szCs w:val="24"/>
        </w:rPr>
        <w:t xml:space="preserve">Primary outcome: </w:t>
      </w:r>
      <w:r>
        <w:rPr>
          <w:rFonts w:ascii="Times New Roman" w:cs="Times New Roman" w:eastAsia="Times New Roman" w:hAnsi="Times New Roman"/>
          <w:sz w:val="24"/>
          <w:szCs w:val="24"/>
        </w:rPr>
        <w:t xml:space="preserve">Diagnostic accuracy (BI-RADS assessment vs. biopsy-confirmed reference standard).</w:t>
      </w:r>
    </w:p>
    <w:p>
      <w:pPr>
        <w:spacing w:after="200" w:line="480"/>
      </w:pPr>
      <w:r>
        <w:rPr>
          <w:rFonts w:ascii="Times New Roman" w:cs="Times New Roman" w:eastAsia="Times New Roman" w:hAnsi="Times New Roman"/>
          <w:b/>
          <w:bCs/>
          <w:sz w:val="24"/>
          <w:szCs w:val="24"/>
        </w:rPr>
        <w:t xml:space="preserve">Secondary outcomes: </w:t>
      </w:r>
      <w:r>
        <w:rPr>
          <w:rFonts w:ascii="Times New Roman" w:cs="Times New Roman" w:eastAsia="Times New Roman" w:hAnsi="Times New Roman"/>
          <w:sz w:val="24"/>
          <w:szCs w:val="24"/>
        </w:rPr>
        <w:t xml:space="preserve">ADDA (Automation Decision-Delegation Assessment) rate by condition, pre-AI assessment duration, assessment change patterns, deviation documentation completeness, trust calibration (Jian et al. scale), self-reported workload (NASA-TLX).</w:t>
      </w:r>
    </w:p>
    <w:p>
      <w:pPr>
        <w:spacing w:after="200" w:line="480"/>
      </w:pPr>
      <w:r>
        <w:rPr>
          <w:rFonts w:ascii="Times New Roman" w:cs="Times New Roman" w:eastAsia="Times New Roman" w:hAnsi="Times New Roman"/>
          <w:b/>
          <w:bCs/>
          <w:sz w:val="24"/>
          <w:szCs w:val="24"/>
        </w:rPr>
        <w:t xml:space="preserve">Sample: </w:t>
      </w:r>
      <w:r>
        <w:rPr>
          <w:rFonts w:ascii="Times New Roman" w:cs="Times New Roman" w:eastAsia="Times New Roman" w:hAnsi="Times New Roman"/>
          <w:sz w:val="24"/>
          <w:szCs w:val="24"/>
        </w:rPr>
        <w:t xml:space="preserve">Target 20–30 board-certified radiologists reading 60–100 mammography cases each. Power analysis to be determined in consultation with study biostatistician.</w:t>
      </w:r>
    </w:p>
    <w:p>
      <w:pPr>
        <w:pStyle w:val="Heading2"/>
        <w:spacing w:before="360" w:after="200" w:line="480"/>
      </w:pPr>
      <w:r>
        <w:rPr>
          <w:rFonts w:ascii="Times New Roman" w:cs="Times New Roman" w:eastAsia="Times New Roman" w:hAnsi="Times New Roman"/>
          <w:b/>
          <w:bCs/>
          <w:sz w:val="24"/>
          <w:szCs w:val="24"/>
        </w:rPr>
        <w:t xml:space="preserve">4.2 Study 2: Jury Attribution Simulation</w:t>
      </w:r>
    </w:p>
    <w:p>
      <w:pPr>
        <w:spacing w:after="200" w:line="480"/>
      </w:pPr>
      <w:r>
        <w:rPr>
          <w:rFonts w:ascii="Times New Roman" w:cs="Times New Roman" w:eastAsia="Times New Roman" w:hAnsi="Times New Roman"/>
          <w:b/>
          <w:bCs/>
          <w:sz w:val="24"/>
          <w:szCs w:val="24"/>
        </w:rPr>
        <w:t xml:space="preserve">Design: </w:t>
      </w:r>
      <w:r>
        <w:rPr>
          <w:rFonts w:ascii="Times New Roman" w:cs="Times New Roman" w:eastAsia="Times New Roman" w:hAnsi="Times New Roman"/>
          <w:sz w:val="24"/>
          <w:szCs w:val="24"/>
        </w:rPr>
        <w:t xml:space="preserve">Between-subjects vignette study using Prolific participants as mock jurors. Participants receive identical case documentation describing an AI-assisted mammography read with a missed finding. The independent variable is documentation format: (a) raw event log with isolated timestamps, (b) contextualized narrative with cohort percentiles and workflow norms, (c) no timing information (control).</w:t>
      </w:r>
    </w:p>
    <w:p>
      <w:pPr>
        <w:spacing w:after="200" w:line="480"/>
      </w:pPr>
      <w:r>
        <w:rPr>
          <w:rFonts w:ascii="Times New Roman" w:cs="Times New Roman" w:eastAsia="Times New Roman" w:hAnsi="Times New Roman"/>
          <w:b/>
          <w:bCs/>
          <w:sz w:val="24"/>
          <w:szCs w:val="24"/>
        </w:rPr>
        <w:t xml:space="preserve">Primary outcome: </w:t>
      </w:r>
      <w:r>
        <w:rPr>
          <w:rFonts w:ascii="Times New Roman" w:cs="Times New Roman" w:eastAsia="Times New Roman" w:hAnsi="Times New Roman"/>
          <w:sz w:val="24"/>
          <w:szCs w:val="24"/>
        </w:rPr>
        <w:t xml:space="preserve">Spontaneous Trait Inference ratings: participants rate the radiologist on trait dimensions (competence, diligence, carelessness) immediately after reading the documentation.</w:t>
      </w:r>
    </w:p>
    <w:p>
      <w:pPr>
        <w:spacing w:after="200" w:line="480"/>
      </w:pPr>
      <w:r>
        <w:rPr>
          <w:rFonts w:ascii="Times New Roman" w:cs="Times New Roman" w:eastAsia="Times New Roman" w:hAnsi="Times New Roman"/>
          <w:b/>
          <w:bCs/>
          <w:sz w:val="24"/>
          <w:szCs w:val="24"/>
        </w:rPr>
        <w:t xml:space="preserve">Secondary outcomes: </w:t>
      </w:r>
      <w:r>
        <w:rPr>
          <w:rFonts w:ascii="Times New Roman" w:cs="Times New Roman" w:eastAsia="Times New Roman" w:hAnsi="Times New Roman"/>
          <w:sz w:val="24"/>
          <w:szCs w:val="24"/>
        </w:rPr>
        <w:t xml:space="preserve">Perceived negligence, willingness to assign liability, causal attribution (dispositional vs. situational).</w:t>
      </w:r>
    </w:p>
    <w:p>
      <w:pPr>
        <w:spacing w:after="200" w:line="480"/>
      </w:pPr>
      <w:r>
        <w:rPr>
          <w:rFonts w:ascii="Times New Roman" w:cs="Times New Roman" w:eastAsia="Times New Roman" w:hAnsi="Times New Roman"/>
          <w:b/>
          <w:bCs/>
          <w:sz w:val="24"/>
          <w:szCs w:val="24"/>
        </w:rPr>
        <w:t xml:space="preserve">Prediction: </w:t>
      </w:r>
      <w:r>
        <w:rPr>
          <w:rFonts w:ascii="Times New Roman" w:cs="Times New Roman" w:eastAsia="Times New Roman" w:hAnsi="Times New Roman"/>
          <w:sz w:val="24"/>
          <w:szCs w:val="24"/>
        </w:rPr>
        <w:t xml:space="preserve">Condition (a) will produce significantly higher carelessness and negligence ratings than conditions (b) and (c), consistent with STI theory. Condition (b) will produce ratings comparable to condition (c), demonstrating that contextualized documentation neutralizes the negative attribution triggered by raw timing data.</w:t>
      </w:r>
    </w:p>
    <w:p>
      <w:pPr>
        <w:pStyle w:val="Heading1"/>
        <w:spacing w:before="360" w:after="200" w:line="480"/>
      </w:pPr>
      <w:r>
        <w:rPr>
          <w:rFonts w:ascii="Times New Roman" w:cs="Times New Roman" w:eastAsia="Times New Roman" w:hAnsi="Times New Roman"/>
          <w:b/>
          <w:bCs/>
          <w:sz w:val="24"/>
          <w:szCs w:val="24"/>
        </w:rPr>
        <w:t xml:space="preserve">5. Discussion</w:t>
      </w:r>
    </w:p>
    <w:p>
      <w:pPr>
        <w:spacing w:after="200" w:line="480"/>
      </w:pPr>
      <w:r>
        <w:rPr>
          <w:rFonts w:ascii="Times New Roman" w:cs="Times New Roman" w:eastAsia="Times New Roman" w:hAnsi="Times New Roman"/>
          <w:sz w:val="24"/>
          <w:szCs w:val="24"/>
        </w:rPr>
        <w:t xml:space="preserve">This paper presents a proof-of-concept implementation, not a validated system. The cryptographic hash chain provides tamper evidence for event sequencing, but the chain runs client-side and currently lacks external timestamping authority (TSA) integration. The behavioral metrics (ADDA, timing ratios, deviation rates) are face-valid but empirically unvalidated; construct validation is the primary objective of the proposed MRMC study. The STI prevention thesis is theoretically grounded but requires experimental evidence from the jury simulation study.</w:t>
      </w:r>
    </w:p>
    <w:p>
      <w:pPr>
        <w:spacing w:after="200" w:line="480"/>
      </w:pPr>
      <w:r>
        <w:rPr>
          <w:rFonts w:ascii="Times New Roman" w:cs="Times New Roman" w:eastAsia="Times New Roman" w:hAnsi="Times New Roman"/>
          <w:sz w:val="24"/>
          <w:szCs w:val="24"/>
        </w:rPr>
        <w:t xml:space="preserve">The platform is research instrumentation. It documents clinical workflow; it does not intervene in, evaluate, or gate clinical decisions. This distinction is critical for both regulatory classification (non-device CDS under 21st Century Cures Act criteria) and for the ethical principle that the system should not create new liability exposure by generating evaluative flags that could be weaponized in litigation.</w:t>
      </w:r>
    </w:p>
    <w:p>
      <w:pPr>
        <w:spacing w:after="200" w:line="480"/>
      </w:pPr>
      <w:r>
        <w:rPr>
          <w:rFonts w:ascii="Times New Roman" w:cs="Times New Roman" w:eastAsia="Times New Roman" w:hAnsi="Times New Roman"/>
          <w:sz w:val="24"/>
          <w:szCs w:val="24"/>
        </w:rPr>
        <w:t xml:space="preserve">We invite collaboration from radiology, evidence law, quantitative psychology, clinical informatics, and cryptography to stress-test the technical architecture, validate the measurement model, and explore the legal admissibility of cryptographically verified documentation.</w:t>
      </w:r>
    </w:p>
    <w:p>
      <w:pPr>
        <w:pStyle w:val="Heading1"/>
        <w:spacing w:before="360" w:after="200" w:line="480"/>
      </w:pPr>
      <w:r>
        <w:rPr>
          <w:rFonts w:ascii="Times New Roman" w:cs="Times New Roman" w:eastAsia="Times New Roman" w:hAnsi="Times New Roman"/>
          <w:b/>
          <w:bCs/>
          <w:sz w:val="24"/>
          <w:szCs w:val="24"/>
        </w:rPr>
        <w:t xml:space="preserve">6. Limitations</w:t>
      </w:r>
    </w:p>
    <w:p>
      <w:pPr>
        <w:pStyle w:val="ListParagraph"/>
        <w:numPr>
          <w:ilvl w:val="0"/>
          <w:numId w:val="2"/>
        </w:numPr>
        <w:spacing w:after="120" w:line="480"/>
      </w:pPr>
      <w:r>
        <w:rPr>
          <w:rFonts w:ascii="Times New Roman" w:cs="Times New Roman" w:eastAsia="Times New Roman" w:hAnsi="Times New Roman"/>
          <w:sz w:val="24"/>
          <w:szCs w:val="24"/>
        </w:rPr>
        <w:t xml:space="preserve">Hash chain is computed client-side; external TSA integration is in progress but not yet implemented</w:t>
      </w:r>
    </w:p>
    <w:p>
      <w:pPr>
        <w:pStyle w:val="ListParagraph"/>
        <w:numPr>
          <w:ilvl w:val="0"/>
          <w:numId w:val="2"/>
        </w:numPr>
        <w:spacing w:after="120" w:line="480"/>
      </w:pPr>
      <w:r>
        <w:rPr>
          <w:rFonts w:ascii="Times New Roman" w:cs="Times New Roman" w:eastAsia="Times New Roman" w:hAnsi="Times New Roman"/>
          <w:sz w:val="24"/>
          <w:szCs w:val="24"/>
        </w:rPr>
        <w:t xml:space="preserve">ADDA thresholds are hypothesized, not empirically derived; validation requires Study 1 data</w:t>
      </w:r>
    </w:p>
    <w:p>
      <w:pPr>
        <w:pStyle w:val="ListParagraph"/>
        <w:numPr>
          <w:ilvl w:val="0"/>
          <w:numId w:val="2"/>
        </w:numPr>
        <w:spacing w:after="120" w:line="480"/>
      </w:pPr>
      <w:r>
        <w:rPr>
          <w:rFonts w:ascii="Times New Roman" w:cs="Times New Roman" w:eastAsia="Times New Roman" w:hAnsi="Times New Roman"/>
          <w:sz w:val="24"/>
          <w:szCs w:val="24"/>
        </w:rPr>
        <w:t xml:space="preserve">The jury simulation uses mock jurors, not actual trial conditions; ecological validity is limited</w:t>
      </w:r>
    </w:p>
    <w:p>
      <w:pPr>
        <w:pStyle w:val="ListParagraph"/>
        <w:numPr>
          <w:ilvl w:val="0"/>
          <w:numId w:val="2"/>
        </w:numPr>
        <w:spacing w:after="120" w:line="480"/>
      </w:pPr>
      <w:r>
        <w:rPr>
          <w:rFonts w:ascii="Times New Roman" w:cs="Times New Roman" w:eastAsia="Times New Roman" w:hAnsi="Times New Roman"/>
          <w:sz w:val="24"/>
          <w:szCs w:val="24"/>
        </w:rPr>
        <w:t xml:space="preserve">Observer Mode (passive clinical deployment) is specified but not yet built; current platform requires reading within the Evidify interface</w:t>
      </w:r>
    </w:p>
    <w:p>
      <w:pPr>
        <w:pStyle w:val="ListParagraph"/>
        <w:numPr>
          <w:ilvl w:val="0"/>
          <w:numId w:val="2"/>
        </w:numPr>
        <w:spacing w:after="120" w:line="480"/>
      </w:pPr>
      <w:r>
        <w:rPr>
          <w:rFonts w:ascii="Times New Roman" w:cs="Times New Roman" w:eastAsia="Times New Roman" w:hAnsi="Times New Roman"/>
          <w:sz w:val="24"/>
          <w:szCs w:val="24"/>
        </w:rPr>
        <w:t xml:space="preserve">No legal review of FRE 902(13)/(14) claims has been conducted; courts determine admissibility</w:t>
      </w:r>
    </w:p>
    <w:p>
      <w:pPr>
        <w:pStyle w:val="ListParagraph"/>
        <w:numPr>
          <w:ilvl w:val="0"/>
          <w:numId w:val="2"/>
        </w:numPr>
        <w:spacing w:after="120" w:line="480"/>
      </w:pPr>
      <w:r>
        <w:rPr>
          <w:rFonts w:ascii="Times New Roman" w:cs="Times New Roman" w:eastAsia="Times New Roman" w:hAnsi="Times New Roman"/>
          <w:sz w:val="24"/>
          <w:szCs w:val="24"/>
        </w:rPr>
        <w:t xml:space="preserve">The platform has not undergone HIPAA audit, SOC 2 certification, or independent security review</w:t>
      </w:r>
    </w:p>
    <w:p>
      <w:pPr>
        <w:pStyle w:val="Heading1"/>
        <w:spacing w:before="360" w:after="200" w:line="480"/>
      </w:pPr>
      <w:r>
        <w:rPr>
          <w:rFonts w:ascii="Times New Roman" w:cs="Times New Roman" w:eastAsia="Times New Roman" w:hAnsi="Times New Roman"/>
          <w:b/>
          <w:bCs/>
          <w:sz w:val="24"/>
          <w:szCs w:val="24"/>
        </w:rPr>
        <w:t xml:space="preserve">7. Conclusion</w:t>
      </w:r>
    </w:p>
    <w:p>
      <w:pPr>
        <w:spacing w:after="200" w:line="480"/>
      </w:pPr>
      <w:r>
        <w:rPr>
          <w:rFonts w:ascii="Times New Roman" w:cs="Times New Roman" w:eastAsia="Times New Roman" w:hAnsi="Times New Roman"/>
          <w:sz w:val="24"/>
          <w:szCs w:val="24"/>
        </w:rPr>
        <w:t xml:space="preserve">AI-assisted clinical decision-making requires documentation that can prove the human clinician maintained autonomous judgment. Current systems do not provide this. Evidify demonstrates that cryptographic hash chaining, enforced workflow sequencing, and attribution-aware export formatting can address the documentation gap identified by Baird et al. (in preparation). The proposed research program—combining a controlled reader study with a jury simulation—will establish whether this documentation framework produces valid measurements and achieves its legal objectives.</w:t>
      </w:r>
    </w:p>
    <w:p>
      <w:pPr>
        <w:pStyle w:val="Heading1"/>
        <w:spacing w:before="360" w:after="200" w:line="480"/>
      </w:pPr>
      <w:r>
        <w:rPr>
          <w:rFonts w:ascii="Times New Roman" w:cs="Times New Roman" w:eastAsia="Times New Roman" w:hAnsi="Times New Roman"/>
          <w:b/>
          <w:bCs/>
          <w:sz w:val="24"/>
          <w:szCs w:val="24"/>
        </w:rPr>
        <w:t xml:space="preserve">References</w:t>
      </w:r>
    </w:p>
    <w:p>
      <w:pPr>
        <w:spacing w:after="200" w:line="480"/>
      </w:pPr>
      <w:r>
        <w:rPr>
          <w:rFonts w:ascii="Times New Roman" w:cs="Times New Roman" w:eastAsia="Times New Roman" w:hAnsi="Times New Roman"/>
          <w:sz w:val="24"/>
          <w:szCs w:val="24"/>
        </w:rPr>
        <w:t xml:space="preserve">Baird, G., Shepherd, B., Bruno, M., &amp; Bernstein, M. (in preparation). [Title TBD]. Manuscript in preparation, Brown University.</w:t>
      </w:r>
    </w:p>
    <w:p>
      <w:pPr>
        <w:spacing w:after="200" w:line="480"/>
      </w:pPr>
      <w:r>
        <w:rPr>
          <w:rFonts w:ascii="Times New Roman" w:cs="Times New Roman" w:eastAsia="Times New Roman" w:hAnsi="Times New Roman"/>
          <w:sz w:val="24"/>
          <w:szCs w:val="24"/>
        </w:rPr>
        <w:t xml:space="preserve">Bernstein, M., et al. (2025). [AI assistance and diagnostic accuracy in radiology]. Nature Health.</w:t>
      </w:r>
    </w:p>
    <w:p>
      <w:pPr>
        <w:spacing w:after="200" w:line="480"/>
      </w:pPr>
      <w:r>
        <w:rPr>
          <w:rFonts w:ascii="Times New Roman" w:cs="Times New Roman" w:eastAsia="Times New Roman" w:hAnsi="Times New Roman"/>
          <w:sz w:val="24"/>
          <w:szCs w:val="24"/>
        </w:rPr>
        <w:t xml:space="preserve">Jian, J.-Y., Bisantz, A. M., &amp; Drury, C. G. (2000). Foundations for an empirically determined scale of trust in automated systems. International Journal of Cognitive Ergonomics, 4(1), 53–71.</w:t>
      </w:r>
    </w:p>
    <w:p>
      <w:pPr>
        <w:spacing w:after="200" w:line="480"/>
      </w:pPr>
      <w:r>
        <w:rPr>
          <w:rFonts w:ascii="Times New Roman" w:cs="Times New Roman" w:eastAsia="Times New Roman" w:hAnsi="Times New Roman"/>
          <w:sz w:val="24"/>
          <w:szCs w:val="24"/>
        </w:rPr>
        <w:t xml:space="preserve">Obuchowski, N. A., &amp; Rockette, H. E. (1995). Hypothesis testing of the diagnostic accuracy for multiple diagnostic tests: An ANOVA approach with dependent observations. Communications in Statistics: Simulation and Computation, 24(2), 285–308.</w:t>
      </w:r>
    </w:p>
    <w:p>
      <w:pPr>
        <w:spacing w:after="200" w:line="480"/>
      </w:pPr>
      <w:r>
        <w:rPr>
          <w:rFonts w:ascii="Times New Roman" w:cs="Times New Roman" w:eastAsia="Times New Roman" w:hAnsi="Times New Roman"/>
          <w:sz w:val="24"/>
          <w:szCs w:val="24"/>
        </w:rPr>
        <w:t xml:space="preserve">Pennington, N., &amp; Hastie, R. (1992). Explaining the evidence: Tests of the story model for juror decision making. Journal of Personality and Social Psychology, 62(2), 189–206.</w:t>
      </w:r>
    </w:p>
    <w:p>
      <w:pPr>
        <w:spacing w:after="200" w:line="480"/>
      </w:pPr>
      <w:r>
        <w:rPr>
          <w:rFonts w:ascii="Times New Roman" w:cs="Times New Roman" w:eastAsia="Times New Roman" w:hAnsi="Times New Roman"/>
          <w:sz w:val="24"/>
          <w:szCs w:val="24"/>
        </w:rPr>
        <w:t xml:space="preserve">Uleman, J. S., Newman, L. S., &amp; Moskowitz, G. B. (1996). People as flexible interpreters: Evidence and issues from spontaneous trait inference. Advances in Experimental Social Psychology, 28, 211–279.</w:t>
      </w:r>
    </w:p>
    <w:p>
      <w:pPr>
        <w:spacing w:after="200" w:line="480"/>
      </w:pPr>
      <w:r>
        <w:rPr>
          <w:rFonts w:ascii="Times New Roman" w:cs="Times New Roman" w:eastAsia="Times New Roman" w:hAnsi="Times New Roman"/>
          <w:sz w:val="24"/>
          <w:szCs w:val="24"/>
        </w:rPr>
        <w:t xml:space="preserve">Winter, L., &amp; Uleman, J. S. (1984). When are social judgments made? Evidence for the spontaneousness of trait inferences. Journal of Personality and Social Psychology, 47(2), 237–252.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160"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20"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2026-02-05T15:24:50.905Z</dcterms:created>
  <dcterms:modified xsi:type="dcterms:W3CDTF">2026-02-05T15:24:50.906Z</dcterms:modified>
</cp:coreProperties>
</file>

<file path=docProps/custom.xml><?xml version="1.0" encoding="utf-8"?>
<Properties xmlns="http://schemas.openxmlformats.org/officeDocument/2006/custom-properties" xmlns:vt="http://schemas.openxmlformats.org/officeDocument/2006/docPropsVTypes"/>
</file>