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80"/>
        <w:jc w:val="center"/>
      </w:pPr>
      <w:r>
        <w:rPr>
          <w:rFonts w:ascii="Arial" w:cs="Arial" w:eastAsia="Arial" w:hAnsi="Arial"/>
          <w:b/>
          <w:bCs/>
          <w:color w:val="6366F1"/>
          <w:sz w:val="56"/>
          <w:szCs w:val="56"/>
        </w:rPr>
        <w:t xml:space="preserve">V I O L E T</w:t>
      </w:r>
    </w:p>
    <w:p>
      <w:pPr>
        <w:spacing w:after="200"/>
        <w:jc w:val="center"/>
      </w:pPr>
      <w:r>
        <w:rPr>
          <w:rFonts w:ascii="Arial" w:cs="Arial" w:eastAsia="Arial" w:hAnsi="Arial"/>
          <w:color w:val="666666"/>
          <w:sz w:val="22"/>
          <w:szCs w:val="22"/>
        </w:rPr>
        <w:t xml:space="preserve">Visual Intelligence Layer for Oncology Trends &amp; Evidence Triangulation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366F1" w:sz="2"/>
              <w:right w:val="none" w:sz="0"/>
            </w:tcBorders>
            <w:tcMar>
              <w:top w:type="dxa" w:w="0"/>
              <w:left w:type="dxa" w:w="0"/>
              <w:bottom w:type="dxa" w:w="0"/>
              <w:right w:type="dxa" w:w="0"/>
            </w:tcMar>
          </w:tcPr>
          <w:p>
            <w:pPr>
              <w:spacing w:before="0" w:after="0"/>
            </w:pPr>
          </w:p>
        </w:tc>
      </w:tr>
    </w:tbl>
    <w:p>
      <w:pPr>
        <w:spacing w:before="300" w:after="0"/>
      </w:pPr>
    </w:p>
    <w:p>
      <w:pPr>
        <w:spacing w:after="120"/>
        <w:jc w:val="center"/>
      </w:pPr>
      <w:r>
        <w:rPr>
          <w:rFonts w:ascii="Arial" w:cs="Arial" w:eastAsia="Arial" w:hAnsi="Arial"/>
          <w:b/>
          <w:bCs/>
          <w:color w:val="1A1A2E"/>
          <w:sz w:val="40"/>
          <w:szCs w:val="40"/>
        </w:rPr>
        <w:t xml:space="preserve">Live Demo Script</w:t>
      </w:r>
    </w:p>
    <w:p>
      <w:pPr>
        <w:spacing w:after="60"/>
        <w:jc w:val="center"/>
      </w:pPr>
      <w:r>
        <w:rPr>
          <w:rFonts w:ascii="Arial" w:cs="Arial" w:eastAsia="Arial" w:hAnsi="Arial"/>
          <w:color w:val="6366F1"/>
          <w:sz w:val="28"/>
          <w:szCs w:val="28"/>
        </w:rPr>
        <w:t xml:space="preserve">SYNGAP1 Intelligence Walkthrough</w:t>
      </w:r>
    </w:p>
    <w:p>
      <w:pPr>
        <w:spacing w:after="60"/>
        <w:jc w:val="center"/>
      </w:pPr>
      <w:r>
        <w:rPr>
          <w:rFonts w:ascii="Arial" w:cs="Arial" w:eastAsia="Arial" w:hAnsi="Arial"/>
          <w:color w:val="666666"/>
          <w:sz w:val="22"/>
          <w:szCs w:val="22"/>
        </w:rPr>
        <w:t xml:space="preserve">Prepared for Becky Quick, CNBC</w:t>
      </w:r>
    </w:p>
    <w:p>
      <w:pPr>
        <w:spacing w:before="4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666666"/>
                <w:sz w:val="20"/>
                <w:szCs w:val="20"/>
              </w:rPr>
              <w:t xml:space="preserve">Presenter</w:t>
            </w:r>
          </w:p>
        </w:tc>
        <w:tc>
          <w:tcPr>
            <w:tcW w:type="dxa" w:w="30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333333"/>
                <w:sz w:val="20"/>
                <w:szCs w:val="20"/>
              </w:rPr>
              <w:t xml:space="preserve">Bobby</w:t>
            </w:r>
          </w:p>
        </w:tc>
      </w:tr>
      <w:tr>
        <w:tc>
          <w:tcPr>
            <w:tcW w:type="dxa" w:w="24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666666"/>
                <w:sz w:val="20"/>
                <w:szCs w:val="20"/>
              </w:rPr>
              <w:t xml:space="preserve">Audience</w:t>
            </w:r>
          </w:p>
        </w:tc>
        <w:tc>
          <w:tcPr>
            <w:tcW w:type="dxa" w:w="30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333333"/>
                <w:sz w:val="20"/>
                <w:szCs w:val="20"/>
              </w:rPr>
              <w:t xml:space="preserve">Becky Quick (CNBC)</w:t>
            </w:r>
          </w:p>
        </w:tc>
      </w:tr>
      <w:tr>
        <w:tc>
          <w:tcPr>
            <w:tcW w:type="dxa" w:w="24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666666"/>
                <w:sz w:val="20"/>
                <w:szCs w:val="20"/>
              </w:rPr>
              <w:t xml:space="preserve">Platform</w:t>
            </w:r>
          </w:p>
        </w:tc>
        <w:tc>
          <w:tcPr>
            <w:tcW w:type="dxa" w:w="30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333333"/>
                <w:sz w:val="20"/>
                <w:szCs w:val="20"/>
              </w:rPr>
              <w:t xml:space="preserve">violet.supertruth.ai</w:t>
            </w:r>
          </w:p>
        </w:tc>
      </w:tr>
      <w:tr>
        <w:tc>
          <w:tcPr>
            <w:tcW w:type="dxa" w:w="24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666666"/>
                <w:sz w:val="20"/>
                <w:szCs w:val="20"/>
              </w:rPr>
              <w:t xml:space="preserve">Duration</w:t>
            </w:r>
          </w:p>
        </w:tc>
        <w:tc>
          <w:tcPr>
            <w:tcW w:type="dxa" w:w="30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333333"/>
                <w:sz w:val="20"/>
                <w:szCs w:val="20"/>
              </w:rPr>
              <w:t xml:space="preserve">8-10 minutes</w:t>
            </w:r>
          </w:p>
        </w:tc>
      </w:tr>
      <w:tr>
        <w:tc>
          <w:tcPr>
            <w:tcW w:type="dxa" w:w="24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666666"/>
                <w:sz w:val="20"/>
                <w:szCs w:val="20"/>
              </w:rPr>
              <w:t xml:space="preserve">Date</w:t>
            </w:r>
          </w:p>
        </w:tc>
        <w:tc>
          <w:tcPr>
            <w:tcW w:type="dxa" w:w="30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333333"/>
                <w:sz w:val="20"/>
                <w:szCs w:val="20"/>
              </w:rPr>
              <w:t xml:space="preserve">February 2026</w:t>
            </w:r>
          </w:p>
        </w:tc>
      </w:tr>
    </w:tbl>
    <w:p>
      <w:r>
        <w:br w:type="page"/>
      </w:r>
    </w:p>
    <w:p>
      <w:pPr>
        <w:pStyle w:val="Heading1"/>
      </w:pPr>
      <w:r>
        <w:t xml:space="preserve">Before You Begin</w:t>
      </w:r>
    </w:p>
    <w:p>
      <w:pPr>
        <w:spacing w:before="80" w:after="80"/>
      </w:pPr>
      <w:r>
        <w:rPr>
          <w:rFonts w:ascii="Arial" w:cs="Arial" w:eastAsia="Arial" w:hAnsi="Arial"/>
          <w:color w:val="333333"/>
          <w:sz w:val="22"/>
          <w:szCs w:val="22"/>
        </w:rPr>
        <w:t xml:space="preserve">Make sure you have the following ready before starting the demo:</w:t>
      </w:r>
    </w:p>
    <w:p>
      <w:pPr>
        <w:spacing w:before="40" w:after="0"/>
      </w:pPr>
    </w:p>
    <w:p>
      <w:pPr>
        <w:pStyle w:val="ListParagraph"/>
        <w:numPr>
          <w:ilvl w:val="0"/>
          <w:numId w:val="2"/>
        </w:numPr>
        <w:spacing w:before="60" w:after="60"/>
      </w:pPr>
      <w:r>
        <w:rPr>
          <w:rFonts w:ascii="Arial" w:cs="Arial" w:eastAsia="Arial" w:hAnsi="Arial"/>
          <w:sz w:val="22"/>
          <w:szCs w:val="22"/>
        </w:rPr>
        <w:t xml:space="preserve">Open violet.supertruth.ai </w:t>
      </w:r>
      <w:r>
        <w:rPr>
          <w:rFonts w:ascii="Arial" w:cs="Arial" w:eastAsia="Arial" w:hAnsi="Arial"/>
          <w:color w:val="666666"/>
          <w:sz w:val="22"/>
          <w:szCs w:val="22"/>
        </w:rPr>
        <w:t xml:space="preserve">in Chrome on a large screen (1080p or higher)</w:t>
      </w:r>
    </w:p>
    <w:p>
      <w:pPr>
        <w:pStyle w:val="ListParagraph"/>
        <w:numPr>
          <w:ilvl w:val="0"/>
          <w:numId w:val="2"/>
        </w:numPr>
        <w:spacing w:before="60" w:after="60"/>
      </w:pPr>
      <w:r>
        <w:rPr>
          <w:rFonts w:ascii="Arial" w:cs="Arial" w:eastAsia="Arial" w:hAnsi="Arial"/>
          <w:sz w:val="22"/>
          <w:szCs w:val="22"/>
        </w:rPr>
        <w:t xml:space="preserve">Log in with your credentials</w:t>
      </w:r>
    </w:p>
    <w:p>
      <w:pPr>
        <w:pStyle w:val="ListParagraph"/>
        <w:numPr>
          <w:ilvl w:val="0"/>
          <w:numId w:val="2"/>
        </w:numPr>
        <w:spacing w:before="60" w:after="60"/>
      </w:pPr>
      <w:r>
        <w:rPr>
          <w:rFonts w:ascii="Arial" w:cs="Arial" w:eastAsia="Arial" w:hAnsi="Arial"/>
          <w:sz w:val="22"/>
          <w:szCs w:val="22"/>
        </w:rPr>
        <w:t xml:space="preserve">Let the 3D visualization fully load (you should see glowing spheres and clusters)</w:t>
      </w:r>
    </w:p>
    <w:p>
      <w:pPr>
        <w:pStyle w:val="ListParagraph"/>
        <w:numPr>
          <w:ilvl w:val="0"/>
          <w:numId w:val="2"/>
        </w:numPr>
        <w:spacing w:before="60" w:after="60"/>
      </w:pPr>
      <w:r>
        <w:rPr>
          <w:rFonts w:ascii="Arial" w:cs="Arial" w:eastAsia="Arial" w:hAnsi="Arial"/>
          <w:sz w:val="22"/>
          <w:szCs w:val="22"/>
        </w:rPr>
        <w:t xml:space="preserve">In the search box on the left sidebar, type "SYNGAP1" to confirm it appears</w:t>
      </w:r>
    </w:p>
    <w:p>
      <w:pPr>
        <w:pStyle w:val="ListParagraph"/>
        <w:numPr>
          <w:ilvl w:val="0"/>
          <w:numId w:val="2"/>
        </w:numPr>
        <w:spacing w:before="60" w:after="60"/>
      </w:pPr>
      <w:r>
        <w:rPr>
          <w:rFonts w:ascii="Arial" w:cs="Arial" w:eastAsia="Arial" w:hAnsi="Arial"/>
          <w:sz w:val="22"/>
          <w:szCs w:val="22"/>
        </w:rPr>
        <w:t xml:space="preserve">Clear the search so the full map is visible when Becky first sees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EF3C7" w:val="clear"/>
            <w:tcMar>
              <w:top w:type="dxa" w:w="100"/>
              <w:left w:type="dxa" w:w="160"/>
              <w:bottom w:type="dxa" w:w="100"/>
              <w:right w:type="dxa" w:w="160"/>
            </w:tcMar>
          </w:tcPr>
          <w:p>
            <w:r>
              <w:rPr>
                <w:rFonts w:ascii="Arial" w:cs="Arial" w:eastAsia="Arial" w:hAnsi="Arial"/>
                <w:b/>
                <w:bCs/>
                <w:color w:val="92400E"/>
                <w:sz w:val="20"/>
                <w:szCs w:val="20"/>
              </w:rPr>
              <w:t xml:space="preserve">NOTE: </w:t>
            </w:r>
            <w:r>
              <w:rPr>
                <w:rFonts w:ascii="Arial" w:cs="Arial" w:eastAsia="Arial" w:hAnsi="Arial"/>
                <w:color w:val="92400E"/>
                <w:sz w:val="20"/>
                <w:szCs w:val="20"/>
              </w:rPr>
              <w:t xml:space="preserve">SYNGAP1 was added specifically for this demo. The trend data shown is synthetic (demo mode) to illustrate what VIOLET would show once real data is collected through a pipeline run. Be upfront about this with Becky. Transparency builds trust.</w:t>
            </w:r>
          </w:p>
        </w:tc>
      </w:tr>
    </w:tbl>
    <w:p>
      <w:r>
        <w:br w:type="page"/>
      </w:r>
    </w:p>
    <w:p>
      <w:pPr>
        <w:pStyle w:val="Heading1"/>
      </w:pPr>
      <w:r>
        <w:t xml:space="preserve">Part 1: The Opening (1-2 minutes)</w:t>
      </w:r>
    </w:p>
    <w:p>
      <w:pPr>
        <w:pStyle w:val="Heading2"/>
      </w:pPr>
      <w:r>
        <w:t xml:space="preserve">Set the Stage</w:t>
      </w: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Show the full 3D visualization. Camera should be at default position with all clusters visible.</w:t>
      </w:r>
      <w:r>
        <w:rPr>
          <w:rFonts w:ascii="Arial" w:cs="Arial" w:eastAsia="Arial" w:hAnsi="Arial"/>
          <w:i/>
          <w:iCs/>
          <w:color w:val="6366F1"/>
          <w:sz w:val="20"/>
          <w:szCs w:val="20"/>
        </w:rPr>
        <w:t xml:space="preserve">]</w:t>
      </w:r>
    </w:p>
    <w:p>
      <w:pPr>
        <w:spacing w:before="80" w:after="80"/>
      </w:pPr>
      <w:r>
        <w:rPr>
          <w:rFonts w:ascii="Arial" w:cs="Arial" w:eastAsia="Arial" w:hAnsi="Arial"/>
          <w:b w:val="false"/>
          <w:bCs w:val="false"/>
          <w:i w:val="false"/>
          <w:iCs w:val="false"/>
          <w:color w:val="333333"/>
          <w:sz w:val="22"/>
          <w:szCs w:val="22"/>
        </w:rPr>
        <w:t xml:space="preserve">Becky, what you're looking at is a live intelligence map of how people search for oncology and rare disease information online. Every glowing point you see represents a real search term </w:t>
      </w:r>
      <w:r>
        <w:rPr>
          <w:rFonts w:ascii="Arial" w:cs="Arial" w:eastAsia="Arial" w:hAnsi="Arial"/>
          <w:b w:val="false"/>
          <w:bCs w:val="false"/>
          <w:i/>
          <w:iCs/>
          <w:color w:val="333333"/>
          <w:sz w:val="22"/>
          <w:szCs w:val="22"/>
        </w:rPr>
        <w:t xml:space="preserve">that patients, caregivers, and families are typing into Google.</w:t>
      </w:r>
    </w:p>
    <w:p>
      <w:pPr>
        <w:spacing w:before="40" w:after="0"/>
      </w:pPr>
    </w:p>
    <w:p>
      <w:pPr>
        <w:spacing w:before="80" w:after="80"/>
      </w:pPr>
      <w:r>
        <w:rPr>
          <w:rFonts w:ascii="Arial" w:cs="Arial" w:eastAsia="Arial" w:hAnsi="Arial"/>
          <w:color w:val="333333"/>
          <w:sz w:val="22"/>
          <w:szCs w:val="22"/>
        </w:rPr>
        <w:t xml:space="preserve">This isn't a marketing dashboard or a website traffic report. This is behavioral signal intelligence. We're capturing what people search for, when they search for it, and how they phrase their questions when they're scared.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tcMar>
              <w:top w:type="dxa" w:w="60"/>
              <w:left w:type="dxa" w:w="0"/>
              <w:bottom w:type="dxa" w:w="60"/>
              <w:right w:type="dxa" w:w="80"/>
            </w:tcMar>
          </w:tcPr>
          <w:p>
            <w:pPr>
              <w:jc w:val="center"/>
            </w:pPr>
            <w:r>
              <w:rPr>
                <w:rFonts w:ascii="Arial" w:cs="Arial" w:eastAsia="Arial" w:hAnsi="Arial"/>
                <w:color w:val="0D9488"/>
                <w:sz w:val="18"/>
                <w:szCs w:val="18"/>
              </w:rPr>
              <w:t xml:space="preserve">▶</w:t>
            </w:r>
          </w:p>
        </w:tc>
        <w:tc>
          <w:tcPr>
            <w:tcW w:type="dxa" w:w="9000"/>
            <w:tcBorders>
              <w:top w:val="none" w:sz="0"/>
              <w:left w:val="none" w:sz="0"/>
              <w:bottom w:val="none" w:sz="0"/>
              <w:right w:val="none" w:sz="0"/>
            </w:tcBorders>
            <w:shd w:fill="ECFDF5" w:val="clear"/>
            <w:tcMar>
              <w:top w:type="dxa" w:w="60"/>
              <w:left w:type="dxa" w:w="120"/>
              <w:bottom w:type="dxa" w:w="60"/>
              <w:right w:type="dxa" w:w="120"/>
            </w:tcMar>
          </w:tcPr>
          <w:p>
            <w:r>
              <w:rPr>
                <w:rFonts w:ascii="Arial" w:cs="Arial" w:eastAsia="Arial" w:hAnsi="Arial"/>
                <w:b/>
                <w:bCs/>
                <w:color w:val="0D9488"/>
                <w:sz w:val="20"/>
                <w:szCs w:val="20"/>
              </w:rPr>
              <w:t xml:space="preserve">Key moment: </w:t>
            </w:r>
            <w:r>
              <w:rPr>
                <w:rFonts w:ascii="Arial" w:cs="Arial" w:eastAsia="Arial" w:hAnsi="Arial"/>
                <w:color w:val="333333"/>
                <w:sz w:val="20"/>
                <w:szCs w:val="20"/>
              </w:rPr>
              <w:t xml:space="preserve">Let this land. Pause for a beat after saying "when they're scared."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366F1" w:sz="2"/>
              <w:right w:val="none" w:sz="0"/>
            </w:tcBorders>
            <w:tcMar>
              <w:top w:type="dxa" w:w="0"/>
              <w:left w:type="dxa" w:w="0"/>
              <w:bottom w:type="dxa" w:w="0"/>
              <w:right w:type="dxa" w:w="0"/>
            </w:tcMar>
          </w:tcPr>
          <w:p>
            <w:pPr>
              <w:spacing w:before="0" w:after="0"/>
            </w:pPr>
          </w:p>
        </w:tc>
      </w:tr>
    </w:tbl>
    <w:p>
      <w:pPr>
        <w:spacing w:before="40" w:after="0"/>
      </w:pPr>
    </w:p>
    <w:p>
      <w:pPr>
        <w:pStyle w:val="Heading2"/>
      </w:pPr>
      <w:r>
        <w:t xml:space="preserve">Explain the 3D Map</w:t>
      </w: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Slowly orbit the camera (click and drag) so Becky can see the depth and clusters.</w:t>
      </w:r>
      <w:r>
        <w:rPr>
          <w:rFonts w:ascii="Arial" w:cs="Arial" w:eastAsia="Arial" w:hAnsi="Arial"/>
          <w:i/>
          <w:iCs/>
          <w:color w:val="6366F1"/>
          <w:sz w:val="20"/>
          <w:szCs w:val="20"/>
        </w:rPr>
        <w:t xml:space="preserve">]</w:t>
      </w:r>
    </w:p>
    <w:p>
      <w:pPr>
        <w:spacing w:before="80" w:after="80"/>
      </w:pPr>
      <w:r>
        <w:rPr>
          <w:rFonts w:ascii="Arial" w:cs="Arial" w:eastAsia="Arial" w:hAnsi="Arial"/>
          <w:color w:val="333333"/>
          <w:sz w:val="22"/>
          <w:szCs w:val="22"/>
        </w:rPr>
        <w:t xml:space="preserve">Each of these clusters is a group of semantically related searches. Terms that mean similar things are positioned near each other in space. So if you look here...</w:t>
      </w: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Hover over a large cluster like "Adult Oncology" or "Treatment" to show the label.</w:t>
      </w:r>
      <w:r>
        <w:rPr>
          <w:rFonts w:ascii="Arial" w:cs="Arial" w:eastAsia="Arial" w:hAnsi="Arial"/>
          <w:i/>
          <w:iCs/>
          <w:color w:val="6366F1"/>
          <w:sz w:val="20"/>
          <w:szCs w:val="20"/>
        </w:rPr>
        <w:t xml:space="preserve">]</w:t>
      </w:r>
    </w:p>
    <w:p>
      <w:pPr>
        <w:spacing w:before="80" w:after="80"/>
      </w:pPr>
      <w:r>
        <w:rPr>
          <w:rFonts w:ascii="Arial" w:cs="Arial" w:eastAsia="Arial" w:hAnsi="Arial"/>
          <w:color w:val="333333"/>
          <w:sz w:val="22"/>
          <w:szCs w:val="22"/>
        </w:rPr>
        <w:t xml:space="preserve">...you can see treatment-related searches clustering together, while over here you have rare disease searches forming their own neighborhoods. The distance between points tells you how closely related the concepts are in people's minds.</w:t>
      </w:r>
    </w:p>
    <w:p>
      <w:pPr>
        <w:spacing w:before="40" w:after="0"/>
      </w:pPr>
    </w:p>
    <w:p>
      <w:pPr>
        <w:spacing w:before="80" w:after="80"/>
      </w:pPr>
      <w:r>
        <w:rPr>
          <w:rFonts w:ascii="Arial" w:cs="Arial" w:eastAsia="Arial" w:hAnsi="Arial"/>
          <w:color w:val="333333"/>
          <w:sz w:val="22"/>
          <w:szCs w:val="22"/>
        </w:rPr>
        <w:t xml:space="preserve">We currently track over 750 curated search terms across 20 categories. These range from common oncology terms like breast cancer and immunotherapy, all the way to ultra-rare conditions. And that's where your interest comes in.</w:t>
      </w:r>
    </w:p>
    <w:p>
      <w:r>
        <w:br w:type="page"/>
      </w:r>
    </w:p>
    <w:p>
      <w:pPr>
        <w:pStyle w:val="Heading1"/>
      </w:pPr>
      <w:r>
        <w:t xml:space="preserve">Part 2: Finding SYNGAP1 (2-3 minutes)</w:t>
      </w:r>
    </w:p>
    <w:p>
      <w:pPr>
        <w:pStyle w:val="Heading2"/>
      </w:pPr>
      <w:r>
        <w:t xml:space="preserve">Navigate to SYNGAP1</w:t>
      </w: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In the left sidebar search box, type "SYNGAP1". Several related terms should appear in the list.</w:t>
      </w:r>
      <w:r>
        <w:rPr>
          <w:rFonts w:ascii="Arial" w:cs="Arial" w:eastAsia="Arial" w:hAnsi="Arial"/>
          <w:i/>
          <w:iCs/>
          <w:color w:val="6366F1"/>
          <w:sz w:val="20"/>
          <w:szCs w:val="20"/>
        </w:rPr>
        <w:t xml:space="preserve">]</w:t>
      </w:r>
    </w:p>
    <w:p>
      <w:pPr>
        <w:spacing w:before="80" w:after="80"/>
      </w:pPr>
      <w:r>
        <w:rPr>
          <w:rFonts w:ascii="Arial" w:cs="Arial" w:eastAsia="Arial" w:hAnsi="Arial"/>
          <w:color w:val="333333"/>
          <w:sz w:val="22"/>
          <w:szCs w:val="22"/>
        </w:rPr>
        <w:t xml:space="preserve">Let me show you something specific. I know SYNGAP1 is important to you, so we added it to our intelligence system. Watch what happens when I search for it.</w:t>
      </w: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Click on "SYNGAP1" in the search results. The camera should fly over to the Rare Neurological cluster and the detail panel should open on the right.</w:t>
      </w:r>
      <w:r>
        <w:rPr>
          <w:rFonts w:ascii="Arial" w:cs="Arial" w:eastAsia="Arial" w:hAnsi="Arial"/>
          <w:i/>
          <w:iCs/>
          <w:color w:val="6366F1"/>
          <w:sz w:val="20"/>
          <w:szCs w:val="20"/>
        </w:rPr>
        <w:t xml:space="preserve">]</w:t>
      </w:r>
    </w:p>
    <w:p>
      <w:pPr>
        <w:spacing w:before="80" w:after="80"/>
      </w:pPr>
      <w:r>
        <w:rPr>
          <w:rFonts w:ascii="Arial" w:cs="Arial" w:eastAsia="Arial" w:hAnsi="Arial"/>
          <w:color w:val="333333"/>
          <w:sz w:val="22"/>
          <w:szCs w:val="22"/>
        </w:rPr>
        <w:t xml:space="preserve">See how the camera flies over to this cluster? SYNGAP1 lives in the rare neurological neighborhood, right next to related conditions. The system understands that SYNGAP1 is semantically connected to other developmental and neurological disorders.</w:t>
      </w:r>
    </w:p>
    <w:p>
      <w:pPr>
        <w:spacing w:before="60" w:after="0"/>
      </w:pPr>
    </w:p>
    <w:p>
      <w:pPr>
        <w:pStyle w:val="Heading2"/>
      </w:pPr>
      <w:r>
        <w:t xml:space="preserve">Show the Related Terms</w:t>
      </w: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In the detail panel on the right, scroll to show the related SYNGAP1 terms.</w:t>
      </w:r>
      <w:r>
        <w:rPr>
          <w:rFonts w:ascii="Arial" w:cs="Arial" w:eastAsia="Arial" w:hAnsi="Arial"/>
          <w:i/>
          <w:iCs/>
          <w:color w:val="6366F1"/>
          <w:sz w:val="20"/>
          <w:szCs w:val="20"/>
        </w:rPr>
        <w:t xml:space="preserve">]</w:t>
      </w:r>
    </w:p>
    <w:p>
      <w:pPr>
        <w:spacing w:before="80" w:after="80"/>
      </w:pPr>
      <w:r>
        <w:rPr>
          <w:rFonts w:ascii="Arial" w:cs="Arial" w:eastAsia="Arial" w:hAnsi="Arial"/>
          <w:color w:val="333333"/>
          <w:sz w:val="22"/>
          <w:szCs w:val="22"/>
        </w:rPr>
        <w:t xml:space="preserve">We don't just track the base term. We track the full constellation of how people search around SYNGAP1:</w:t>
      </w:r>
    </w:p>
    <w:p>
      <w:pPr>
        <w:spacing w:before="40" w:after="0"/>
      </w:pPr>
    </w:p>
    <w:p>
      <w:pPr>
        <w:pStyle w:val="ListParagraph"/>
        <w:numPr>
          <w:ilvl w:val="0"/>
          <w:numId w:val="3"/>
        </w:numPr>
        <w:spacing w:before="40" w:after="40"/>
      </w:pPr>
      <w:r>
        <w:rPr>
          <w:rFonts w:ascii="Arial" w:cs="Arial" w:eastAsia="Arial" w:hAnsi="Arial"/>
          <w:b/>
          <w:bCs/>
          <w:sz w:val="22"/>
          <w:szCs w:val="22"/>
        </w:rPr>
        <w:t xml:space="preserve">"SYNGAP1 syndrome" </w:t>
      </w:r>
      <w:r>
        <w:rPr>
          <w:rFonts w:ascii="Arial" w:cs="Arial" w:eastAsia="Arial" w:hAnsi="Arial"/>
          <w:color w:val="666666"/>
          <w:sz w:val="22"/>
          <w:szCs w:val="22"/>
        </w:rPr>
        <w:t xml:space="preserve">for families looking for the diagnosis</w:t>
      </w:r>
    </w:p>
    <w:p>
      <w:pPr>
        <w:pStyle w:val="ListParagraph"/>
        <w:numPr>
          <w:ilvl w:val="0"/>
          <w:numId w:val="3"/>
        </w:numPr>
        <w:spacing w:before="40" w:after="40"/>
      </w:pPr>
      <w:r>
        <w:rPr>
          <w:rFonts w:ascii="Arial" w:cs="Arial" w:eastAsia="Arial" w:hAnsi="Arial"/>
          <w:b/>
          <w:bCs/>
          <w:sz w:val="22"/>
          <w:szCs w:val="22"/>
        </w:rPr>
        <w:t xml:space="preserve">"SYNGAP1 epilepsy" </w:t>
      </w:r>
      <w:r>
        <w:rPr>
          <w:rFonts w:ascii="Arial" w:cs="Arial" w:eastAsia="Arial" w:hAnsi="Arial"/>
          <w:color w:val="666666"/>
          <w:sz w:val="22"/>
          <w:szCs w:val="22"/>
        </w:rPr>
        <w:t xml:space="preserve">because seizures are one of the primary symptoms</w:t>
      </w:r>
    </w:p>
    <w:p>
      <w:pPr>
        <w:pStyle w:val="ListParagraph"/>
        <w:numPr>
          <w:ilvl w:val="0"/>
          <w:numId w:val="3"/>
        </w:numPr>
        <w:spacing w:before="40" w:after="40"/>
      </w:pPr>
      <w:r>
        <w:rPr>
          <w:rFonts w:ascii="Arial" w:cs="Arial" w:eastAsia="Arial" w:hAnsi="Arial"/>
          <w:b/>
          <w:bCs/>
          <w:sz w:val="22"/>
          <w:szCs w:val="22"/>
        </w:rPr>
        <w:t xml:space="preserve">"SYNGAP1 gene therapy" </w:t>
      </w:r>
      <w:r>
        <w:rPr>
          <w:rFonts w:ascii="Arial" w:cs="Arial" w:eastAsia="Arial" w:hAnsi="Arial"/>
          <w:color w:val="666666"/>
          <w:sz w:val="22"/>
          <w:szCs w:val="22"/>
        </w:rPr>
        <w:t xml:space="preserve">where hope lives</w:t>
      </w:r>
    </w:p>
    <w:p>
      <w:pPr>
        <w:pStyle w:val="ListParagraph"/>
        <w:numPr>
          <w:ilvl w:val="0"/>
          <w:numId w:val="3"/>
        </w:numPr>
        <w:spacing w:before="40" w:after="40"/>
      </w:pPr>
      <w:r>
        <w:rPr>
          <w:rFonts w:ascii="Arial" w:cs="Arial" w:eastAsia="Arial" w:hAnsi="Arial"/>
          <w:b/>
          <w:bCs/>
          <w:sz w:val="22"/>
          <w:szCs w:val="22"/>
        </w:rPr>
        <w:t xml:space="preserve">"SYNGAP1 clinical trials" </w:t>
      </w:r>
      <w:r>
        <w:rPr>
          <w:rFonts w:ascii="Arial" w:cs="Arial" w:eastAsia="Arial" w:hAnsi="Arial"/>
          <w:color w:val="666666"/>
          <w:sz w:val="22"/>
          <w:szCs w:val="22"/>
        </w:rPr>
        <w:t xml:space="preserve">because parents are actively looking for options</w:t>
      </w:r>
    </w:p>
    <w:p>
      <w:pPr>
        <w:pStyle w:val="ListParagraph"/>
        <w:numPr>
          <w:ilvl w:val="0"/>
          <w:numId w:val="3"/>
        </w:numPr>
        <w:spacing w:before="40" w:after="40"/>
      </w:pPr>
      <w:r>
        <w:rPr>
          <w:rFonts w:ascii="Arial" w:cs="Arial" w:eastAsia="Arial" w:hAnsi="Arial"/>
          <w:b/>
          <w:bCs/>
          <w:sz w:val="22"/>
          <w:szCs w:val="22"/>
        </w:rPr>
        <w:t xml:space="preserve">"SYNGAP1 intellectual disability" </w:t>
      </w:r>
      <w:r>
        <w:rPr>
          <w:rFonts w:ascii="Arial" w:cs="Arial" w:eastAsia="Arial" w:hAnsi="Arial"/>
          <w:color w:val="666666"/>
          <w:sz w:val="22"/>
          <w:szCs w:val="22"/>
        </w:rPr>
        <w:t xml:space="preserve">the reality families are navigating</w:t>
      </w:r>
    </w:p>
    <w:p>
      <w:pPr>
        <w:spacing w:before="60" w:after="0"/>
      </w:pPr>
    </w:p>
    <w:p>
      <w:pPr>
        <w:spacing w:before="80" w:after="80"/>
      </w:pPr>
      <w:r>
        <w:rPr>
          <w:rFonts w:ascii="Arial" w:cs="Arial" w:eastAsia="Arial" w:hAnsi="Arial"/>
          <w:color w:val="333333"/>
          <w:sz w:val="22"/>
          <w:szCs w:val="22"/>
        </w:rPr>
        <w:t xml:space="preserve">Each of these represents a different facet of the patient and caregiver experience. Together, they paint a picture of what the SYNGAP1 community is searching for and worrying about.</w:t>
      </w:r>
    </w:p>
    <w:p>
      <w:r>
        <w:br w:type="page"/>
      </w:r>
    </w:p>
    <w:p>
      <w:pPr>
        <w:pStyle w:val="Heading1"/>
      </w:pPr>
      <w:r>
        <w:t xml:space="preserve">Part 3: The Transparency Moment (1-2 minutes)</w:t>
      </w:r>
    </w:p>
    <w:p>
      <w:pPr>
        <w:pStyle w:val="Heading2"/>
      </w:pPr>
      <w:r>
        <w:t xml:space="preserve">Be Honest About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EF3C7" w:val="clear"/>
            <w:tcMar>
              <w:top w:type="dxa" w:w="100"/>
              <w:left w:type="dxa" w:w="160"/>
              <w:bottom w:type="dxa" w:w="100"/>
              <w:right w:type="dxa" w:w="160"/>
            </w:tcMar>
          </w:tcPr>
          <w:p>
            <w:r>
              <w:rPr>
                <w:rFonts w:ascii="Arial" w:cs="Arial" w:eastAsia="Arial" w:hAnsi="Arial"/>
                <w:b/>
                <w:bCs/>
                <w:color w:val="92400E"/>
                <w:sz w:val="20"/>
                <w:szCs w:val="20"/>
              </w:rPr>
              <w:t xml:space="preserve">NOTE: </w:t>
            </w:r>
            <w:r>
              <w:rPr>
                <w:rFonts w:ascii="Arial" w:cs="Arial" w:eastAsia="Arial" w:hAnsi="Arial"/>
                <w:color w:val="92400E"/>
                <w:sz w:val="20"/>
                <w:szCs w:val="20"/>
              </w:rPr>
              <w:t xml:space="preserve">This is the most important part of the demo. Becky Quick is a journalist. She will respect honesty far more than a polished demo with hand-waving. Be direct.</w:t>
            </w:r>
          </w:p>
        </w:tc>
      </w:tr>
    </w:tbl>
    <w:p>
      <w:pPr>
        <w:spacing w:before="60" w:after="0"/>
      </w:pP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The detail panel should be showing trend data for SYNGAP1. If it shows a "Demo Mode" banner, acknowledge it directly.</w:t>
      </w:r>
      <w:r>
        <w:rPr>
          <w:rFonts w:ascii="Arial" w:cs="Arial" w:eastAsia="Arial" w:hAnsi="Arial"/>
          <w:i/>
          <w:iCs/>
          <w:color w:val="6366F1"/>
          <w:sz w:val="20"/>
          <w:szCs w:val="20"/>
        </w:rPr>
        <w:t xml:space="preserve">]</w:t>
      </w:r>
    </w:p>
    <w:p>
      <w:pPr>
        <w:spacing w:before="80" w:after="80"/>
      </w:pPr>
      <w:r>
        <w:rPr>
          <w:rFonts w:ascii="Arial" w:cs="Arial" w:eastAsia="Arial" w:hAnsi="Arial"/>
          <w:color w:val="333333"/>
          <w:sz w:val="22"/>
          <w:szCs w:val="22"/>
        </w:rPr>
        <w:t xml:space="preserve">Now I want to be transparent with you about something, because that's how we operate at SuperTruth. The trend data you're seeing for SYNGAP1 right now is synthetic. We added SYNGAP1 to our system specifically for this conversation because we know it matters to you.</w:t>
      </w:r>
    </w:p>
    <w:p>
      <w:pPr>
        <w:spacing w:before="40" w:after="0"/>
      </w:pPr>
    </w:p>
    <w:p>
      <w:pPr>
        <w:spacing w:before="80" w:after="80"/>
      </w:pPr>
      <w:r>
        <w:rPr>
          <w:rFonts w:ascii="Arial" w:cs="Arial" w:eastAsia="Arial" w:hAnsi="Arial"/>
          <w:color w:val="333333"/>
          <w:sz w:val="22"/>
          <w:szCs w:val="22"/>
        </w:rPr>
        <w:t xml:space="preserve">Here's why: Our system runs on a curated taxonomy of over 750 terms. Not every disease is in the system yet. When we add a new term, we have to run our data pipeline to collect real Google Trends data, PubMed citations, clinical trial information, and so on. We added SYNGAP1 to the taxonomy but haven't run that full pipeline yet, so what you're seeing is a realistic projection of what the data would look like based on how our system models search behavior.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tcMar>
              <w:top w:type="dxa" w:w="60"/>
              <w:left w:type="dxa" w:w="0"/>
              <w:bottom w:type="dxa" w:w="60"/>
              <w:right w:type="dxa" w:w="80"/>
            </w:tcMar>
          </w:tcPr>
          <w:p>
            <w:pPr>
              <w:jc w:val="center"/>
            </w:pPr>
            <w:r>
              <w:rPr>
                <w:rFonts w:ascii="Arial" w:cs="Arial" w:eastAsia="Arial" w:hAnsi="Arial"/>
                <w:color w:val="0D9488"/>
                <w:sz w:val="18"/>
                <w:szCs w:val="18"/>
              </w:rPr>
              <w:t xml:space="preserve">▶</w:t>
            </w:r>
          </w:p>
        </w:tc>
        <w:tc>
          <w:tcPr>
            <w:tcW w:type="dxa" w:w="9000"/>
            <w:tcBorders>
              <w:top w:val="none" w:sz="0"/>
              <w:left w:val="none" w:sz="0"/>
              <w:bottom w:val="none" w:sz="0"/>
              <w:right w:val="none" w:sz="0"/>
            </w:tcBorders>
            <w:shd w:fill="ECFDF5" w:val="clear"/>
            <w:tcMar>
              <w:top w:type="dxa" w:w="60"/>
              <w:left w:type="dxa" w:w="120"/>
              <w:bottom w:type="dxa" w:w="60"/>
              <w:right w:type="dxa" w:w="120"/>
            </w:tcMar>
          </w:tcPr>
          <w:p>
            <w:r>
              <w:rPr>
                <w:rFonts w:ascii="Arial" w:cs="Arial" w:eastAsia="Arial" w:hAnsi="Arial"/>
                <w:b/>
                <w:bCs/>
                <w:color w:val="0D9488"/>
                <w:sz w:val="20"/>
                <w:szCs w:val="20"/>
              </w:rPr>
              <w:t xml:space="preserve">Tone: </w:t>
            </w:r>
            <w:r>
              <w:rPr>
                <w:rFonts w:ascii="Arial" w:cs="Arial" w:eastAsia="Arial" w:hAnsi="Arial"/>
                <w:color w:val="333333"/>
                <w:sz w:val="20"/>
                <w:szCs w:val="20"/>
              </w:rPr>
              <w:t xml:space="preserve">Confident, not apologetic. You're showing her the architecture, not the limitations.</w:t>
            </w:r>
          </w:p>
        </w:tc>
      </w:tr>
    </w:tbl>
    <w:p>
      <w:pPr>
        <w:spacing w:before="40" w:after="0"/>
      </w:pPr>
    </w:p>
    <w:p>
      <w:pPr>
        <w:spacing w:before="80" w:after="80"/>
      </w:pPr>
      <w:r>
        <w:rPr>
          <w:rFonts w:ascii="Arial" w:cs="Arial" w:eastAsia="Arial" w:hAnsi="Arial"/>
          <w:color w:val="333333"/>
          <w:sz w:val="22"/>
          <w:szCs w:val="22"/>
        </w:rPr>
        <w:t xml:space="preserve">Once we run the pipeline, VIOLET will pull real data for SYNGAP1 from five sources: Google Trends for search interest over time, PubMed for published research, ClinicalTrials.gov for active studies, the FDA for any drug or device data, and Google Scholar for academic citations. All of that gets layered onto this same 3D map, for this same term, automatically.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366F1" w:sz="2"/>
              <w:right w:val="none" w:sz="0"/>
            </w:tcBorders>
            <w:tcMar>
              <w:top w:type="dxa" w:w="0"/>
              <w:left w:type="dxa" w:w="0"/>
              <w:bottom w:type="dxa" w:w="0"/>
              <w:right w:type="dxa" w:w="0"/>
            </w:tcMar>
          </w:tcPr>
          <w:p>
            <w:pPr>
              <w:spacing w:before="0" w:after="0"/>
            </w:pPr>
          </w:p>
        </w:tc>
      </w:tr>
    </w:tbl>
    <w:p>
      <w:pPr>
        <w:spacing w:before="40" w:after="0"/>
      </w:pPr>
    </w:p>
    <w:p>
      <w:pPr>
        <w:pStyle w:val="Heading2"/>
      </w:pPr>
      <w:r>
        <w:t xml:space="preserve">How Data Gets Into VIOLET</w:t>
      </w:r>
    </w:p>
    <w:p>
      <w:pPr>
        <w:spacing w:before="80" w:after="80"/>
      </w:pPr>
      <w:r>
        <w:rPr>
          <w:rFonts w:ascii="Arial" w:cs="Arial" w:eastAsia="Arial" w:hAnsi="Arial"/>
          <w:color w:val="333333"/>
          <w:sz w:val="22"/>
          <w:szCs w:val="22"/>
        </w:rPr>
        <w:t xml:space="preserve">Let me walk you through how this actually works, because the mechanism matters.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6366F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200"/>
            <w:tcBorders>
              <w:top w:val="single" w:color="DDDDDD" w:sz="1"/>
              <w:left w:val="single" w:color="DDDDDD" w:sz="1"/>
              <w:bottom w:val="single" w:color="DDDDDD" w:sz="1"/>
              <w:right w:val="single" w:color="DDDDDD" w:sz="1"/>
            </w:tcBorders>
            <w:shd w:fill="6366F1" w:val="clear"/>
            <w:tcMar>
              <w:top w:type="dxa" w:w="80"/>
              <w:left w:type="dxa" w:w="120"/>
              <w:bottom w:type="dxa" w:w="80"/>
              <w:right w:type="dxa" w:w="120"/>
            </w:tcMar>
          </w:tcPr>
          <w:p>
            <w:r>
              <w:rPr>
                <w:rFonts w:ascii="Arial" w:cs="Arial" w:eastAsia="Arial" w:hAnsi="Arial"/>
                <w:b/>
                <w:bCs/>
                <w:color w:val="FFFFFF"/>
                <w:sz w:val="18"/>
                <w:szCs w:val="18"/>
              </w:rPr>
              <w:t xml:space="preserve">Process</w:t>
            </w:r>
          </w:p>
        </w:tc>
        <w:tc>
          <w:tcPr>
            <w:tcW w:type="dxa" w:w="6360"/>
            <w:tcBorders>
              <w:top w:val="single" w:color="DDDDDD" w:sz="1"/>
              <w:left w:val="single" w:color="DDDDDD" w:sz="1"/>
              <w:bottom w:val="single" w:color="DDDDDD" w:sz="1"/>
              <w:right w:val="single" w:color="DDDDDD" w:sz="1"/>
            </w:tcBorders>
            <w:shd w:fill="6366F1"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6366F1"/>
                <w:sz w:val="18"/>
                <w:szCs w:val="18"/>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Taxonomy</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750+ curated oncology and rare disease search terms organized into 20 categories</w:t>
            </w:r>
          </w:p>
        </w:tc>
      </w:tr>
      <w:tr>
        <w:tc>
          <w:tcPr>
            <w:tcW w:type="dxa" w:w="80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pPr>
              <w:jc w:val="center"/>
            </w:pPr>
            <w:r>
              <w:rPr>
                <w:rFonts w:ascii="Arial" w:cs="Arial" w:eastAsia="Arial" w:hAnsi="Arial"/>
                <w:b/>
                <w:bCs/>
                <w:color w:val="6366F1"/>
                <w:sz w:val="18"/>
                <w:szCs w:val="18"/>
              </w:rPr>
              <w:t xml:space="preserve">2</w:t>
            </w:r>
          </w:p>
        </w:tc>
        <w:tc>
          <w:tcPr>
            <w:tcW w:type="dxa" w:w="220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r>
              <w:rPr>
                <w:rFonts w:ascii="Arial" w:cs="Arial" w:eastAsia="Arial" w:hAnsi="Arial"/>
                <w:b/>
                <w:bCs/>
                <w:color w:val="333333"/>
                <w:sz w:val="18"/>
                <w:szCs w:val="18"/>
              </w:rPr>
              <w:t xml:space="preserve">Embeddings</w:t>
            </w:r>
          </w:p>
        </w:tc>
        <w:tc>
          <w:tcPr>
            <w:tcW w:type="dxa" w:w="636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r>
              <w:rPr>
                <w:rFonts w:ascii="Arial" w:cs="Arial" w:eastAsia="Arial" w:hAnsi="Arial"/>
                <w:color w:val="555555"/>
                <w:sz w:val="18"/>
                <w:szCs w:val="18"/>
              </w:rPr>
              <w:t xml:space="preserve">AI converts each term into a mathematical representation of its meaning</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6366F1"/>
                <w:sz w:val="18"/>
                <w:szCs w:val="18"/>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Clustering</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UMAP + HDBSCAN groups related terms and projects them into this 3D space</w:t>
            </w:r>
          </w:p>
        </w:tc>
      </w:tr>
      <w:tr>
        <w:tc>
          <w:tcPr>
            <w:tcW w:type="dxa" w:w="80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pPr>
              <w:jc w:val="center"/>
            </w:pPr>
            <w:r>
              <w:rPr>
                <w:rFonts w:ascii="Arial" w:cs="Arial" w:eastAsia="Arial" w:hAnsi="Arial"/>
                <w:b/>
                <w:bCs/>
                <w:color w:val="6366F1"/>
                <w:sz w:val="18"/>
                <w:szCs w:val="18"/>
              </w:rPr>
              <w:t xml:space="preserve">4</w:t>
            </w:r>
          </w:p>
        </w:tc>
        <w:tc>
          <w:tcPr>
            <w:tcW w:type="dxa" w:w="220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r>
              <w:rPr>
                <w:rFonts w:ascii="Arial" w:cs="Arial" w:eastAsia="Arial" w:hAnsi="Arial"/>
                <w:b/>
                <w:bCs/>
                <w:color w:val="333333"/>
                <w:sz w:val="18"/>
                <w:szCs w:val="18"/>
              </w:rPr>
              <w:t xml:space="preserve">Trends</w:t>
            </w:r>
          </w:p>
        </w:tc>
        <w:tc>
          <w:tcPr>
            <w:tcW w:type="dxa" w:w="636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r>
              <w:rPr>
                <w:rFonts w:ascii="Arial" w:cs="Arial" w:eastAsia="Arial" w:hAnsi="Arial"/>
                <w:color w:val="555555"/>
                <w:sz w:val="18"/>
                <w:szCs w:val="18"/>
              </w:rPr>
              <w:t xml:space="preserve">Google Trends data via SerpAPI shows search interest over time and by region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6366F1"/>
                <w:sz w:val="18"/>
                <w:szCs w:val="18"/>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Discovery</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The system auto-discovers new trending terms and adds them to the taxonomy</w:t>
            </w:r>
          </w:p>
        </w:tc>
      </w:tr>
      <w:tr>
        <w:tc>
          <w:tcPr>
            <w:tcW w:type="dxa" w:w="80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pPr>
              <w:jc w:val="center"/>
            </w:pPr>
            <w:r>
              <w:rPr>
                <w:rFonts w:ascii="Arial" w:cs="Arial" w:eastAsia="Arial" w:hAnsi="Arial"/>
                <w:b/>
                <w:bCs/>
                <w:color w:val="6366F1"/>
                <w:sz w:val="18"/>
                <w:szCs w:val="18"/>
              </w:rPr>
              <w:t xml:space="preserve">6</w:t>
            </w:r>
          </w:p>
        </w:tc>
        <w:tc>
          <w:tcPr>
            <w:tcW w:type="dxa" w:w="220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r>
              <w:rPr>
                <w:rFonts w:ascii="Arial" w:cs="Arial" w:eastAsia="Arial" w:hAnsi="Arial"/>
                <w:b/>
                <w:bCs/>
                <w:color w:val="333333"/>
                <w:sz w:val="18"/>
                <w:szCs w:val="18"/>
              </w:rPr>
              <w:t xml:space="preserve">Questions</w:t>
            </w:r>
          </w:p>
        </w:tc>
        <w:tc>
          <w:tcPr>
            <w:tcW w:type="dxa" w:w="636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r>
              <w:rPr>
                <w:rFonts w:ascii="Arial" w:cs="Arial" w:eastAsia="Arial" w:hAnsi="Arial"/>
                <w:color w:val="555555"/>
                <w:sz w:val="18"/>
                <w:szCs w:val="18"/>
              </w:rPr>
              <w:t xml:space="preserve">People Also Ask data captures the actual questions people type into Google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6366F1"/>
                <w:sz w:val="18"/>
                <w:szCs w:val="18"/>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Anxiety</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Hourly search patterns reveal when people search (2am anxiety spikes)</w:t>
            </w:r>
          </w:p>
        </w:tc>
      </w:tr>
      <w:tr>
        <w:tc>
          <w:tcPr>
            <w:tcW w:type="dxa" w:w="80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pPr>
              <w:jc w:val="center"/>
            </w:pPr>
            <w:r>
              <w:rPr>
                <w:rFonts w:ascii="Arial" w:cs="Arial" w:eastAsia="Arial" w:hAnsi="Arial"/>
                <w:b/>
                <w:bCs/>
                <w:color w:val="6366F1"/>
                <w:sz w:val="18"/>
                <w:szCs w:val="18"/>
              </w:rPr>
              <w:t xml:space="preserve">8</w:t>
            </w:r>
          </w:p>
        </w:tc>
        <w:tc>
          <w:tcPr>
            <w:tcW w:type="dxa" w:w="220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r>
              <w:rPr>
                <w:rFonts w:ascii="Arial" w:cs="Arial" w:eastAsia="Arial" w:hAnsi="Arial"/>
                <w:b/>
                <w:bCs/>
                <w:color w:val="333333"/>
                <w:sz w:val="18"/>
                <w:szCs w:val="18"/>
              </w:rPr>
              <w:t xml:space="preserve">Equity</w:t>
            </w:r>
          </w:p>
        </w:tc>
        <w:tc>
          <w:tcPr>
            <w:tcW w:type="dxa" w:w="6360"/>
            <w:tcBorders>
              <w:top w:val="single" w:color="DDDDDD" w:sz="1"/>
              <w:left w:val="single" w:color="DDDDDD" w:sz="1"/>
              <w:bottom w:val="single" w:color="DDDDDD" w:sz="1"/>
              <w:right w:val="single" w:color="DDDDDD" w:sz="1"/>
            </w:tcBorders>
            <w:shd w:fill="F5F5F7" w:val="clear"/>
            <w:tcMar>
              <w:top w:type="dxa" w:w="60"/>
              <w:left w:type="dxa" w:w="120"/>
              <w:bottom w:type="dxa" w:w="60"/>
              <w:right w:type="dxa" w:w="120"/>
            </w:tcMar>
          </w:tcPr>
          <w:p>
            <w:r>
              <w:rPr>
                <w:rFonts w:ascii="Arial" w:cs="Arial" w:eastAsia="Arial" w:hAnsi="Arial"/>
                <w:color w:val="555555"/>
                <w:sz w:val="18"/>
                <w:szCs w:val="18"/>
              </w:rPr>
              <w:t xml:space="preserve">CDC Social Vulnerability Index overlays health equity data across all 50 states</w:t>
            </w:r>
          </w:p>
        </w:tc>
      </w:tr>
    </w:tbl>
    <w:p>
      <w:r>
        <w:br w:type="page"/>
      </w:r>
    </w:p>
    <w:p>
      <w:pPr>
        <w:pStyle w:val="Heading1"/>
      </w:pPr>
      <w:r>
        <w:t xml:space="preserve">Part 4: Show the Intelligence Layers (2-3 minutes)</w:t>
      </w:r>
    </w:p>
    <w:p>
      <w:pPr>
        <w:pStyle w:val="Heading2"/>
      </w:pPr>
      <w:r>
        <w:t xml:space="preserve">Trend Data</w:t>
      </w: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Click on SYNGAP1 if not already selected. Scroll the detail panel to show the trend chart.</w:t>
      </w:r>
      <w:r>
        <w:rPr>
          <w:rFonts w:ascii="Arial" w:cs="Arial" w:eastAsia="Arial" w:hAnsi="Arial"/>
          <w:i/>
          <w:iCs/>
          <w:color w:val="6366F1"/>
          <w:sz w:val="20"/>
          <w:szCs w:val="20"/>
        </w:rPr>
        <w:t xml:space="preserve">]</w:t>
      </w:r>
    </w:p>
    <w:p>
      <w:pPr>
        <w:spacing w:before="80" w:after="80"/>
      </w:pPr>
      <w:r>
        <w:rPr>
          <w:rFonts w:ascii="Arial" w:cs="Arial" w:eastAsia="Arial" w:hAnsi="Arial"/>
          <w:color w:val="333333"/>
          <w:sz w:val="22"/>
          <w:szCs w:val="22"/>
        </w:rPr>
        <w:t xml:space="preserve">This trend chart shows search interest over time. When we see a spike, it often correlates with a news event, a new clinical trial result, or a social media moment in the patient community. For a condition like SYNGAP1, these patterns can tell advocacy organizations like CureSYNGAP1 exactly when public awareness is peaking.</w:t>
      </w:r>
    </w:p>
    <w:p>
      <w:pPr>
        <w:spacing w:before="80" w:after="0"/>
      </w:pPr>
    </w:p>
    <w:p>
      <w:pPr>
        <w:pStyle w:val="Heading2"/>
      </w:pPr>
      <w:r>
        <w:t xml:space="preserve">Questions People Ask</w:t>
      </w: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Scroll down in the detail panel to "People Also Ask" section.</w:t>
      </w:r>
      <w:r>
        <w:rPr>
          <w:rFonts w:ascii="Arial" w:cs="Arial" w:eastAsia="Arial" w:hAnsi="Arial"/>
          <w:i/>
          <w:iCs/>
          <w:color w:val="6366F1"/>
          <w:sz w:val="20"/>
          <w:szCs w:val="20"/>
        </w:rPr>
        <w:t xml:space="preserve">]</w:t>
      </w:r>
    </w:p>
    <w:p>
      <w:pPr>
        <w:spacing w:before="80" w:after="80"/>
      </w:pPr>
      <w:r>
        <w:rPr>
          <w:rFonts w:ascii="Arial" w:cs="Arial" w:eastAsia="Arial" w:hAnsi="Arial"/>
          <w:color w:val="333333"/>
          <w:sz w:val="22"/>
          <w:szCs w:val="22"/>
        </w:rPr>
        <w:t xml:space="preserve">This is where it gets personal. These are the actual questions people type into Google about SYNGAP1. Things like "What is SYNGAP1?" and "Is there a cure for SYNGAP1?" and "What are the symptoms of SYNGAP1?"</w:t>
      </w:r>
    </w:p>
    <w:p>
      <w:pPr>
        <w:spacing w:before="40" w:after="0"/>
      </w:pPr>
    </w:p>
    <w:p>
      <w:pPr>
        <w:spacing w:before="80" w:after="80"/>
      </w:pPr>
      <w:r>
        <w:rPr>
          <w:rFonts w:ascii="Arial" w:cs="Arial" w:eastAsia="Arial" w:hAnsi="Arial"/>
          <w:color w:val="333333"/>
          <w:sz w:val="22"/>
          <w:szCs w:val="22"/>
        </w:rPr>
        <w:t xml:space="preserve">We call this the Question Surface. It captures how people phrase their fear. A doctor might say "SYNGAP1-related intellectual disability," but a parent at 2am is typing "will my child with SYNGAP1 ever talk?" Those are two completely different signals, and VIOLET captures both.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tcMar>
              <w:top w:type="dxa" w:w="60"/>
              <w:left w:type="dxa" w:w="0"/>
              <w:bottom w:type="dxa" w:w="60"/>
              <w:right w:type="dxa" w:w="80"/>
            </w:tcMar>
          </w:tcPr>
          <w:p>
            <w:pPr>
              <w:jc w:val="center"/>
            </w:pPr>
            <w:r>
              <w:rPr>
                <w:rFonts w:ascii="Arial" w:cs="Arial" w:eastAsia="Arial" w:hAnsi="Arial"/>
                <w:color w:val="0D9488"/>
                <w:sz w:val="18"/>
                <w:szCs w:val="18"/>
              </w:rPr>
              <w:t xml:space="preserve">▶</w:t>
            </w:r>
          </w:p>
        </w:tc>
        <w:tc>
          <w:tcPr>
            <w:tcW w:type="dxa" w:w="9000"/>
            <w:tcBorders>
              <w:top w:val="none" w:sz="0"/>
              <w:left w:val="none" w:sz="0"/>
              <w:bottom w:val="none" w:sz="0"/>
              <w:right w:val="none" w:sz="0"/>
            </w:tcBorders>
            <w:shd w:fill="ECFDF5" w:val="clear"/>
            <w:tcMar>
              <w:top w:type="dxa" w:w="60"/>
              <w:left w:type="dxa" w:w="120"/>
              <w:bottom w:type="dxa" w:w="60"/>
              <w:right w:type="dxa" w:w="120"/>
            </w:tcMar>
          </w:tcPr>
          <w:p>
            <w:r>
              <w:rPr>
                <w:rFonts w:ascii="Arial" w:cs="Arial" w:eastAsia="Arial" w:hAnsi="Arial"/>
                <w:b/>
                <w:bCs/>
                <w:color w:val="0D9488"/>
                <w:sz w:val="20"/>
                <w:szCs w:val="20"/>
              </w:rPr>
              <w:t xml:space="preserve">Emotional beat: </w:t>
            </w:r>
            <w:r>
              <w:rPr>
                <w:rFonts w:ascii="Arial" w:cs="Arial" w:eastAsia="Arial" w:hAnsi="Arial"/>
                <w:color w:val="333333"/>
                <w:sz w:val="20"/>
                <w:szCs w:val="20"/>
              </w:rPr>
              <w:t xml:space="preserve">This is the heart of the demo. Let Becky feel the human side of the data.</w:t>
            </w:r>
          </w:p>
        </w:tc>
      </w:tr>
    </w:tbl>
    <w:p>
      <w:pPr>
        <w:spacing w:before="80" w:after="0"/>
      </w:pPr>
    </w:p>
    <w:p>
      <w:pPr>
        <w:pStyle w:val="Heading2"/>
      </w:pPr>
      <w:r>
        <w:t xml:space="preserve">Geographic Equity View</w:t>
      </w: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Click the "Vulnerability Insights" tab on the left sidebar (shield icon).</w:t>
      </w:r>
      <w:r>
        <w:rPr>
          <w:rFonts w:ascii="Arial" w:cs="Arial" w:eastAsia="Arial" w:hAnsi="Arial"/>
          <w:i/>
          <w:iCs/>
          <w:color w:val="6366F1"/>
          <w:sz w:val="20"/>
          <w:szCs w:val="20"/>
        </w:rPr>
        <w:t xml:space="preserve">]</w:t>
      </w:r>
    </w:p>
    <w:p>
      <w:pPr>
        <w:spacing w:before="80" w:after="80"/>
      </w:pPr>
      <w:r>
        <w:rPr>
          <w:rFonts w:ascii="Arial" w:cs="Arial" w:eastAsia="Arial" w:hAnsi="Arial"/>
          <w:color w:val="333333"/>
          <w:sz w:val="22"/>
          <w:szCs w:val="22"/>
        </w:rPr>
        <w:t xml:space="preserve">Now let me show you something that no other platform does. This is our Social Vulnerability overlay. We take the CDC's Social Vulnerability Index and cross-reference it with search interest for every term, in every state.</w:t>
      </w:r>
    </w:p>
    <w:p>
      <w:pPr>
        <w:spacing w:before="40" w:after="0"/>
      </w:pPr>
    </w:p>
    <w:p>
      <w:pPr>
        <w:spacing w:before="80" w:after="80"/>
      </w:pPr>
      <w:r>
        <w:rPr>
          <w:rFonts w:ascii="Arial" w:cs="Arial" w:eastAsia="Arial" w:hAnsi="Arial"/>
          <w:color w:val="333333"/>
          <w:sz w:val="22"/>
          <w:szCs w:val="22"/>
        </w:rPr>
        <w:t xml:space="preserve">So for a rare condition like SYNGAP1, we can see not just where people are searching, but whether those communities have the healthcare infrastructure and socioeconomic support to act on what they find. A parent searching for SYNGAP1 clinical trials in Mississippi faces a very different reality than a parent in Boston. VIOLET makes that gap visible.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tcMar>
              <w:top w:type="dxa" w:w="60"/>
              <w:left w:type="dxa" w:w="0"/>
              <w:bottom w:type="dxa" w:w="60"/>
              <w:right w:type="dxa" w:w="80"/>
            </w:tcMar>
          </w:tcPr>
          <w:p>
            <w:pPr>
              <w:jc w:val="center"/>
            </w:pPr>
            <w:r>
              <w:rPr>
                <w:rFonts w:ascii="Arial" w:cs="Arial" w:eastAsia="Arial" w:hAnsi="Arial"/>
                <w:color w:val="0D9488"/>
                <w:sz w:val="18"/>
                <w:szCs w:val="18"/>
              </w:rPr>
              <w:t xml:space="preserve">▶</w:t>
            </w:r>
          </w:p>
        </w:tc>
        <w:tc>
          <w:tcPr>
            <w:tcW w:type="dxa" w:w="9000"/>
            <w:tcBorders>
              <w:top w:val="none" w:sz="0"/>
              <w:left w:val="none" w:sz="0"/>
              <w:bottom w:val="none" w:sz="0"/>
              <w:right w:val="none" w:sz="0"/>
            </w:tcBorders>
            <w:shd w:fill="ECFDF5" w:val="clear"/>
            <w:tcMar>
              <w:top w:type="dxa" w:w="60"/>
              <w:left w:type="dxa" w:w="120"/>
              <w:bottom w:type="dxa" w:w="60"/>
              <w:right w:type="dxa" w:w="120"/>
            </w:tcMar>
          </w:tcPr>
          <w:p>
            <w:r>
              <w:rPr>
                <w:rFonts w:ascii="Arial" w:cs="Arial" w:eastAsia="Arial" w:hAnsi="Arial"/>
                <w:b/>
                <w:bCs/>
                <w:color w:val="0D9488"/>
                <w:sz w:val="20"/>
                <w:szCs w:val="20"/>
              </w:rPr>
              <w:t xml:space="preserve">Data point: </w:t>
            </w:r>
            <w:r>
              <w:rPr>
                <w:rFonts w:ascii="Arial" w:cs="Arial" w:eastAsia="Arial" w:hAnsi="Arial"/>
                <w:color w:val="333333"/>
                <w:sz w:val="20"/>
                <w:szCs w:val="20"/>
              </w:rPr>
              <w:t xml:space="preserve">Mississippi has an SVI of 0.78 (highest vulnerability), New Hampshire has 0.30 (lowest). This isn't abstract.</w:t>
            </w:r>
          </w:p>
        </w:tc>
      </w:tr>
    </w:tbl>
    <w:p>
      <w:r>
        <w:br w:type="page"/>
      </w:r>
    </w:p>
    <w:p>
      <w:pPr>
        <w:pStyle w:val="Heading1"/>
      </w:pPr>
      <w:r>
        <w:t xml:space="preserve">Part 5: Evidence Triangulation (1-2 minutes)</w:t>
      </w:r>
    </w:p>
    <w:p>
      <w:pPr>
        <w:spacing w:before="120" w:after="80"/>
      </w:pPr>
      <w:r>
        <w:rPr>
          <w:rFonts w:ascii="Arial" w:cs="Arial" w:eastAsia="Arial" w:hAnsi="Arial"/>
          <w:i/>
          <w:iCs/>
          <w:color w:val="6366F1"/>
          <w:sz w:val="20"/>
          <w:szCs w:val="20"/>
        </w:rPr>
        <w:t xml:space="preserve">[</w:t>
      </w:r>
      <w:r>
        <w:rPr>
          <w:rFonts w:ascii="Arial" w:cs="Arial" w:eastAsia="Arial" w:hAnsi="Arial"/>
          <w:i/>
          <w:iCs/>
          <w:color w:val="6366F1"/>
          <w:sz w:val="20"/>
          <w:szCs w:val="20"/>
        </w:rPr>
        <w:t xml:space="preserve">Click the "Data Sources" tab on the left sidebar (database icon). Then click "Evidence" sub-tab.</w:t>
      </w:r>
      <w:r>
        <w:rPr>
          <w:rFonts w:ascii="Arial" w:cs="Arial" w:eastAsia="Arial" w:hAnsi="Arial"/>
          <w:i/>
          <w:iCs/>
          <w:color w:val="6366F1"/>
          <w:sz w:val="20"/>
          <w:szCs w:val="20"/>
        </w:rPr>
        <w:t xml:space="preserve">]</w:t>
      </w:r>
    </w:p>
    <w:p>
      <w:pPr>
        <w:spacing w:before="80" w:after="80"/>
      </w:pPr>
      <w:r>
        <w:rPr>
          <w:rFonts w:ascii="Arial" w:cs="Arial" w:eastAsia="Arial" w:hAnsi="Arial"/>
          <w:color w:val="333333"/>
          <w:sz w:val="22"/>
          <w:szCs w:val="22"/>
        </w:rPr>
        <w:t xml:space="preserve">The last layer I want to show you is evidence triangulation. For any term in our system, VIOLET can pull live data from six external sources:</w:t>
      </w:r>
    </w:p>
    <w:p>
      <w:pPr>
        <w:spacing w:before="40" w:after="0"/>
      </w:pPr>
    </w:p>
    <w:p>
      <w:pPr>
        <w:pStyle w:val="ListParagraph"/>
        <w:numPr>
          <w:ilvl w:val="0"/>
          <w:numId w:val="4"/>
        </w:numPr>
        <w:spacing w:before="40" w:after="40"/>
      </w:pPr>
      <w:r>
        <w:rPr>
          <w:rFonts w:ascii="Arial" w:cs="Arial" w:eastAsia="Arial" w:hAnsi="Arial"/>
          <w:b/>
          <w:bCs/>
          <w:sz w:val="22"/>
          <w:szCs w:val="22"/>
        </w:rPr>
        <w:t xml:space="preserve">ClinicalTrials.gov </w:t>
      </w:r>
      <w:r>
        <w:rPr>
          <w:rFonts w:ascii="Arial" w:cs="Arial" w:eastAsia="Arial" w:hAnsi="Arial"/>
          <w:color w:val="666666"/>
          <w:sz w:val="22"/>
          <w:szCs w:val="22"/>
        </w:rPr>
        <w:t xml:space="preserve">for active and recruiting studies</w:t>
      </w:r>
    </w:p>
    <w:p>
      <w:pPr>
        <w:pStyle w:val="ListParagraph"/>
        <w:numPr>
          <w:ilvl w:val="0"/>
          <w:numId w:val="4"/>
        </w:numPr>
        <w:spacing w:before="40" w:after="40"/>
      </w:pPr>
      <w:r>
        <w:rPr>
          <w:rFonts w:ascii="Arial" w:cs="Arial" w:eastAsia="Arial" w:hAnsi="Arial"/>
          <w:b/>
          <w:bCs/>
          <w:sz w:val="22"/>
          <w:szCs w:val="22"/>
        </w:rPr>
        <w:t xml:space="preserve">PubMed </w:t>
      </w:r>
      <w:r>
        <w:rPr>
          <w:rFonts w:ascii="Arial" w:cs="Arial" w:eastAsia="Arial" w:hAnsi="Arial"/>
          <w:color w:val="666666"/>
          <w:sz w:val="22"/>
          <w:szCs w:val="22"/>
        </w:rPr>
        <w:t xml:space="preserve">for peer-reviewed medical literature</w:t>
      </w:r>
    </w:p>
    <w:p>
      <w:pPr>
        <w:pStyle w:val="ListParagraph"/>
        <w:numPr>
          <w:ilvl w:val="0"/>
          <w:numId w:val="4"/>
        </w:numPr>
        <w:spacing w:before="40" w:after="40"/>
      </w:pPr>
      <w:r>
        <w:rPr>
          <w:rFonts w:ascii="Arial" w:cs="Arial" w:eastAsia="Arial" w:hAnsi="Arial"/>
          <w:b/>
          <w:bCs/>
          <w:sz w:val="22"/>
          <w:szCs w:val="22"/>
        </w:rPr>
        <w:t xml:space="preserve">FDA openFDA </w:t>
      </w:r>
      <w:r>
        <w:rPr>
          <w:rFonts w:ascii="Arial" w:cs="Arial" w:eastAsia="Arial" w:hAnsi="Arial"/>
          <w:color w:val="666666"/>
          <w:sz w:val="22"/>
          <w:szCs w:val="22"/>
        </w:rPr>
        <w:t xml:space="preserve">for drug approvals and adverse events</w:t>
      </w:r>
    </w:p>
    <w:p>
      <w:pPr>
        <w:pStyle w:val="ListParagraph"/>
        <w:numPr>
          <w:ilvl w:val="0"/>
          <w:numId w:val="4"/>
        </w:numPr>
        <w:spacing w:before="40" w:after="40"/>
      </w:pPr>
      <w:r>
        <w:rPr>
          <w:rFonts w:ascii="Arial" w:cs="Arial" w:eastAsia="Arial" w:hAnsi="Arial"/>
          <w:b/>
          <w:bCs/>
          <w:sz w:val="22"/>
          <w:szCs w:val="22"/>
        </w:rPr>
        <w:t xml:space="preserve">Google Scholar </w:t>
      </w:r>
      <w:r>
        <w:rPr>
          <w:rFonts w:ascii="Arial" w:cs="Arial" w:eastAsia="Arial" w:hAnsi="Arial"/>
          <w:color w:val="666666"/>
          <w:sz w:val="22"/>
          <w:szCs w:val="22"/>
        </w:rPr>
        <w:t xml:space="preserve">for academic citations and impact</w:t>
      </w:r>
    </w:p>
    <w:p>
      <w:pPr>
        <w:pStyle w:val="ListParagraph"/>
        <w:numPr>
          <w:ilvl w:val="0"/>
          <w:numId w:val="4"/>
        </w:numPr>
        <w:spacing w:before="40" w:after="40"/>
      </w:pPr>
      <w:r>
        <w:rPr>
          <w:rFonts w:ascii="Arial" w:cs="Arial" w:eastAsia="Arial" w:hAnsi="Arial"/>
          <w:b/>
          <w:bCs/>
          <w:sz w:val="22"/>
          <w:szCs w:val="22"/>
        </w:rPr>
        <w:t xml:space="preserve">Google News </w:t>
      </w:r>
      <w:r>
        <w:rPr>
          <w:rFonts w:ascii="Arial" w:cs="Arial" w:eastAsia="Arial" w:hAnsi="Arial"/>
          <w:color w:val="666666"/>
          <w:sz w:val="22"/>
          <w:szCs w:val="22"/>
        </w:rPr>
        <w:t xml:space="preserve">for media coverage and public discourse</w:t>
      </w:r>
    </w:p>
    <w:p>
      <w:pPr>
        <w:pStyle w:val="ListParagraph"/>
        <w:numPr>
          <w:ilvl w:val="0"/>
          <w:numId w:val="4"/>
        </w:numPr>
        <w:spacing w:before="40" w:after="40"/>
      </w:pPr>
      <w:r>
        <w:rPr>
          <w:rFonts w:ascii="Arial" w:cs="Arial" w:eastAsia="Arial" w:hAnsi="Arial"/>
          <w:b/>
          <w:bCs/>
          <w:sz w:val="22"/>
          <w:szCs w:val="22"/>
        </w:rPr>
        <w:t xml:space="preserve">Google Patents </w:t>
      </w:r>
      <w:r>
        <w:rPr>
          <w:rFonts w:ascii="Arial" w:cs="Arial" w:eastAsia="Arial" w:hAnsi="Arial"/>
          <w:color w:val="666666"/>
          <w:sz w:val="22"/>
          <w:szCs w:val="22"/>
        </w:rPr>
        <w:t xml:space="preserve">for therapeutic innovation signals</w:t>
      </w:r>
    </w:p>
    <w:p>
      <w:pPr>
        <w:spacing w:before="60" w:after="0"/>
      </w:pPr>
    </w:p>
    <w:p>
      <w:pPr>
        <w:spacing w:before="80" w:after="80"/>
      </w:pPr>
      <w:r>
        <w:rPr>
          <w:rFonts w:ascii="Arial" w:cs="Arial" w:eastAsia="Arial" w:hAnsi="Arial"/>
          <w:color w:val="333333"/>
          <w:sz w:val="22"/>
          <w:szCs w:val="22"/>
        </w:rPr>
        <w:t xml:space="preserve">So when someone asks "what's happening with SYNGAP1?" we don't just show them search trends. We show them everything: the science, the trials, the drugs, the news, and the innovation pipeline. All in one place. All connected to the same 3D map.</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EF3C7" w:val="clear"/>
            <w:tcMar>
              <w:top w:type="dxa" w:w="100"/>
              <w:left w:type="dxa" w:w="160"/>
              <w:bottom w:type="dxa" w:w="100"/>
              <w:right w:type="dxa" w:w="160"/>
            </w:tcMar>
          </w:tcPr>
          <w:p>
            <w:r>
              <w:rPr>
                <w:rFonts w:ascii="Arial" w:cs="Arial" w:eastAsia="Arial" w:hAnsi="Arial"/>
                <w:b/>
                <w:bCs/>
                <w:color w:val="92400E"/>
                <w:sz w:val="20"/>
                <w:szCs w:val="20"/>
              </w:rPr>
              <w:t xml:space="preserve">NOTE: </w:t>
            </w:r>
            <w:r>
              <w:rPr>
                <w:rFonts w:ascii="Arial" w:cs="Arial" w:eastAsia="Arial" w:hAnsi="Arial"/>
                <w:color w:val="92400E"/>
                <w:sz w:val="20"/>
                <w:szCs w:val="20"/>
              </w:rPr>
              <w:t xml:space="preserve">For SYNGAP1 specifically, there are 4 active clinical trials including natural history studies at Children's Hospital of Philadelphia and Cincinnati Children's, plus a Phase 4 fenfluramine trial. These are real, live results from ClinicalTrials.gov.</w:t>
            </w:r>
          </w:p>
        </w:tc>
      </w:tr>
    </w:tbl>
    <w:p>
      <w:r>
        <w:br w:type="page"/>
      </w:r>
    </w:p>
    <w:p>
      <w:pPr>
        <w:pStyle w:val="Heading1"/>
      </w:pPr>
      <w:r>
        <w:t xml:space="preserve">Part 6: The Close (1 minute)</w:t>
      </w:r>
    </w:p>
    <w:p>
      <w:pPr>
        <w:pStyle w:val="Heading2"/>
      </w:pPr>
      <w:r>
        <w:t xml:space="preserve">Why This Matters</w:t>
      </w:r>
    </w:p>
    <w:p>
      <w:pPr>
        <w:spacing w:before="80" w:after="80"/>
      </w:pPr>
      <w:r>
        <w:rPr>
          <w:rFonts w:ascii="Arial" w:cs="Arial" w:eastAsia="Arial" w:hAnsi="Arial"/>
          <w:color w:val="333333"/>
          <w:sz w:val="22"/>
          <w:szCs w:val="22"/>
        </w:rPr>
        <w:t xml:space="preserve">So what you've seen today is the prototype of something we believe hasn't existed before: a way to see the invisible layer of human behavior behind rare disease. Every search is a signal. Every question is a person. And every gap in the data is an opportunity for advocacy organizations, researchers, and policymakers to close.</w:t>
      </w:r>
    </w:p>
    <w:p>
      <w:pPr>
        <w:spacing w:before="40" w:after="0"/>
      </w:pPr>
    </w:p>
    <w:p>
      <w:pPr>
        <w:spacing w:before="80" w:after="80"/>
      </w:pPr>
      <w:r>
        <w:rPr>
          <w:rFonts w:ascii="Arial" w:cs="Arial" w:eastAsia="Arial" w:hAnsi="Arial"/>
          <w:color w:val="333333"/>
          <w:sz w:val="22"/>
          <w:szCs w:val="22"/>
        </w:rPr>
        <w:t xml:space="preserve">For a condition like SYNGAP1, which affects roughly 1 in 16,000 children, visibility is everything. CureSYNGAP1 and organizations like it are fighting for awareness. VIOLET gives them the intelligence to fight smarter.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sz="0"/>
              <w:left w:val="none" w:sz="0"/>
              <w:bottom w:val="none" w:sz="0"/>
              <w:right w:val="none" w:sz="0"/>
            </w:tcBorders>
            <w:tcMar>
              <w:top w:type="dxa" w:w="60"/>
              <w:left w:type="dxa" w:w="0"/>
              <w:bottom w:type="dxa" w:w="60"/>
              <w:right w:type="dxa" w:w="80"/>
            </w:tcMar>
          </w:tcPr>
          <w:p>
            <w:pPr>
              <w:jc w:val="center"/>
            </w:pPr>
            <w:r>
              <w:rPr>
                <w:rFonts w:ascii="Arial" w:cs="Arial" w:eastAsia="Arial" w:hAnsi="Arial"/>
                <w:color w:val="0D9488"/>
                <w:sz w:val="18"/>
                <w:szCs w:val="18"/>
              </w:rPr>
              <w:t xml:space="preserve">▶</w:t>
            </w:r>
          </w:p>
        </w:tc>
        <w:tc>
          <w:tcPr>
            <w:tcW w:type="dxa" w:w="9000"/>
            <w:tcBorders>
              <w:top w:val="none" w:sz="0"/>
              <w:left w:val="none" w:sz="0"/>
              <w:bottom w:val="none" w:sz="0"/>
              <w:right w:val="none" w:sz="0"/>
            </w:tcBorders>
            <w:shd w:fill="ECFDF5" w:val="clear"/>
            <w:tcMar>
              <w:top w:type="dxa" w:w="60"/>
              <w:left w:type="dxa" w:w="120"/>
              <w:bottom w:type="dxa" w:w="60"/>
              <w:right w:type="dxa" w:w="120"/>
            </w:tcMar>
          </w:tcPr>
          <w:p>
            <w:r>
              <w:rPr>
                <w:rFonts w:ascii="Arial" w:cs="Arial" w:eastAsia="Arial" w:hAnsi="Arial"/>
                <w:b/>
                <w:bCs/>
                <w:color w:val="0D9488"/>
                <w:sz w:val="20"/>
                <w:szCs w:val="20"/>
              </w:rPr>
              <w:t xml:space="preserve">Close strong: </w:t>
            </w:r>
            <w:r>
              <w:rPr>
                <w:rFonts w:ascii="Arial" w:cs="Arial" w:eastAsia="Arial" w:hAnsi="Arial"/>
                <w:color w:val="333333"/>
                <w:sz w:val="20"/>
                <w:szCs w:val="20"/>
              </w:rPr>
              <w:t xml:space="preserve">End on the human element. This is about children and families, not technology.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366F1" w:sz="2"/>
              <w:right w:val="none" w:sz="0"/>
            </w:tcBorders>
            <w:tcMar>
              <w:top w:type="dxa" w:w="0"/>
              <w:left w:type="dxa" w:w="0"/>
              <w:bottom w:type="dxa" w:w="0"/>
              <w:right w:type="dxa" w:w="0"/>
            </w:tcMar>
          </w:tcPr>
          <w:p>
            <w:pPr>
              <w:spacing w:before="0" w:after="0"/>
            </w:pPr>
          </w:p>
        </w:tc>
      </w:tr>
    </w:tbl>
    <w:p>
      <w:pPr>
        <w:spacing w:before="40" w:after="0"/>
      </w:pPr>
    </w:p>
    <w:p>
      <w:pPr>
        <w:pStyle w:val="Heading2"/>
      </w:pPr>
      <w:r>
        <w:t xml:space="preserve">If Becky Asks...</w:t>
      </w:r>
    </w:p>
    <w:p>
      <w:pPr>
        <w:spacing w:before="80" w:after="80"/>
      </w:pPr>
      <w:r>
        <w:rPr>
          <w:rFonts w:ascii="Arial" w:cs="Arial" w:eastAsia="Arial" w:hAnsi="Arial"/>
          <w:color w:val="333333"/>
          <w:sz w:val="22"/>
          <w:szCs w:val="22"/>
        </w:rPr>
        <w:t xml:space="preserve">Be ready for these likely questions: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6366F1"/>
                <w:sz w:val="18"/>
                <w:szCs w:val="18"/>
              </w:rPr>
              <w:t xml:space="preserve">She Might Ask...</w:t>
            </w:r>
          </w:p>
        </w:tc>
        <w:tc>
          <w:tcPr>
            <w:tcW w:type="dxa" w:w="5360"/>
            <w:tcBorders>
              <w:top w:val="single" w:color="DDDDDD" w:sz="1"/>
              <w:left w:val="single" w:color="DDDDDD" w:sz="1"/>
              <w:bottom w:val="single" w:color="DDDDDD" w:sz="1"/>
              <w:right w:val="single" w:color="DDDDDD" w:sz="1"/>
            </w:tcBorders>
            <w:shd w:fill="EEF2FF" w:val="clear"/>
            <w:tcMar>
              <w:top w:type="dxa" w:w="80"/>
              <w:left w:type="dxa" w:w="120"/>
              <w:bottom w:type="dxa" w:w="80"/>
              <w:right w:type="dxa" w:w="120"/>
            </w:tcMar>
          </w:tcPr>
          <w:p>
            <w:r>
              <w:rPr>
                <w:rFonts w:ascii="Arial" w:cs="Arial" w:eastAsia="Arial" w:hAnsi="Arial"/>
                <w:b/>
                <w:bCs/>
                <w:color w:val="6366F1"/>
                <w:sz w:val="18"/>
                <w:szCs w:val="18"/>
              </w:rPr>
              <w:t xml:space="preserve">Your Answer</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"Is this real data or a demo?"</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"The structure is real: the 750+ terms, the 3D map, the clustering, the evidence sources. For SYNGAP1 specifically, the trend data is synthetic because we just added it. The clinical trials and PubMed data you see are live and real."</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"How many diseases can this track?"</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"Right now we have 750+ terms across 20 categories. But the system is designed to scale. Any rare disease can be added to the taxonomy and have all eight intelligence layers activated automatically."</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"Who is this for?"</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"Patient advocacy groups, rare disease foundations, pharma companies doing competitive intelligence, policymakers looking at health equity gaps, and researchers trying to understand what patients actually need."</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"Where does the search data come from?"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"Google Trends via SerpAPI, which gives us normalized search interest data. We also capture People Also Ask questions and autocomplete suggestions. This is all aggregated and anonymized by Google."</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"What's the 2am anxiety thing?"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"We track hourly search patterns. For many oncology terms, search volume spikes between 11pm and 4am. That's a parent who can't sleep, searching for answers. We call it the vulnerability window."</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366F1" w:sz="2"/>
              <w:right w:val="none" w:sz="0"/>
            </w:tcBorders>
            <w:tcMar>
              <w:top w:type="dxa" w:w="0"/>
              <w:left w:type="dxa" w:w="0"/>
              <w:bottom w:type="dxa" w:w="0"/>
              <w:right w:type="dxa" w:w="0"/>
            </w:tcMar>
          </w:tcPr>
          <w:p>
            <w:pPr>
              <w:spacing w:before="0" w:after="0"/>
            </w:pPr>
          </w:p>
        </w:tc>
      </w:tr>
    </w:tbl>
    <w:p>
      <w:pPr>
        <w:spacing w:before="40" w:after="0"/>
      </w:pPr>
    </w:p>
    <w:p>
      <w:pPr>
        <w:spacing w:before="200" w:after="100"/>
        <w:jc w:val="center"/>
      </w:pPr>
      <w:r>
        <w:rPr>
          <w:rFonts w:ascii="Arial" w:cs="Arial" w:eastAsia="Arial" w:hAnsi="Arial"/>
          <w:i/>
          <w:iCs/>
          <w:color w:val="666666"/>
          <w:sz w:val="20"/>
          <w:szCs w:val="20"/>
        </w:rPr>
        <w:t xml:space="preserve">End of Demo Script</w:t>
      </w:r>
    </w:p>
    <w:p>
      <w:pPr>
        <w:spacing w:before="40" w:after="40"/>
        <w:jc w:val="center"/>
      </w:pPr>
      <w:r>
        <w:rPr>
          <w:rFonts w:ascii="Arial" w:cs="Arial" w:eastAsia="Arial" w:hAnsi="Arial"/>
          <w:color w:val="666666"/>
          <w:sz w:val="18"/>
          <w:szCs w:val="18"/>
        </w:rPr>
        <w:t xml:space="preserve">SuperTruth Inc. </w:t>
      </w:r>
      <w:r>
        <w:rPr>
          <w:rFonts w:ascii="Arial" w:cs="Arial" w:eastAsia="Arial" w:hAnsi="Arial"/>
          <w:color w:val="DDDDDD"/>
          <w:sz w:val="18"/>
          <w:szCs w:val="18"/>
        </w:rPr>
        <w:t xml:space="preserve"> | </w:t>
      </w:r>
      <w:r>
        <w:rPr>
          <w:rFonts w:ascii="Arial" w:cs="Arial" w:eastAsia="Arial" w:hAnsi="Arial"/>
          <w:color w:val="6366F1"/>
          <w:sz w:val="18"/>
          <w:szCs w:val="18"/>
        </w:rPr>
        <w:t xml:space="preserve"> VIOLET v0.1.0</w:t>
      </w:r>
      <w:r>
        <w:rPr>
          <w:rFonts w:ascii="Arial" w:cs="Arial" w:eastAsia="Arial" w:hAnsi="Arial"/>
          <w:color w:val="DDDDDD"/>
          <w:sz w:val="18"/>
          <w:szCs w:val="18"/>
        </w:rPr>
        <w:t xml:space="preserve"> | </w:t>
      </w:r>
      <w:r>
        <w:rPr>
          <w:rFonts w:ascii="Arial" w:cs="Arial" w:eastAsia="Arial" w:hAnsi="Arial"/>
          <w:color w:val="666666"/>
          <w:sz w:val="18"/>
          <w:szCs w:val="18"/>
        </w:rPr>
        <w:t xml:space="preserve">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CONFIDENTIAL</w:t>
    </w:r>
    <w:r>
      <w:rPr>
        <w:rFonts w:ascii="Arial" w:cs="Arial" w:eastAsia="Arial" w:hAnsi="Arial"/>
        <w:color w:val="666666"/>
        <w:sz w:val="16"/>
        <w:szCs w:val="16"/>
      </w:rPr>
      <w:t xml:space="preserve">  |  SuperTruth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366F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2026-02-11T10:52:37.327Z</dcterms:created>
  <dcterms:modified xsi:type="dcterms:W3CDTF">2026-02-11T10:52:37.327Z</dcterms:modified>
</cp:coreProperties>
</file>

<file path=docProps/custom.xml><?xml version="1.0" encoding="utf-8"?>
<Properties xmlns="http://schemas.openxmlformats.org/officeDocument/2006/custom-properties" xmlns:vt="http://schemas.openxmlformats.org/officeDocument/2006/docPropsVTypes"/>
</file>