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智能工业-专利技术交底书-压装曲线</w:t>
      </w:r>
    </w:p>
    <w:p>
      <w:pPr>
        <w:pStyle w:val="1"/>
        <w:spacing w:before="380" w:after="140" w:line="288" w:lineRule="auto"/>
        <w:ind w:left="0"/>
        <w:jc w:val="center"/>
        <w:outlineLvl w:val="0"/>
      </w:pPr>
      <w:bookmarkStart w:name="heading_0" w:id="0"/>
      <w:r>
        <w:rPr>
          <w:rFonts w:eastAsia="等线" w:ascii="Arial" w:cs="Arial" w:hAnsi="Arial"/>
          <w:b w:val="true"/>
          <w:sz w:val="36"/>
        </w:rPr>
        <w:t>专利技术交底书</w:t>
      </w:r>
      <w:bookmarkEnd w:id="0"/>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交底书注意事项：</w:t>
      </w:r>
    </w:p>
    <w:p>
      <w:pPr>
        <w:spacing w:before="120" w:after="120" w:line="288" w:lineRule="auto"/>
        <w:ind w:left="0"/>
        <w:jc w:val="left"/>
      </w:pPr>
      <w:r>
        <w:rPr>
          <w:rFonts w:eastAsia="等线" w:ascii="Arial" w:cs="Arial" w:hAnsi="Arial"/>
          <w:sz w:val="22"/>
        </w:rPr>
        <w:t>1、请保证上述信息的准确性；代理人将按照该文件提供的联系方式与交底书撰写人联系。</w:t>
      </w:r>
    </w:p>
    <w:p>
      <w:pPr>
        <w:spacing w:before="120" w:after="120" w:line="288" w:lineRule="auto"/>
        <w:ind w:left="0"/>
        <w:jc w:val="left"/>
      </w:pPr>
      <w:r>
        <w:rPr>
          <w:rFonts w:eastAsia="等线" w:ascii="Arial" w:cs="Arial" w:hAnsi="Arial"/>
          <w:sz w:val="22"/>
        </w:rPr>
        <w:t>2、代理人并不是技术专家，交底书要使代理人能看懂，尤其是背景技术和详细技术方案，一定要写得全面、清楚、完整。</w:t>
      </w:r>
    </w:p>
    <w:p>
      <w:pPr>
        <w:spacing w:before="120" w:after="120" w:line="288" w:lineRule="auto"/>
        <w:ind w:left="0"/>
        <w:jc w:val="left"/>
      </w:pPr>
      <w:r>
        <w:rPr>
          <w:rFonts w:eastAsia="等线" w:ascii="Arial" w:cs="Arial" w:hAnsi="Arial"/>
          <w:sz w:val="22"/>
        </w:rPr>
        <w:t>3、全文对同一事物的叫法应统一，避免出现一种事物多种名称。</w:t>
      </w:r>
    </w:p>
    <w:p>
      <w:pPr>
        <w:spacing w:before="120" w:after="120" w:line="288" w:lineRule="auto"/>
        <w:ind w:left="0"/>
        <w:jc w:val="left"/>
      </w:pPr>
      <w:r>
        <w:rPr>
          <w:rFonts w:eastAsia="等线" w:ascii="Arial" w:cs="Arial" w:hAnsi="Arial"/>
          <w:sz w:val="22"/>
        </w:rPr>
        <w:t>4、提案名称必填。</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1.提案名称</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一种基于LSTM的压装工艺质量的曲线模型判异方法</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2.发明人姓名</w:t>
            </w:r>
            <w:r>
              <w:rPr>
                <w:rFonts w:eastAsia="等线" w:ascii="Arial" w:cs="Arial" w:hAnsi="Arial"/>
                <w:sz w:val="22"/>
              </w:rPr>
              <w:t xml:space="preserve"> </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罗雅晨 葛蕊 李嘉怡 赵鹏</w:t>
            </w:r>
            <w:r>
              <w:t>罗雅晨,葛蕊,李嘉怡,赵鹏</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3.缩略语和关键术语定义</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LSTM（Long Short-Term Memory）</w:t>
            </w:r>
            <w:r>
              <w:rPr>
                <w:rFonts w:eastAsia="等线" w:ascii="Arial" w:cs="Arial" w:hAnsi="Arial"/>
                <w:sz w:val="22"/>
              </w:rPr>
              <w:t>：长短期记忆网络，是一种深度学习神经网络架构，用于处理时间序列数据，擅长捕捉长序列中的依赖关系。</w:t>
            </w:r>
          </w:p>
          <w:p>
            <w:pPr>
              <w:spacing w:before="120" w:after="120" w:line="288" w:lineRule="auto"/>
              <w:ind w:left="0"/>
              <w:jc w:val="left"/>
            </w:pPr>
            <w:r>
              <w:rPr>
                <w:rFonts w:eastAsia="等线" w:ascii="Arial" w:cs="Arial" w:hAnsi="Arial"/>
                <w:b w:val="true"/>
                <w:sz w:val="22"/>
              </w:rPr>
              <w:t>Pipeline</w:t>
            </w:r>
            <w:r>
              <w:rPr>
                <w:rFonts w:eastAsia="等线" w:ascii="Arial" w:cs="Arial" w:hAnsi="Arial"/>
                <w:sz w:val="22"/>
              </w:rPr>
              <w:t>：指将数据处理、特征提取、模型训练、评估与部署等多个阶段按顺序串联、自动化执行的工作流。</w:t>
            </w:r>
          </w:p>
          <w:p>
            <w:pPr>
              <w:spacing w:before="120" w:after="120" w:line="288" w:lineRule="auto"/>
              <w:ind w:left="0"/>
              <w:jc w:val="left"/>
            </w:pPr>
            <w:r>
              <w:rPr>
                <w:rFonts w:eastAsia="等线" w:ascii="Arial" w:cs="Arial" w:hAnsi="Arial"/>
                <w:b w:val="true"/>
                <w:sz w:val="22"/>
              </w:rPr>
              <w:t>张量（Tensor）</w:t>
            </w:r>
            <w:r>
              <w:rPr>
                <w:rFonts w:eastAsia="等线" w:ascii="Arial" w:cs="Arial" w:hAnsi="Arial"/>
                <w:sz w:val="22"/>
              </w:rPr>
              <w:t>：多维数组的统称，是标量、向量、矩阵及更高阶数据的统一抽象和计算载体，深度学习框架中的基本数据结构。</w:t>
            </w:r>
          </w:p>
          <w:p>
            <w:pPr>
              <w:spacing w:before="120" w:after="120" w:line="288" w:lineRule="auto"/>
              <w:ind w:left="0"/>
              <w:jc w:val="left"/>
            </w:pPr>
            <w:r>
              <w:rPr>
                <w:rFonts w:eastAsia="等线" w:ascii="Arial" w:cs="Arial" w:hAnsi="Arial"/>
                <w:b w:val="true"/>
                <w:sz w:val="22"/>
              </w:rPr>
              <w:t>边缘端计算设备（Edge Computing Device）</w:t>
            </w:r>
            <w:r>
              <w:rPr>
                <w:rFonts w:eastAsia="等线" w:ascii="Arial" w:cs="Arial" w:hAnsi="Arial"/>
                <w:sz w:val="22"/>
              </w:rPr>
              <w:t>：部署在靠近数据源或终端的硬件节点，可在本地完成数据预处理、分析或推理，以降低延迟和带宽消耗。</w:t>
            </w:r>
          </w:p>
          <w:p>
            <w:pPr>
              <w:spacing w:before="120" w:after="120" w:line="288" w:lineRule="auto"/>
              <w:ind w:left="0"/>
              <w:jc w:val="left"/>
            </w:pPr>
            <w:r>
              <w:rPr>
                <w:rFonts w:eastAsia="等线" w:ascii="Arial" w:cs="Arial" w:hAnsi="Arial"/>
                <w:b w:val="true"/>
                <w:sz w:val="22"/>
              </w:rPr>
              <w:t>MES（Manufacturing Execution System）</w:t>
            </w:r>
            <w:r>
              <w:rPr>
                <w:rFonts w:eastAsia="等线" w:ascii="Arial" w:cs="Arial" w:hAnsi="Arial"/>
                <w:sz w:val="22"/>
              </w:rPr>
              <w:t>：制造执行系统，实时追踪和记录从原材料到成品的生产全过程，为生产调度、质量管理和追溯提供决策支持。</w:t>
            </w:r>
          </w:p>
          <w:p>
            <w:pPr>
              <w:spacing w:before="120" w:after="120" w:line="288" w:lineRule="auto"/>
              <w:ind w:left="0"/>
              <w:jc w:val="left"/>
            </w:pPr>
            <w:r>
              <w:rPr>
                <w:rFonts w:eastAsia="等线" w:ascii="Arial" w:cs="Arial" w:hAnsi="Arial"/>
                <w:b w:val="true"/>
                <w:sz w:val="22"/>
              </w:rPr>
              <w:t>PLC（Programmable Logic Controller）</w:t>
            </w:r>
            <w:r>
              <w:rPr>
                <w:rFonts w:eastAsia="等线" w:ascii="Arial" w:cs="Arial" w:hAnsi="Arial"/>
                <w:sz w:val="22"/>
              </w:rPr>
              <w:t>：可编程逻辑控制器，用于接收输入、执行逻辑/定时/算术等指令并驱动输出，以实现自动化控制。</w:t>
            </w:r>
          </w:p>
          <w:p>
            <w:pPr>
              <w:spacing w:before="120" w:after="120" w:line="288" w:lineRule="auto"/>
              <w:ind w:left="0"/>
              <w:jc w:val="left"/>
            </w:pPr>
            <w:r>
              <w:rPr>
                <w:rFonts w:eastAsia="等线" w:ascii="Arial" w:cs="Arial" w:hAnsi="Arial"/>
                <w:b w:val="true"/>
                <w:sz w:val="22"/>
              </w:rPr>
              <w:t>工控机（Industrial PC，IPC）</w:t>
            </w:r>
            <w:r>
              <w:rPr>
                <w:rFonts w:eastAsia="等线" w:ascii="Arial" w:cs="Arial" w:hAnsi="Arial"/>
                <w:sz w:val="22"/>
              </w:rPr>
              <w:t>：为工业现场控制与监测而设计的计算机，具备强化的防护、耐环境干扰和持续运行能力，用于采集和处理现场数据。</w:t>
            </w:r>
          </w:p>
          <w:p>
            <w:pPr>
              <w:spacing w:before="120" w:after="120" w:line="288" w:lineRule="auto"/>
              <w:ind w:left="0"/>
              <w:jc w:val="left"/>
            </w:pPr>
            <w:r>
              <w:rPr>
                <w:rFonts w:eastAsia="等线" w:ascii="Arial" w:cs="Arial" w:hAnsi="Arial"/>
                <w:b w:val="true"/>
                <w:sz w:val="22"/>
              </w:rPr>
              <w:t>压装（Press-Fit/Interference Fit）</w:t>
            </w:r>
            <w:r>
              <w:rPr>
                <w:rFonts w:eastAsia="等线" w:ascii="Arial" w:cs="Arial" w:hAnsi="Arial"/>
                <w:sz w:val="22"/>
              </w:rPr>
              <w:t>：通过机械压力将尺寸略大的零件强行装配入略小的配合件中，利用过盈产生的摩擦力实现紧固连接的工艺。</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4.现有技术方案及缺陷</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现有技术中，针对压装曲线的分析与判异，已有多种方法尝试提升判断的准确性和自动化程度。例如，CN119397181A提出了一种基于规则模型的压装曲线分析方法，通过设定压装力与位移的最大值、最小值、斜率等特征参数的阈值，来判断压装过程是否合格。然而，该方法依赖预设的固定阈值，无法根据不同工况或产品的变化自动调整判断标准，导致在实际应用中需要频繁人工干预。此外，规则模型难以捕捉复杂的异常模式，如多峰值、波动性强的曲线等，容易出现误判或漏判。该方法仅关注曲线的极值等少数特征点，未能充分利用整个压装过程的曲线数据，限制了分析的全面性。</w:t>
            </w:r>
          </w:p>
          <w:p>
            <w:pPr>
              <w:spacing w:before="120" w:after="120" w:line="288" w:lineRule="auto"/>
              <w:ind w:left="0"/>
              <w:jc w:val="left"/>
            </w:pPr>
            <w:r>
              <w:rPr>
                <w:rFonts w:eastAsia="等线" w:ascii="Arial" w:cs="Arial" w:hAnsi="Arial"/>
                <w:sz w:val="22"/>
              </w:rPr>
              <w:t>CN119441663A引入了人工智能技术，通过移动公差构建包络曲线，自动生成判断窗口，以提高压装曲线的判异效率。尽管引入了AI技术，但其核心仍是基于公差的判断模型，未能突破传统方法的局限性。该方法主要适用于正常波动范围内的曲线，对于突发性异常或非典型模式的识别能力有限。</w:t>
            </w:r>
          </w:p>
          <w:p>
            <w:pPr>
              <w:spacing w:before="120" w:after="120" w:line="288" w:lineRule="auto"/>
              <w:ind w:left="0"/>
              <w:jc w:val="left"/>
            </w:pPr>
            <w:r>
              <w:rPr>
                <w:rFonts w:eastAsia="等线" w:ascii="Arial" w:cs="Arial" w:hAnsi="Arial"/>
                <w:sz w:val="22"/>
              </w:rPr>
              <w:t>CN112016216A提出了通过滑动窗口计算曲线斜率变化，结合阈值判断拐点位置的方法，以识别压装过程中的关键变化点。该方法对滑动窗口的大小和阈值设置高度敏感，稍有不当即可能导致拐点识别不准确。在实际应用中，需要人工根据不同产品和工况调整参数，增加了操作复杂性和人为误差。此外，该方法缺乏自适应机制，难以应对压装过程中的动态变化，限制了其在复杂工况下的应用。</w:t>
            </w:r>
          </w:p>
          <w:p>
            <w:pPr>
              <w:spacing w:before="120" w:after="120" w:line="288" w:lineRule="auto"/>
              <w:ind w:left="0"/>
              <w:jc w:val="left"/>
            </w:pPr>
            <w:r>
              <w:rPr>
                <w:rFonts w:eastAsia="等线" w:ascii="Arial" w:cs="Arial" w:hAnsi="Arial"/>
                <w:sz w:val="22"/>
              </w:rPr>
              <w:t>综上所述，现有技术方案在压装曲线的分析与判异方面存在自适应能力差、异常模式识别能力弱、对人工依赖性强等问题，难以满足现代制造业对高精度、高效率和智能化的要求。</w:t>
            </w:r>
          </w:p>
          <w:p>
            <w:pPr>
              <w:spacing w:before="120" w:after="120" w:line="288" w:lineRule="auto"/>
              <w:ind w:left="0"/>
              <w:jc w:val="left"/>
            </w:pP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5.本发明所要解决的技术问题（发明目的）</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鉴于以上所述现有技术的缺点，本发明在此基础上，提出了一种基于深度学习的压装曲线分析方法，通过引入长短期记忆网络（LSTM）模型，能够自动学习压装过程中的时序特征，实现对复杂异常模式的准确识别，并具备良好的自适应能力，可以通过边缘端计算设备直接部署在产线，实时反馈模型判异结果，将预警信息推送告知产线一线人员，显著提升了压装质量的判异水平。</w:t>
            </w:r>
          </w:p>
          <w:p>
            <w:pPr>
              <w:spacing w:before="120" w:after="120" w:line="288" w:lineRule="auto"/>
              <w:ind w:left="0"/>
              <w:jc w:val="left"/>
            </w:pP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6.本发明完整的技术方案</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发明涉及一种基于LSTM自编码器的压装曲线智能判异方法，旨在解决现有压装曲线异常检测方法中对特征提取人工依赖度高、建模能力弱、实时性不足的问题。本发明通过数据采集、解析、样本构建、模型训练与推理部署的pipeline，建立了从产线原始数据到异常判定实时推送的闭环系统，首次实现了在工业产线现场将LSTM模型应用于压装曲线的二维数据分析，并实时反馈判异结果。</w:t>
            </w:r>
          </w:p>
          <w:p>
            <w:pPr>
              <w:spacing w:before="120" w:after="120" w:line="288" w:lineRule="auto"/>
              <w:ind w:left="0"/>
              <w:jc w:val="left"/>
            </w:pPr>
            <w:r>
              <w:rPr>
                <w:rFonts w:eastAsia="等线" w:ascii="Arial" w:cs="Arial" w:hAnsi="Arial"/>
                <w:sz w:val="22"/>
              </w:rPr>
              <w:t>本发明的整体技术流程包括如下模块：</w:t>
            </w:r>
          </w:p>
          <w:p>
            <w:pPr>
              <w:spacing w:before="120" w:after="120" w:line="288" w:lineRule="auto"/>
              <w:ind w:left="0"/>
              <w:jc w:val="left"/>
            </w:pPr>
            <w:r>
              <w:rPr>
                <w:rFonts w:eastAsia="等线" w:ascii="Arial" w:cs="Arial" w:hAnsi="Arial"/>
                <w:b w:val="true"/>
                <w:sz w:val="22"/>
              </w:rPr>
              <w:t>1. 数据采集模块</w:t>
            </w:r>
          </w:p>
          <w:p>
            <w:pPr>
              <w:spacing w:before="120" w:after="120" w:line="288" w:lineRule="auto"/>
              <w:ind w:left="0"/>
              <w:jc w:val="left"/>
            </w:pPr>
            <w:r>
              <w:rPr>
                <w:rFonts w:eastAsia="等线" w:ascii="Arial" w:cs="Arial" w:hAnsi="Arial"/>
                <w:sz w:val="22"/>
              </w:rPr>
              <w:t>在压装产线工位旁部署边缘计算设备，边缘设备通过通信接口连接工控机，实时批量获取压装设备输出的原始压装曲线数据。所采集的数据通常以CSV格式存储，包含压装过程中的多个时间步长数据。数据采集模块确保了数据的实时性与完整性，并支持批量存储与后续处理调用。</w:t>
            </w:r>
          </w:p>
          <w:p>
            <w:pPr>
              <w:spacing w:before="120" w:after="120" w:line="288" w:lineRule="auto"/>
              <w:ind w:left="0"/>
              <w:jc w:val="left"/>
            </w:pPr>
            <w:r>
              <w:rPr>
                <w:rFonts w:eastAsia="等线" w:ascii="Arial" w:cs="Arial" w:hAnsi="Arial"/>
                <w:b w:val="true"/>
                <w:sz w:val="22"/>
              </w:rPr>
              <w:t>2. 预处理模块</w:t>
            </w:r>
          </w:p>
          <w:p>
            <w:pPr>
              <w:spacing w:before="120" w:after="120" w:line="288" w:lineRule="auto"/>
              <w:ind w:left="0"/>
              <w:jc w:val="left"/>
            </w:pPr>
            <w:r>
              <w:rPr>
                <w:rFonts w:eastAsia="等线" w:ascii="Arial" w:cs="Arial" w:hAnsi="Arial"/>
                <w:sz w:val="22"/>
              </w:rPr>
              <w:t>该模块负责对采集到的原始数据进行解析与预处理。具体步骤如下：</w:t>
            </w:r>
          </w:p>
          <w:p>
            <w:pPr>
              <w:numPr>
                <w:numId w:val="1"/>
              </w:numPr>
              <w:spacing w:before="120" w:after="120" w:line="288" w:lineRule="auto"/>
              <w:ind w:left="0"/>
              <w:jc w:val="left"/>
            </w:pPr>
            <w:r>
              <w:rPr>
                <w:rFonts w:eastAsia="等线" w:ascii="Arial" w:cs="Arial" w:hAnsi="Arial"/>
                <w:sz w:val="22"/>
              </w:rPr>
              <w:t>解析原始CSV文件，提取零件名、工位、文件生成时间等零部件生产的基础数据，以及时间戳、压装位移、压装压力三列关键数据。</w:t>
            </w:r>
          </w:p>
          <w:p>
            <w:pPr>
              <w:numPr>
                <w:numId w:val="2"/>
              </w:numPr>
              <w:spacing w:before="120" w:after="120" w:line="288" w:lineRule="auto"/>
              <w:ind w:left="0"/>
              <w:jc w:val="left"/>
            </w:pPr>
            <w:r>
              <w:rPr>
                <w:rFonts w:eastAsia="等线" w:ascii="Arial" w:cs="Arial" w:hAnsi="Arial"/>
                <w:sz w:val="22"/>
              </w:rPr>
              <w:t>针对每个零件编号，统计其压装曲线的时间序列长度分布，计算95%分位数，定义为标准序列长度L。</w:t>
            </w:r>
          </w:p>
          <w:p>
            <w:pPr>
              <w:numPr>
                <w:numId w:val="3"/>
              </w:numPr>
              <w:spacing w:before="120" w:after="120" w:line="288" w:lineRule="auto"/>
              <w:ind w:left="0"/>
              <w:jc w:val="left"/>
            </w:pPr>
            <w:r>
              <w:rPr>
                <w:rFonts w:eastAsia="等线" w:ascii="Arial" w:cs="Arial" w:hAnsi="Arial"/>
                <w:sz w:val="22"/>
              </w:rPr>
              <w:t>对于长度小于L的序列，采用零填充或前向复制方式进行填补；对于长度大于L的序列，按时间顺序截断保留前L个数据点。</w:t>
            </w:r>
          </w:p>
          <w:p>
            <w:pPr>
              <w:numPr>
                <w:numId w:val="4"/>
              </w:numPr>
              <w:spacing w:before="120" w:after="120" w:line="288" w:lineRule="auto"/>
              <w:ind w:left="0"/>
              <w:jc w:val="left"/>
            </w:pPr>
            <w:r>
              <w:rPr>
                <w:rFonts w:eastAsia="等线" w:ascii="Arial" w:cs="Arial" w:hAnsi="Arial"/>
                <w:sz w:val="22"/>
              </w:rPr>
              <w:t>完成填充或截断后，将每条压装曲线标准化为统一长度，形成二维矩阵（时间步 × 特征数）样本，作为后续模型输入。</w:t>
            </w:r>
          </w:p>
          <w:p>
            <w:pPr>
              <w:spacing w:before="120" w:after="120" w:line="288" w:lineRule="auto"/>
              <w:ind w:left="0"/>
              <w:jc w:val="left"/>
            </w:pPr>
            <w:r>
              <w:rPr>
                <w:rFonts w:eastAsia="等线" w:ascii="Arial" w:cs="Arial" w:hAnsi="Arial"/>
                <w:sz w:val="22"/>
              </w:rPr>
              <w:t>本发明中，模型的输入数据──压力-位移二维数据矩阵可视为一个形状为 L×2的张量，其中第一维 L 表示经95%分位裁剪或填充后的标准序列长度，第二维的两个元素分别对应同一时间步长下的压装压力和压装位移特征。通过上述标准化处理，本发明保证了不同零件、不同压装工艺参数下数据的一致性与可比性，为深度学习建模打下基础。</w:t>
            </w:r>
          </w:p>
          <w:p>
            <w:pPr>
              <w:spacing w:before="120" w:after="120" w:line="288" w:lineRule="auto"/>
              <w:ind w:left="0"/>
              <w:jc w:val="left"/>
            </w:pPr>
            <w:r>
              <w:rPr>
                <w:rFonts w:eastAsia="等线" w:ascii="Arial" w:cs="Arial" w:hAnsi="Arial"/>
                <w:b w:val="true"/>
                <w:sz w:val="22"/>
              </w:rPr>
              <w:t>3. 模型训练模块</w:t>
            </w:r>
          </w:p>
          <w:p>
            <w:pPr>
              <w:spacing w:before="120" w:after="120" w:line="288" w:lineRule="auto"/>
              <w:ind w:left="0"/>
              <w:jc w:val="left"/>
            </w:pPr>
            <w:r>
              <w:rPr>
                <w:rFonts w:eastAsia="等线" w:ascii="Arial" w:cs="Arial" w:hAnsi="Arial"/>
                <w:sz w:val="22"/>
              </w:rPr>
              <w:t>本模块负责在云端服务器或本地高性能工作站上搭建并训练压装曲线异常检测模型。具体包括：</w:t>
            </w:r>
          </w:p>
          <w:p>
            <w:pPr>
              <w:numPr>
                <w:numId w:val="5"/>
              </w:numPr>
              <w:spacing w:before="120" w:after="120" w:line="288" w:lineRule="auto"/>
              <w:ind w:left="0"/>
              <w:jc w:val="left"/>
            </w:pPr>
            <w:r>
              <w:rPr>
                <w:rFonts w:eastAsia="等线" w:ascii="Arial" w:cs="Arial" w:hAnsi="Arial"/>
                <w:sz w:val="22"/>
              </w:rPr>
              <w:t>采用PyTorch框架，搭建LSTM自编码器（LSTM Autoencoder）模型，包含一组编码器与对应的解码器网络。</w:t>
            </w:r>
          </w:p>
          <w:p>
            <w:pPr>
              <w:numPr>
                <w:numId w:val="6"/>
              </w:numPr>
              <w:spacing w:before="120" w:after="120" w:line="288" w:lineRule="auto"/>
              <w:ind w:left="0"/>
              <w:jc w:val="left"/>
            </w:pPr>
            <w:r>
              <w:rPr>
                <w:rFonts w:eastAsia="等线" w:ascii="Arial" w:cs="Arial" w:hAnsi="Arial"/>
                <w:sz w:val="22"/>
              </w:rPr>
              <w:t>编码器接收标准化后的压装曲线样本，将其压缩为低维隐状态向量；解码器根据隐状态向量尝试重建原始曲线数据。</w:t>
            </w:r>
          </w:p>
          <w:p>
            <w:pPr>
              <w:numPr>
                <w:numId w:val="7"/>
              </w:numPr>
              <w:spacing w:before="120" w:after="120" w:line="288" w:lineRule="auto"/>
              <w:ind w:left="0"/>
              <w:jc w:val="left"/>
            </w:pPr>
            <w:r>
              <w:rPr>
                <w:rFonts w:eastAsia="等线" w:ascii="Arial" w:cs="Arial" w:hAnsi="Arial"/>
                <w:sz w:val="22"/>
              </w:rPr>
              <w:t>以输入曲线与重建曲线之间的重构误差（如均方误差）作为损失函数，优化模型参数，促使模型学习正常压装过程的典型模式。</w:t>
            </w:r>
          </w:p>
          <w:p>
            <w:pPr>
              <w:numPr>
                <w:numId w:val="8"/>
              </w:numPr>
              <w:spacing w:before="120" w:after="120" w:line="288" w:lineRule="auto"/>
              <w:ind w:left="0"/>
              <w:jc w:val="left"/>
            </w:pPr>
            <w:r>
              <w:rPr>
                <w:rFonts w:eastAsia="等线" w:ascii="Arial" w:cs="Arial" w:hAnsi="Arial"/>
                <w:sz w:val="22"/>
              </w:rPr>
              <w:t>训练过程中采用正常样本，训练完成后导出两部分成果：一是保存的训练完成的模型文件（如model.onnx文件），二是包含标准序列长度L与填充策略的配置文件（如config.json文件）。</w:t>
            </w:r>
          </w:p>
          <w:p>
            <w:pPr>
              <w:spacing w:before="120" w:after="120" w:line="288" w:lineRule="auto"/>
              <w:ind w:left="0"/>
              <w:jc w:val="left"/>
            </w:pPr>
            <w:r>
              <w:rPr>
                <w:rFonts w:eastAsia="等线" w:ascii="Arial" w:cs="Arial" w:hAnsi="Arial"/>
                <w:sz w:val="22"/>
              </w:rPr>
              <w:t>该模块使模型具备了对整条压装曲线序列特征的建模与重构能力，为异常判别提供基础。</w:t>
            </w:r>
          </w:p>
          <w:p>
            <w:pPr>
              <w:spacing w:before="120" w:after="120" w:line="288" w:lineRule="auto"/>
              <w:ind w:left="0"/>
              <w:jc w:val="left"/>
            </w:pPr>
            <w:r>
              <w:rPr>
                <w:rFonts w:eastAsia="等线" w:ascii="Arial" w:cs="Arial" w:hAnsi="Arial"/>
                <w:b w:val="true"/>
                <w:sz w:val="22"/>
              </w:rPr>
              <w:t>4. 模型推理模块</w:t>
            </w:r>
          </w:p>
          <w:p>
            <w:pPr>
              <w:spacing w:before="120" w:after="120" w:line="288" w:lineRule="auto"/>
              <w:ind w:left="0"/>
              <w:jc w:val="left"/>
            </w:pPr>
            <w:r>
              <w:rPr>
                <w:rFonts w:eastAsia="等线" w:ascii="Arial" w:cs="Arial" w:hAnsi="Arial"/>
                <w:sz w:val="22"/>
              </w:rPr>
              <w:t>本模块部署在产线边缘端，负责执行已训练好的模型并进行实时判异。具体步骤包括：</w:t>
            </w:r>
          </w:p>
          <w:p>
            <w:pPr>
              <w:numPr>
                <w:numId w:val="9"/>
              </w:numPr>
              <w:spacing w:before="120" w:after="120" w:line="288" w:lineRule="auto"/>
              <w:ind w:left="0"/>
              <w:jc w:val="left"/>
            </w:pPr>
            <w:r>
              <w:rPr>
                <w:rFonts w:eastAsia="等线" w:ascii="Arial" w:cs="Arial" w:hAnsi="Arial"/>
                <w:sz w:val="22"/>
              </w:rPr>
              <w:t>将训练好的模型转化为边缘端可执行格式，确保推理过程高效、低延迟。</w:t>
            </w:r>
          </w:p>
          <w:p>
            <w:pPr>
              <w:numPr>
                <w:numId w:val="10"/>
              </w:numPr>
              <w:spacing w:before="120" w:after="120" w:line="288" w:lineRule="auto"/>
              <w:ind w:left="0"/>
              <w:jc w:val="left"/>
            </w:pPr>
            <w:r>
              <w:rPr>
                <w:rFonts w:eastAsia="等线" w:ascii="Arial" w:cs="Arial" w:hAnsi="Arial"/>
                <w:sz w:val="22"/>
              </w:rPr>
              <w:t>加载config.json文件，依据标准长度L及填充规则，对实时采集的新曲线数据进行预处理。</w:t>
            </w:r>
          </w:p>
          <w:p>
            <w:pPr>
              <w:numPr>
                <w:numId w:val="11"/>
              </w:numPr>
              <w:spacing w:before="120" w:after="120" w:line="288" w:lineRule="auto"/>
              <w:ind w:left="0"/>
              <w:jc w:val="left"/>
            </w:pPr>
            <w:r>
              <w:rPr>
                <w:rFonts w:eastAsia="等线" w:ascii="Arial" w:cs="Arial" w:hAnsi="Arial"/>
                <w:sz w:val="22"/>
              </w:rPr>
              <w:t>将处理后的数据输入模型，执行推理，得到压装曲线的重构输出。</w:t>
            </w:r>
          </w:p>
          <w:p>
            <w:pPr>
              <w:numPr>
                <w:numId w:val="12"/>
              </w:numPr>
              <w:spacing w:before="120" w:after="120" w:line="288" w:lineRule="auto"/>
              <w:ind w:left="0"/>
              <w:jc w:val="left"/>
            </w:pPr>
            <w:r>
              <w:rPr>
                <w:rFonts w:eastAsia="等线" w:ascii="Arial" w:cs="Arial" w:hAnsi="Arial"/>
                <w:sz w:val="22"/>
              </w:rPr>
              <w:t>计算输入曲线与重建曲线之间的重构误差，依据预先设定的异常判定阈值，判断是否存在异常。</w:t>
            </w:r>
          </w:p>
          <w:p>
            <w:pPr>
              <w:spacing w:before="120" w:after="120" w:line="288" w:lineRule="auto"/>
              <w:ind w:left="0"/>
              <w:jc w:val="left"/>
            </w:pPr>
            <w:r>
              <w:rPr>
                <w:rFonts w:eastAsia="等线" w:ascii="Arial" w:cs="Arial" w:hAnsi="Arial"/>
                <w:sz w:val="22"/>
              </w:rPr>
              <w:t>通过在边缘设备本地执行推理，本发明实现了对压装过程的即时监测与异常检测，极大地缩短了响应时间。</w:t>
            </w:r>
          </w:p>
          <w:p>
            <w:pPr>
              <w:spacing w:before="120" w:after="120" w:line="288" w:lineRule="auto"/>
              <w:ind w:left="0"/>
              <w:jc w:val="left"/>
            </w:pPr>
            <w:r>
              <w:rPr>
                <w:rFonts w:eastAsia="等线" w:ascii="Arial" w:cs="Arial" w:hAnsi="Arial"/>
                <w:b w:val="true"/>
                <w:sz w:val="22"/>
              </w:rPr>
              <w:t>5. 结果推送模块</w:t>
            </w:r>
          </w:p>
          <w:p>
            <w:pPr>
              <w:spacing w:before="120" w:after="120" w:line="288" w:lineRule="auto"/>
              <w:ind w:left="0"/>
              <w:jc w:val="left"/>
            </w:pPr>
            <w:r>
              <w:rPr>
                <w:rFonts w:eastAsia="等线" w:ascii="Arial" w:cs="Arial" w:hAnsi="Arial"/>
                <w:sz w:val="22"/>
              </w:rPr>
              <w:t>一旦推理模块检测到异常，本模块立即将判异结果通过消息系统或API接口推送至产线控制系统及操作人员界面，例如电脑Web端通知和手机App push。推送内容包括零件编号、压装时间、异常类型及相关曲线信息。产线现场人员点击推送消息，查看异常预警的明细信息，并进行“准确”/“误报”的人工标注反馈。标注后的数据用于后续模型迭代优化。</w:t>
            </w:r>
          </w:p>
          <w:p>
            <w:pPr>
              <w:spacing w:before="120" w:after="120" w:line="288" w:lineRule="auto"/>
              <w:ind w:left="0"/>
              <w:jc w:val="left"/>
            </w:pPr>
            <w:r>
              <w:rPr>
                <w:rFonts w:eastAsia="等线" w:ascii="Arial" w:cs="Arial" w:hAnsi="Arial"/>
                <w:sz w:val="22"/>
              </w:rPr>
              <w:t>该模块支持与MES、PLC等上位系统对接，便于生产管理系统实时接收与处理异常数据，指导后续工艺调整与质量追溯。</w:t>
            </w:r>
          </w:p>
          <w:p>
            <w:pPr>
              <w:spacing w:before="120" w:after="120" w:line="288" w:lineRule="auto"/>
              <w:ind w:left="0"/>
              <w:jc w:val="left"/>
            </w:pP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7.本发明的创新点/技术关键点/关键保护点及优势</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本发明与背景技术相比存在的创新点/技术关键点/关键保护点，结合本发明的元件及工作原理描述本发可实现的有益效果</w:t>
            </w:r>
          </w:p>
          <w:p>
            <w:pPr>
              <w:numPr>
                <w:numId w:val="13"/>
              </w:numPr>
              <w:spacing w:before="120" w:after="120" w:line="288" w:lineRule="auto"/>
              <w:ind w:left="0"/>
              <w:jc w:val="left"/>
            </w:pPr>
            <w:r>
              <w:rPr>
                <w:rFonts w:eastAsia="等线" w:ascii="Arial" w:cs="Arial" w:hAnsi="Arial"/>
                <w:sz w:val="22"/>
              </w:rPr>
              <w:t>生产过程判异流程创新：本发明对边缘计算设备+云端算力/本地高性能工作站的硬件，以及模型采集、训练、推理、预警的pipeline软件流程，都进行了模块化、标准化设计，模型输入与输出格式可通过统一的 config.json 管理，训练与推理代码可一键切换执行环境，方便运维人员快速上线、版本迭代和故障定位，提升了系统的可维护性和可靠性。实现AI模型在产线端的实时应用，并融入产线正常流程中，无需停产调试设备等，落地应用便捷。</w:t>
            </w:r>
          </w:p>
          <w:p>
            <w:pPr>
              <w:numPr>
                <w:numId w:val="14"/>
              </w:numPr>
              <w:spacing w:before="120" w:after="120" w:line="288" w:lineRule="auto"/>
              <w:ind w:left="0"/>
              <w:jc w:val="left"/>
            </w:pPr>
            <w:r>
              <w:rPr>
                <w:rFonts w:eastAsia="等线" w:ascii="Arial" w:cs="Arial" w:hAnsi="Arial"/>
                <w:sz w:val="22"/>
              </w:rPr>
              <w:t>深度学习模型的引入大幅提升压装曲线判异能力：模型样本库为完整的原始曲线数据，转换为二维矩阵张量输入模型训练，可自动提取多维度、长依赖的深层次特征。相对于传统的人工min-max阈值，或者拐点控制策略，从数据质量和模型本身，都有质的提升。对产线实际应用来说，有效提升缺陷零部件的检出准确率和覆盖率。</w:t>
            </w:r>
          </w:p>
          <w:p>
            <w:pPr>
              <w:numPr>
                <w:numId w:val="15"/>
              </w:numPr>
              <w:spacing w:before="120" w:after="120" w:line="288" w:lineRule="auto"/>
              <w:ind w:left="0"/>
              <w:jc w:val="left"/>
            </w:pPr>
            <w:r>
              <w:rPr>
                <w:rFonts w:eastAsia="等线" w:ascii="Arial" w:cs="Arial" w:hAnsi="Arial"/>
                <w:sz w:val="22"/>
              </w:rPr>
              <w:t>本发明方法可以快速横展至所有曲线类的生产场景：拧紧、压装等是工业制造的典型生产工艺，在各行各业均有广泛应用。本发明是一种深度学习模型应用的通用框架，对于原始数据为曲线类型的，即二维数据，可以快速应用该方式横展铺开。</w:t>
            </w:r>
          </w:p>
          <w:p>
            <w:pPr>
              <w:spacing w:before="120" w:after="120" w:line="288" w:lineRule="auto"/>
              <w:ind w:left="0"/>
              <w:jc w:val="left"/>
            </w:pP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8.本发明的技术效果</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发明通过在压装工位部署边缘计算设备并与云端/本地高性能工作站协同，围绕“数据采集→解析及预处理→LSTM模型训练→产线边缘端推理→结果推送”构建了一条零停产、实时在线的判异管线，不仅无需人工调试即可无缝融入现有产线，而且相较于传统min–max阈值或拐点规则方法，基于完整压装曲线的二维张量自动学习时序特征，大幅提升了异常零部件的检出准确率与覆盖率；同时，该通用框架可快速拓展到扭矩、温度、压力等各类曲线型工艺，实现工业智能质检的高效化、系统化和标准化。</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9.是否还有其它的相关发明</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如果本发明还存在改进发明或相关发明，请详细描述</w:t>
            </w:r>
          </w:p>
          <w:p>
            <w:pPr>
              <w:spacing w:before="120" w:after="120" w:line="288" w:lineRule="auto"/>
              <w:ind w:left="0"/>
              <w:jc w:val="left"/>
            </w:pPr>
            <w:r>
              <w:rPr>
                <w:rFonts w:eastAsia="等线" w:ascii="Arial" w:cs="Arial" w:hAnsi="Arial"/>
                <w:sz w:val="22"/>
              </w:rPr>
              <w:t>无</w:t>
            </w:r>
          </w:p>
          <w:p>
            <w:pPr>
              <w:spacing w:before="120" w:after="120" w:line="288" w:lineRule="auto"/>
              <w:ind w:left="0"/>
              <w:jc w:val="left"/>
            </w:pPr>
            <w:r>
              <w:rPr>
                <w:rFonts w:eastAsia="等线" w:ascii="Arial" w:cs="Arial" w:hAnsi="Arial"/>
                <w:sz w:val="22"/>
              </w:rPr>
              <w:t xml:space="preserve"> </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10.参考文献（如专利/论文/标准）</w:t>
            </w:r>
          </w:p>
        </w:tc>
      </w:tr>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可进入</w:t>
            </w:r>
            <w:hyperlink r:id="rId5">
              <w:r>
                <w:rPr>
                  <w:rFonts w:eastAsia="等线" w:ascii="Arial" w:cs="Arial" w:hAnsi="Arial"/>
                  <w:color w:val="3370ff"/>
                  <w:sz w:val="22"/>
                </w:rPr>
                <w:t>http://www.soopat.com</w:t>
              </w:r>
            </w:hyperlink>
            <w:r>
              <w:rPr>
                <w:rFonts w:eastAsia="等线" w:ascii="Arial" w:cs="Arial" w:hAnsi="Arial"/>
                <w:sz w:val="22"/>
              </w:rPr>
              <w:t>检索相关专利</w:t>
            </w:r>
          </w:p>
          <w:p>
            <w:pPr>
              <w:spacing w:before="120" w:after="120" w:line="288" w:lineRule="auto"/>
              <w:ind w:left="0"/>
              <w:jc w:val="left"/>
            </w:pPr>
            <w:r>
              <w:rPr>
                <w:rFonts w:eastAsia="等线" w:ascii="Arial" w:cs="Arial" w:hAnsi="Arial"/>
                <w:sz w:val="22"/>
              </w:rPr>
              <w:t>使用下方应用进行检索：</w:t>
            </w:r>
          </w:p>
          <w:p>
            <w:pPr>
              <w:spacing w:before="120" w:after="120" w:line="288" w:lineRule="auto"/>
              <w:ind w:left="0"/>
              <w:jc w:val="center"/>
            </w:pPr>
            <w:r>
              <w:drawing>
                <wp:inline distT="0" distR="0" distB="0" distL="0">
                  <wp:extent cx="5105400" cy="21145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105400" cy="2114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 xml:space="preserve"> </w:t>
            </w:r>
          </w:p>
        </w:tc>
      </w:tr>
    </w:tbl>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449184">
    <w:lvl>
      <w:numFmt w:val="bullet"/>
      <w:suff w:val="tab"/>
      <w:lvlText w:val="•"/>
      <w:rPr>
        <w:color w:val="3370ff"/>
      </w:rPr>
    </w:lvl>
  </w:abstractNum>
  <w:abstractNum w:abstractNumId="449185">
    <w:lvl>
      <w:numFmt w:val="bullet"/>
      <w:suff w:val="tab"/>
      <w:lvlText w:val="•"/>
      <w:rPr>
        <w:color w:val="3370ff"/>
      </w:rPr>
    </w:lvl>
  </w:abstractNum>
  <w:abstractNum w:abstractNumId="449186">
    <w:lvl>
      <w:numFmt w:val="bullet"/>
      <w:suff w:val="tab"/>
      <w:lvlText w:val="•"/>
      <w:rPr>
        <w:color w:val="3370ff"/>
      </w:rPr>
    </w:lvl>
  </w:abstractNum>
  <w:abstractNum w:abstractNumId="449187">
    <w:lvl>
      <w:numFmt w:val="bullet"/>
      <w:suff w:val="tab"/>
      <w:lvlText w:val="•"/>
      <w:rPr>
        <w:color w:val="3370ff"/>
      </w:rPr>
    </w:lvl>
  </w:abstractNum>
  <w:abstractNum w:abstractNumId="449188">
    <w:lvl>
      <w:numFmt w:val="bullet"/>
      <w:suff w:val="tab"/>
      <w:lvlText w:val="•"/>
      <w:rPr>
        <w:color w:val="3370ff"/>
      </w:rPr>
    </w:lvl>
  </w:abstractNum>
  <w:abstractNum w:abstractNumId="449189">
    <w:lvl>
      <w:numFmt w:val="bullet"/>
      <w:suff w:val="tab"/>
      <w:lvlText w:val="•"/>
      <w:rPr>
        <w:color w:val="3370ff"/>
      </w:rPr>
    </w:lvl>
  </w:abstractNum>
  <w:abstractNum w:abstractNumId="449190">
    <w:lvl>
      <w:numFmt w:val="bullet"/>
      <w:suff w:val="tab"/>
      <w:lvlText w:val="•"/>
      <w:rPr>
        <w:color w:val="3370ff"/>
      </w:rPr>
    </w:lvl>
  </w:abstractNum>
  <w:abstractNum w:abstractNumId="449191">
    <w:lvl>
      <w:numFmt w:val="bullet"/>
      <w:suff w:val="tab"/>
      <w:lvlText w:val="•"/>
      <w:rPr>
        <w:color w:val="3370ff"/>
      </w:rPr>
    </w:lvl>
  </w:abstractNum>
  <w:abstractNum w:abstractNumId="449192">
    <w:lvl>
      <w:numFmt w:val="bullet"/>
      <w:suff w:val="tab"/>
      <w:lvlText w:val="•"/>
      <w:rPr>
        <w:color w:val="3370ff"/>
      </w:rPr>
    </w:lvl>
  </w:abstractNum>
  <w:abstractNum w:abstractNumId="449193">
    <w:lvl>
      <w:numFmt w:val="bullet"/>
      <w:suff w:val="tab"/>
      <w:lvlText w:val="•"/>
      <w:rPr>
        <w:color w:val="3370ff"/>
      </w:rPr>
    </w:lvl>
  </w:abstractNum>
  <w:abstractNum w:abstractNumId="449194">
    <w:lvl>
      <w:numFmt w:val="bullet"/>
      <w:suff w:val="tab"/>
      <w:lvlText w:val="•"/>
      <w:rPr>
        <w:color w:val="3370ff"/>
      </w:rPr>
    </w:lvl>
  </w:abstractNum>
  <w:abstractNum w:abstractNumId="449195">
    <w:lvl>
      <w:numFmt w:val="bullet"/>
      <w:suff w:val="tab"/>
      <w:lvlText w:val="•"/>
      <w:rPr>
        <w:color w:val="3370ff"/>
      </w:rPr>
    </w:lvl>
  </w:abstractNum>
  <w:abstractNum w:abstractNumId="449196">
    <w:lvl>
      <w:start w:val="1"/>
      <w:numFmt w:val="decimal"/>
      <w:suff w:val="tab"/>
      <w:lvlText w:val="%1."/>
      <w:rPr>
        <w:color w:val="3370ff"/>
      </w:rPr>
    </w:lvl>
  </w:abstractNum>
  <w:abstractNum w:abstractNumId="449197">
    <w:lvl>
      <w:start w:val="2"/>
      <w:numFmt w:val="decimal"/>
      <w:suff w:val="tab"/>
      <w:lvlText w:val="%1."/>
      <w:rPr>
        <w:color w:val="3370ff"/>
      </w:rPr>
    </w:lvl>
  </w:abstractNum>
  <w:abstractNum w:abstractNumId="449198">
    <w:lvl>
      <w:start w:val="3"/>
      <w:numFmt w:val="decimal"/>
      <w:suff w:val="tab"/>
      <w:lvlText w:val="%1."/>
      <w:rPr>
        <w:color w:val="3370ff"/>
      </w:rPr>
    </w:lvl>
  </w:abstractNum>
  <w:num w:numId="1">
    <w:abstractNumId w:val="449184"/>
  </w:num>
  <w:num w:numId="2">
    <w:abstractNumId w:val="449185"/>
  </w:num>
  <w:num w:numId="3">
    <w:abstractNumId w:val="449186"/>
  </w:num>
  <w:num w:numId="4">
    <w:abstractNumId w:val="449187"/>
  </w:num>
  <w:num w:numId="5">
    <w:abstractNumId w:val="449188"/>
  </w:num>
  <w:num w:numId="6">
    <w:abstractNumId w:val="449189"/>
  </w:num>
  <w:num w:numId="7">
    <w:abstractNumId w:val="449190"/>
  </w:num>
  <w:num w:numId="8">
    <w:abstractNumId w:val="449191"/>
  </w:num>
  <w:num w:numId="9">
    <w:abstractNumId w:val="449192"/>
  </w:num>
  <w:num w:numId="10">
    <w:abstractNumId w:val="449193"/>
  </w:num>
  <w:num w:numId="11">
    <w:abstractNumId w:val="449194"/>
  </w:num>
  <w:num w:numId="12">
    <w:abstractNumId w:val="449195"/>
  </w:num>
  <w:num w:numId="13">
    <w:abstractNumId w:val="449196"/>
  </w:num>
  <w:num w:numId="14">
    <w:abstractNumId w:val="449197"/>
  </w:num>
  <w:num w:numId="15">
    <w:abstractNumId w:val="44919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www.soopat.com" TargetMode="External" Type="http://schemas.openxmlformats.org/officeDocument/2006/relationships/hyperlink"/><Relationship Id="rId6" Target="media/image1.png" Type="http://schemas.openxmlformats.org/officeDocument/2006/relationships/image"/><Relationship Id="rId7" Target="header1.xml" Type="http://schemas.openxmlformats.org/officeDocument/2006/relationships/header"/></Relationships>
</file>

<file path=word/_rels/header1.xml.rels><?xml version="1.0" encoding="UTF-8" standalone="no"?><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2025-04-28T01:59:55Z</dcterms:created>
  <dc:creator>Apache POI</dc:creator>
</cp:coreProperties>
</file>