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b/>
          <w:color w:val="000000"/>
          <w:sz w:val="44"/>
        </w:rPr>
        <w:t>AI 爆品参谋首期需求拆解文档</w:t>
      </w:r>
    </w:p>
    <w:p>
      <w:pPr>
        <w:spacing w:after="360"/>
      </w:pPr>
      <w:r>
        <w:rPr>
          <w:rFonts w:ascii="Microsoft YaHei" w:hAnsi="Microsoft YaHei" w:eastAsia="Microsoft YaHei"/>
          <w:color w:val="5B6873"/>
          <w:sz w:val="21"/>
        </w:rPr>
        <w:t>面向一次性电子烟产品的机会评估与证据报告系统</w:t>
      </w:r>
    </w:p>
    <w:p>
      <w:pPr>
        <w:spacing w:after="200"/>
      </w:pPr>
      <w:r>
        <w:rPr>
          <w:rFonts w:ascii="Microsoft YaHei" w:hAnsi="Microsoft YaHei" w:eastAsia="Microsoft YaHei"/>
          <w:color w:val="202B36"/>
          <w:sz w:val="20"/>
        </w:rPr>
        <w:t>本文件用于明确首期产品要解决的问题、功能边界、数据与 RAG 方案、评分逻辑和验收标准。首期产品的目标是帮助业务团队判断一个待上市成品是否值得进入验证阶段，而不是承诺预测实际销量。</w:t>
      </w:r>
    </w:p>
    <w:tbl>
      <w:tblPr>
        <w:tblW w:type="auto" w:w="0"/>
        <w:jc w:val="left"/>
        <w:tblLook w:firstColumn="1" w:firstRow="1" w:lastColumn="0" w:lastRow="0" w:noHBand="0" w:noVBand="1" w:val="04A0"/>
      </w:tblPr>
      <w:tblGrid>
        <w:gridCol w:w="5083"/>
        <w:gridCol w:w="5083"/>
      </w:tblGrid>
      <w:tr>
        <w:trPr>
          <w:tblHeader w:val="true"/>
        </w:trPr>
        <w:tc>
          <w:tcPr>
            <w:tcW w:type="dxa" w:w="5083"/>
            <w:shd w:fill="EAF2F8"/>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90" w:type="dxa"/>
              <w:start w:w="120" w:type="dxa"/>
              <w:bottom w:w="90" w:type="dxa"/>
              <w:end w:w="120" w:type="dxa"/>
            </w:tcMar>
            <w:vAlign w:val="center"/>
          </w:tcPr>
          <w:p>
            <w:pPr>
              <w:spacing w:after="0"/>
            </w:pPr>
            <w:r>
              <w:rPr>
                <w:rFonts w:ascii="Microsoft YaHei" w:hAnsi="Microsoft YaHei" w:eastAsia="Microsoft YaHei"/>
                <w:b/>
                <w:color w:val="17324D"/>
                <w:sz w:val="18"/>
              </w:rPr>
              <w:t>文档定位</w:t>
            </w:r>
          </w:p>
        </w:tc>
        <w:tc>
          <w:tcPr>
            <w:tcW w:type="dxa" w:w="5083"/>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90" w:type="dxa"/>
              <w:start w:w="120" w:type="dxa"/>
              <w:bottom w:w="90" w:type="dxa"/>
              <w:end w:w="120" w:type="dxa"/>
            </w:tcMar>
            <w:vAlign w:val="center"/>
          </w:tcPr>
          <w:p>
            <w:pPr>
              <w:spacing w:after="0"/>
            </w:pPr>
            <w:r>
              <w:rPr>
                <w:rFonts w:ascii="Microsoft YaHei" w:hAnsi="Microsoft YaHei" w:eastAsia="Microsoft YaHei"/>
                <w:color w:val="202B36"/>
                <w:sz w:val="18"/>
              </w:rPr>
              <w:t>首期产品需求拆解与研发对齐文档</w:t>
            </w:r>
          </w:p>
        </w:tc>
      </w:tr>
      <w:tr>
        <w:tc>
          <w:tcPr>
            <w:tcW w:type="dxa" w:w="5083"/>
            <w:shd w:fill="EAF2F8"/>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90" w:type="dxa"/>
              <w:start w:w="120" w:type="dxa"/>
              <w:bottom w:w="90" w:type="dxa"/>
              <w:end w:w="120" w:type="dxa"/>
            </w:tcMar>
            <w:vAlign w:val="center"/>
          </w:tcPr>
          <w:p>
            <w:pPr>
              <w:spacing w:after="0"/>
            </w:pPr>
            <w:r>
              <w:rPr>
                <w:rFonts w:ascii="Microsoft YaHei" w:hAnsi="Microsoft YaHei" w:eastAsia="Microsoft YaHei"/>
                <w:b/>
                <w:color w:val="17324D"/>
                <w:sz w:val="18"/>
              </w:rPr>
              <w:t>首期产品</w:t>
            </w:r>
          </w:p>
        </w:tc>
        <w:tc>
          <w:tcPr>
            <w:tcW w:type="dxa" w:w="5083"/>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90" w:type="dxa"/>
              <w:start w:w="120" w:type="dxa"/>
              <w:bottom w:w="90" w:type="dxa"/>
              <w:end w:w="120" w:type="dxa"/>
            </w:tcMar>
            <w:vAlign w:val="center"/>
          </w:tcPr>
          <w:p>
            <w:pPr>
              <w:spacing w:after="0"/>
            </w:pPr>
            <w:r>
              <w:rPr>
                <w:rFonts w:ascii="Microsoft YaHei" w:hAnsi="Microsoft YaHei" w:eastAsia="Microsoft YaHei"/>
                <w:color w:val="202B36"/>
                <w:sz w:val="18"/>
              </w:rPr>
              <w:t>AI 爆品参谋</w:t>
            </w:r>
          </w:p>
        </w:tc>
      </w:tr>
      <w:tr>
        <w:tc>
          <w:tcPr>
            <w:tcW w:type="dxa" w:w="5083"/>
            <w:shd w:fill="EAF2F8"/>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90" w:type="dxa"/>
              <w:start w:w="120" w:type="dxa"/>
              <w:bottom w:w="90" w:type="dxa"/>
              <w:end w:w="120" w:type="dxa"/>
            </w:tcMar>
            <w:vAlign w:val="center"/>
          </w:tcPr>
          <w:p>
            <w:pPr>
              <w:spacing w:after="0"/>
            </w:pPr>
            <w:r>
              <w:rPr>
                <w:rFonts w:ascii="Microsoft YaHei" w:hAnsi="Microsoft YaHei" w:eastAsia="Microsoft YaHei"/>
                <w:b/>
                <w:color w:val="17324D"/>
                <w:sz w:val="18"/>
              </w:rPr>
              <w:t>首期品类</w:t>
            </w:r>
          </w:p>
        </w:tc>
        <w:tc>
          <w:tcPr>
            <w:tcW w:type="dxa" w:w="5083"/>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90" w:type="dxa"/>
              <w:start w:w="120" w:type="dxa"/>
              <w:bottom w:w="90" w:type="dxa"/>
              <w:end w:w="120" w:type="dxa"/>
            </w:tcMar>
            <w:vAlign w:val="center"/>
          </w:tcPr>
          <w:p>
            <w:pPr>
              <w:spacing w:after="0"/>
            </w:pPr>
            <w:r>
              <w:rPr>
                <w:rFonts w:ascii="Microsoft YaHei" w:hAnsi="Microsoft YaHei" w:eastAsia="Microsoft YaHei"/>
                <w:color w:val="202B36"/>
                <w:sz w:val="18"/>
              </w:rPr>
              <w:t>一次性电子烟</w:t>
            </w:r>
          </w:p>
        </w:tc>
      </w:tr>
      <w:tr>
        <w:tc>
          <w:tcPr>
            <w:tcW w:type="dxa" w:w="5083"/>
            <w:shd w:fill="EAF2F8"/>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90" w:type="dxa"/>
              <w:start w:w="120" w:type="dxa"/>
              <w:bottom w:w="90" w:type="dxa"/>
              <w:end w:w="120" w:type="dxa"/>
            </w:tcMar>
            <w:vAlign w:val="center"/>
          </w:tcPr>
          <w:p>
            <w:pPr>
              <w:spacing w:after="0"/>
            </w:pPr>
            <w:r>
              <w:rPr>
                <w:rFonts w:ascii="Microsoft YaHei" w:hAnsi="Microsoft YaHei" w:eastAsia="Microsoft YaHei"/>
                <w:b/>
                <w:color w:val="17324D"/>
                <w:sz w:val="18"/>
              </w:rPr>
              <w:t>首期输出</w:t>
            </w:r>
          </w:p>
        </w:tc>
        <w:tc>
          <w:tcPr>
            <w:tcW w:type="dxa" w:w="5083"/>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90" w:type="dxa"/>
              <w:start w:w="120" w:type="dxa"/>
              <w:bottom w:w="90" w:type="dxa"/>
              <w:end w:w="120" w:type="dxa"/>
            </w:tcMar>
            <w:vAlign w:val="center"/>
          </w:tcPr>
          <w:p>
            <w:pPr>
              <w:spacing w:after="0"/>
            </w:pPr>
            <w:r>
              <w:rPr>
                <w:rFonts w:ascii="Microsoft YaHei" w:hAnsi="Microsoft YaHei" w:eastAsia="Microsoft YaHei"/>
                <w:color w:val="202B36"/>
                <w:sz w:val="18"/>
              </w:rPr>
              <w:t>机会评分、置信度、证据报告和 PDF</w:t>
            </w:r>
          </w:p>
        </w:tc>
      </w:tr>
      <w:tr>
        <w:tc>
          <w:tcPr>
            <w:tcW w:type="dxa" w:w="5083"/>
            <w:shd w:fill="EAF2F8"/>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90" w:type="dxa"/>
              <w:start w:w="120" w:type="dxa"/>
              <w:bottom w:w="90" w:type="dxa"/>
              <w:end w:w="120" w:type="dxa"/>
            </w:tcMar>
            <w:vAlign w:val="center"/>
          </w:tcPr>
          <w:p>
            <w:pPr>
              <w:spacing w:after="0"/>
            </w:pPr>
            <w:r>
              <w:rPr>
                <w:rFonts w:ascii="Microsoft YaHei" w:hAnsi="Microsoft YaHei" w:eastAsia="Microsoft YaHei"/>
                <w:b/>
                <w:color w:val="17324D"/>
                <w:sz w:val="18"/>
              </w:rPr>
              <w:t>目标使用者</w:t>
            </w:r>
          </w:p>
        </w:tc>
        <w:tc>
          <w:tcPr>
            <w:tcW w:type="dxa" w:w="5083"/>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90" w:type="dxa"/>
              <w:start w:w="120" w:type="dxa"/>
              <w:bottom w:w="90" w:type="dxa"/>
              <w:end w:w="120" w:type="dxa"/>
            </w:tcMar>
            <w:vAlign w:val="center"/>
          </w:tcPr>
          <w:p>
            <w:pPr>
              <w:spacing w:after="0"/>
            </w:pPr>
            <w:r>
              <w:rPr>
                <w:rFonts w:ascii="Microsoft YaHei" w:hAnsi="Microsoft YaHei" w:eastAsia="Microsoft YaHei"/>
                <w:color w:val="202B36"/>
                <w:sz w:val="18"/>
              </w:rPr>
              <w:t>道森产品、市场、研发和管理团队</w:t>
            </w:r>
          </w:p>
        </w:tc>
      </w:tr>
    </w:tbl>
    <w:p>
      <w:pPr>
        <w:spacing w:after="80"/>
      </w:pPr>
    </w:p>
    <w:p>
      <w:pPr>
        <w:pStyle w:val="Heading1"/>
      </w:pPr>
      <w:r>
        <w:t>一 产品目标与边界</w:t>
      </w:r>
    </w:p>
    <w:p>
      <w:pPr>
        <w:pStyle w:val="Heading2"/>
      </w:pPr>
      <w:r>
        <w:t>1.1 产品目标</w:t>
      </w:r>
    </w:p>
    <w:p>
      <w:pPr>
        <w:pStyle w:val="ListBullet"/>
        <w:spacing w:after="60"/>
        <w:ind w:left="317"/>
      </w:pPr>
      <w:r>
        <w:rPr>
          <w:rFonts w:ascii="Microsoft YaHei" w:hAnsi="Microsoft YaHei" w:eastAsia="Microsoft YaHei"/>
          <w:b/>
          <w:color w:val="202B36"/>
          <w:sz w:val="19"/>
        </w:rPr>
        <w:t>输入一个成品：</w:t>
      </w:r>
      <w:r>
        <w:rPr>
          <w:rFonts w:ascii="Microsoft YaHei" w:hAnsi="Microsoft YaHei" w:eastAsia="Microsoft YaHei"/>
          <w:color w:val="202B36"/>
          <w:sz w:val="19"/>
        </w:rPr>
        <w:t>用户上传产品图片并填写规格、价格和目标市场。</w:t>
      </w:r>
    </w:p>
    <w:p>
      <w:pPr>
        <w:pStyle w:val="ListBullet"/>
        <w:spacing w:after="60"/>
        <w:ind w:left="317"/>
      </w:pPr>
      <w:r>
        <w:rPr>
          <w:rFonts w:ascii="Microsoft YaHei" w:hAnsi="Microsoft YaHei" w:eastAsia="Microsoft YaHei"/>
          <w:b/>
          <w:color w:val="202B36"/>
          <w:sz w:val="19"/>
        </w:rPr>
        <w:t>汇总已有数据：</w:t>
      </w:r>
      <w:r>
        <w:rPr>
          <w:rFonts w:ascii="Microsoft YaHei" w:hAnsi="Microsoft YaHei" w:eastAsia="Microsoft YaHei"/>
          <w:color w:val="202B36"/>
          <w:sz w:val="19"/>
        </w:rPr>
        <w:t>系统检索政策、竞品、海关、供应链、工厂和新闻信号。</w:t>
      </w:r>
    </w:p>
    <w:p>
      <w:pPr>
        <w:pStyle w:val="ListBullet"/>
        <w:spacing w:after="60"/>
        <w:ind w:left="317"/>
      </w:pPr>
      <w:r>
        <w:rPr>
          <w:rFonts w:ascii="Microsoft YaHei" w:hAnsi="Microsoft YaHei" w:eastAsia="Microsoft YaHei"/>
          <w:b/>
          <w:color w:val="202B36"/>
          <w:sz w:val="19"/>
        </w:rPr>
        <w:t>形成可解释判断：</w:t>
      </w:r>
      <w:r>
        <w:rPr>
          <w:rFonts w:ascii="Microsoft YaHei" w:hAnsi="Microsoft YaHei" w:eastAsia="Microsoft YaHei"/>
          <w:color w:val="202B36"/>
          <w:sz w:val="19"/>
        </w:rPr>
        <w:t>输出六维机会评分、合规结论、风险和证据来源。</w:t>
      </w:r>
    </w:p>
    <w:p>
      <w:pPr>
        <w:pStyle w:val="ListBullet"/>
        <w:spacing w:after="60"/>
        <w:ind w:left="317"/>
      </w:pPr>
      <w:r>
        <w:rPr>
          <w:rFonts w:ascii="Microsoft YaHei" w:hAnsi="Microsoft YaHei" w:eastAsia="Microsoft YaHei"/>
          <w:b/>
          <w:color w:val="202B36"/>
          <w:sz w:val="19"/>
        </w:rPr>
        <w:t>保留决策记录：</w:t>
      </w:r>
      <w:r>
        <w:rPr>
          <w:rFonts w:ascii="Microsoft YaHei" w:hAnsi="Microsoft YaHei" w:eastAsia="Microsoft YaHei"/>
          <w:color w:val="202B36"/>
          <w:sz w:val="19"/>
        </w:rPr>
        <w:t>输入、数据快照、评分版本、报告和专家反馈保持关联。</w:t>
      </w:r>
    </w:p>
    <w:p>
      <w:pPr>
        <w:pStyle w:val="Heading2"/>
      </w:pPr>
      <w:r>
        <w:t>1.2 首期不解决的问题</w:t>
      </w:r>
    </w:p>
    <w:p>
      <w:pPr>
        <w:pStyle w:val="ListBullet"/>
        <w:spacing w:after="60"/>
        <w:ind w:left="317"/>
      </w:pPr>
      <w:r>
        <w:rPr>
          <w:rFonts w:ascii="Microsoft YaHei" w:hAnsi="Microsoft YaHei" w:eastAsia="Microsoft YaHei"/>
          <w:color w:val="202B36"/>
          <w:sz w:val="19"/>
        </w:rPr>
        <w:t>不承诺预测精确销量、利润或市场份额。</w:t>
      </w:r>
    </w:p>
    <w:p>
      <w:pPr>
        <w:pStyle w:val="ListBullet"/>
        <w:spacing w:after="60"/>
        <w:ind w:left="317"/>
      </w:pPr>
      <w:r>
        <w:rPr>
          <w:rFonts w:ascii="Microsoft YaHei" w:hAnsi="Microsoft YaHei" w:eastAsia="Microsoft YaHei"/>
          <w:color w:val="202B36"/>
          <w:sz w:val="19"/>
        </w:rPr>
        <w:t>不替代当地法律、合规或认证意见。</w:t>
      </w:r>
    </w:p>
    <w:p>
      <w:pPr>
        <w:pStyle w:val="ListBullet"/>
        <w:spacing w:after="60"/>
        <w:ind w:left="317"/>
      </w:pPr>
      <w:r>
        <w:rPr>
          <w:rFonts w:ascii="Microsoft YaHei" w:hAnsi="Microsoft YaHei" w:eastAsia="Microsoft YaHei"/>
          <w:color w:val="202B36"/>
          <w:sz w:val="19"/>
        </w:rPr>
        <w:t>不在首期实现全品类产品统一模型。</w:t>
      </w:r>
    </w:p>
    <w:p>
      <w:pPr>
        <w:pStyle w:val="ListBullet"/>
        <w:spacing w:after="60"/>
        <w:ind w:left="317"/>
      </w:pPr>
      <w:r>
        <w:rPr>
          <w:rFonts w:ascii="Microsoft YaHei" w:hAnsi="Microsoft YaHei" w:eastAsia="Microsoft YaHei"/>
          <w:color w:val="202B36"/>
          <w:sz w:val="19"/>
        </w:rPr>
        <w:t>不在首期接入复杂的社交媒体趋势预测和零售商地图。</w:t>
      </w:r>
    </w:p>
    <w:p>
      <w:pPr>
        <w:pStyle w:val="ListBullet"/>
        <w:spacing w:after="60"/>
        <w:ind w:left="317"/>
      </w:pPr>
      <w:r>
        <w:rPr>
          <w:rFonts w:ascii="Microsoft YaHei" w:hAnsi="Microsoft YaHei" w:eastAsia="Microsoft YaHei"/>
          <w:color w:val="202B36"/>
          <w:sz w:val="19"/>
        </w:rPr>
        <w:t>不让大模型直接决定最终分数。</w:t>
      </w:r>
    </w:p>
    <w:p>
      <w:pPr>
        <w:spacing w:before="80" w:after="160"/>
        <w:ind w:left="230" w:right="230"/>
      </w:pPr>
      <w:r>
        <w:rPr>
          <w:rFonts w:ascii="Microsoft YaHei" w:hAnsi="Microsoft YaHei" w:eastAsia="Microsoft YaHei"/>
          <w:b/>
          <w:color w:val="17324D"/>
          <w:sz w:val="19"/>
        </w:rPr>
        <w:t>首期原则：</w:t>
      </w:r>
      <w:r>
        <w:rPr>
          <w:rFonts w:ascii="Microsoft YaHei" w:hAnsi="Microsoft YaHei" w:eastAsia="Microsoft YaHei"/>
          <w:color w:val="202B36"/>
          <w:sz w:val="19"/>
        </w:rPr>
        <w:t>先做可复现的证据型决策辅助，再根据真实业务反馈扩展为可回测的预测产品。</w:t>
      </w:r>
    </w:p>
    <w:p>
      <w:pPr>
        <w:pStyle w:val="Heading1"/>
      </w:pPr>
      <w:r>
        <w:t>二 用户与核心流程</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152"/>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步骤</w:t>
            </w:r>
          </w:p>
        </w:tc>
        <w:tc>
          <w:tcPr>
            <w:tcW w:type="dxa" w:w="288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用户动作</w:t>
            </w:r>
          </w:p>
        </w:tc>
        <w:tc>
          <w:tcPr>
            <w:tcW w:type="dxa" w:w="3888"/>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系统动作</w:t>
            </w:r>
          </w:p>
        </w:tc>
        <w:tc>
          <w:tcPr>
            <w:tcW w:type="dxa" w:w="2016"/>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产出</w:t>
            </w:r>
          </w:p>
        </w:tc>
      </w:tr>
      <w:tr>
        <w:tc>
          <w:tcPr>
            <w:tcW w:type="dxa" w:w="115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1 创建任务</w:t>
            </w:r>
          </w:p>
        </w:tc>
        <w:tc>
          <w:tcPr>
            <w:tcW w:type="dxa" w:w="288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进入新建评估并选择目标市场</w:t>
            </w:r>
          </w:p>
        </w:tc>
        <w:tc>
          <w:tcPr>
            <w:tcW w:type="dxa" w:w="388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创建评估任务和版本记录</w:t>
            </w:r>
          </w:p>
        </w:tc>
        <w:tc>
          <w:tcPr>
            <w:tcW w:type="dxa" w:w="201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任务 ID</w:t>
            </w:r>
          </w:p>
        </w:tc>
      </w:tr>
      <w:tr>
        <w:tc>
          <w:tcPr>
            <w:tcW w:type="dxa" w:w="115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2 提交产品</w:t>
            </w:r>
          </w:p>
        </w:tc>
        <w:tc>
          <w:tcPr>
            <w:tcW w:type="dxa" w:w="288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上传 1 至 6 张图片并填写必填参数</w:t>
            </w:r>
          </w:p>
        </w:tc>
        <w:tc>
          <w:tcPr>
            <w:tcW w:type="dxa" w:w="388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校验文件和字段完整性</w:t>
            </w:r>
          </w:p>
        </w:tc>
        <w:tc>
          <w:tcPr>
            <w:tcW w:type="dxa" w:w="201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ProductInput</w:t>
            </w:r>
          </w:p>
        </w:tc>
      </w:tr>
      <w:tr>
        <w:tc>
          <w:tcPr>
            <w:tcW w:type="dxa" w:w="115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3 确认特征</w:t>
            </w:r>
          </w:p>
        </w:tc>
        <w:tc>
          <w:tcPr>
            <w:tcW w:type="dxa" w:w="288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确认或修正 AI 识别的视觉特征</w:t>
            </w:r>
          </w:p>
        </w:tc>
        <w:tc>
          <w:tcPr>
            <w:tcW w:type="dxa" w:w="388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保存人工确认结果</w:t>
            </w:r>
          </w:p>
        </w:tc>
        <w:tc>
          <w:tcPr>
            <w:tcW w:type="dxa" w:w="201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VisualTraits</w:t>
            </w:r>
          </w:p>
        </w:tc>
      </w:tr>
      <w:tr>
        <w:tc>
          <w:tcPr>
            <w:tcW w:type="dxa" w:w="115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4 建立证据链</w:t>
            </w:r>
          </w:p>
        </w:tc>
        <w:tc>
          <w:tcPr>
            <w:tcW w:type="dxa" w:w="288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等待 Agent 分析</w:t>
            </w:r>
          </w:p>
        </w:tc>
        <w:tc>
          <w:tcPr>
            <w:tcW w:type="dxa" w:w="388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查询政策、竞品、贸易、供应链和新闻数据</w:t>
            </w:r>
          </w:p>
        </w:tc>
        <w:tc>
          <w:tcPr>
            <w:tcW w:type="dxa" w:w="201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Evidence[]</w:t>
            </w:r>
          </w:p>
        </w:tc>
      </w:tr>
      <w:tr>
        <w:tc>
          <w:tcPr>
            <w:tcW w:type="dxa" w:w="115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5 计算评分</w:t>
            </w:r>
          </w:p>
        </w:tc>
        <w:tc>
          <w:tcPr>
            <w:tcW w:type="dxa" w:w="288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查看任务状态</w:t>
            </w:r>
          </w:p>
        </w:tc>
        <w:tc>
          <w:tcPr>
            <w:tcW w:type="dxa" w:w="388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规则引擎计算六维分数和置信度</w:t>
            </w:r>
          </w:p>
        </w:tc>
        <w:tc>
          <w:tcPr>
            <w:tcW w:type="dxa" w:w="201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ScoreResult</w:t>
            </w:r>
          </w:p>
        </w:tc>
      </w:tr>
      <w:tr>
        <w:tc>
          <w:tcPr>
            <w:tcW w:type="dxa" w:w="115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6 阅读报告</w:t>
            </w:r>
          </w:p>
        </w:tc>
        <w:tc>
          <w:tcPr>
            <w:tcW w:type="dxa" w:w="288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查看机会、风险、证据和假设</w:t>
            </w:r>
          </w:p>
        </w:tc>
        <w:tc>
          <w:tcPr>
            <w:tcW w:type="dxa" w:w="388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生成中英双语报告</w:t>
            </w:r>
          </w:p>
        </w:tc>
        <w:tc>
          <w:tcPr>
            <w:tcW w:type="dxa" w:w="201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Report</w:t>
            </w:r>
          </w:p>
        </w:tc>
      </w:tr>
      <w:tr>
        <w:tc>
          <w:tcPr>
            <w:tcW w:type="dxa" w:w="115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7 反馈决策</w:t>
            </w:r>
          </w:p>
        </w:tc>
        <w:tc>
          <w:tcPr>
            <w:tcW w:type="dxa" w:w="288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采纳、驳回或备注</w:t>
            </w:r>
          </w:p>
        </w:tc>
        <w:tc>
          <w:tcPr>
            <w:tcW w:type="dxa" w:w="388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记录专家标签</w:t>
            </w:r>
          </w:p>
        </w:tc>
        <w:tc>
          <w:tcPr>
            <w:tcW w:type="dxa" w:w="201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ExpertFeedback</w:t>
            </w:r>
          </w:p>
        </w:tc>
      </w:tr>
    </w:tbl>
    <w:p>
      <w:pPr>
        <w:spacing w:after="40"/>
      </w:pPr>
    </w:p>
    <w:p>
      <w:pPr>
        <w:pStyle w:val="Heading1"/>
      </w:pPr>
      <w:r>
        <w:t>三 产品需求清单</w:t>
      </w:r>
    </w:p>
    <w:p>
      <w:pPr>
        <w:pStyle w:val="Heading2"/>
      </w:pPr>
      <w:r>
        <w:t>3.1 P0 核心功能</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936"/>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编号</w:t>
            </w:r>
          </w:p>
        </w:tc>
        <w:tc>
          <w:tcPr>
            <w:tcW w:type="dxa" w:w="1584"/>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功能模块</w:t>
            </w:r>
          </w:p>
        </w:tc>
        <w:tc>
          <w:tcPr>
            <w:tcW w:type="dxa" w:w="5184"/>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需求内容</w:t>
            </w:r>
          </w:p>
        </w:tc>
        <w:tc>
          <w:tcPr>
            <w:tcW w:type="dxa" w:w="2232"/>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完成判断</w:t>
            </w:r>
          </w:p>
        </w:tc>
      </w:tr>
      <w:tr>
        <w:tc>
          <w:tcPr>
            <w:tcW w:type="dxa" w:w="93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P0-01</w:t>
            </w:r>
          </w:p>
        </w:tc>
        <w:tc>
          <w:tcPr>
            <w:tcW w:type="dxa" w:w="1584"/>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产品输入</w:t>
            </w:r>
          </w:p>
        </w:tc>
        <w:tc>
          <w:tcPr>
            <w:tcW w:type="dxa" w:w="5184"/>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图片、产品名、市场、口数、烟油容量、尼古丁、口味、目标零售价</w:t>
            </w:r>
          </w:p>
        </w:tc>
        <w:tc>
          <w:tcPr>
            <w:tcW w:type="dxa" w:w="223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字段校验通过后可创建任务</w:t>
            </w:r>
          </w:p>
        </w:tc>
      </w:tr>
      <w:tr>
        <w:tc>
          <w:tcPr>
            <w:tcW w:type="dxa" w:w="93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P0-02</w:t>
            </w:r>
          </w:p>
        </w:tc>
        <w:tc>
          <w:tcPr>
            <w:tcW w:type="dxa" w:w="1584"/>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图片理解</w:t>
            </w:r>
          </w:p>
        </w:tc>
        <w:tc>
          <w:tcPr>
            <w:tcW w:type="dxa" w:w="5184"/>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提取颜色、结构、屏幕、材质感和外形特征</w:t>
            </w:r>
          </w:p>
        </w:tc>
        <w:tc>
          <w:tcPr>
            <w:tcW w:type="dxa" w:w="223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用户可以确认或删除识别标签</w:t>
            </w:r>
          </w:p>
        </w:tc>
      </w:tr>
      <w:tr>
        <w:tc>
          <w:tcPr>
            <w:tcW w:type="dxa" w:w="93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P0-03</w:t>
            </w:r>
          </w:p>
        </w:tc>
        <w:tc>
          <w:tcPr>
            <w:tcW w:type="dxa" w:w="1584"/>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市场政策</w:t>
            </w:r>
          </w:p>
        </w:tc>
        <w:tc>
          <w:tcPr>
            <w:tcW w:type="dxa" w:w="5184"/>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查询市场准入、尼古丁、容量、口味、包装和渠道规则</w:t>
            </w:r>
          </w:p>
        </w:tc>
        <w:tc>
          <w:tcPr>
            <w:tcW w:type="dxa" w:w="223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报告展示规则及来源日期</w:t>
            </w:r>
          </w:p>
        </w:tc>
      </w:tr>
      <w:tr>
        <w:tc>
          <w:tcPr>
            <w:tcW w:type="dxa" w:w="93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P0-04</w:t>
            </w:r>
          </w:p>
        </w:tc>
        <w:tc>
          <w:tcPr>
            <w:tcW w:type="dxa" w:w="1584"/>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竞品匹配</w:t>
            </w:r>
          </w:p>
        </w:tc>
        <w:tc>
          <w:tcPr>
            <w:tcW w:type="dxa" w:w="5184"/>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按市场、口数、容量、价格和视觉标签找相似产品</w:t>
            </w:r>
          </w:p>
        </w:tc>
        <w:tc>
          <w:tcPr>
            <w:tcW w:type="dxa" w:w="223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报告展示至少 3 条可用对标</w:t>
            </w:r>
          </w:p>
        </w:tc>
      </w:tr>
      <w:tr>
        <w:tc>
          <w:tcPr>
            <w:tcW w:type="dxa" w:w="93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P0-05</w:t>
            </w:r>
          </w:p>
        </w:tc>
        <w:tc>
          <w:tcPr>
            <w:tcW w:type="dxa" w:w="1584"/>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六维评分</w:t>
            </w:r>
          </w:p>
        </w:tc>
        <w:tc>
          <w:tcPr>
            <w:tcW w:type="dxa" w:w="5184"/>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按固定权重计算市场、竞争、差异化、合规、供应链和商业分数</w:t>
            </w:r>
          </w:p>
        </w:tc>
        <w:tc>
          <w:tcPr>
            <w:tcW w:type="dxa" w:w="223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相同输入可复现相同分数</w:t>
            </w:r>
          </w:p>
        </w:tc>
      </w:tr>
      <w:tr>
        <w:tc>
          <w:tcPr>
            <w:tcW w:type="dxa" w:w="93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P0-06</w:t>
            </w:r>
          </w:p>
        </w:tc>
        <w:tc>
          <w:tcPr>
            <w:tcW w:type="dxa" w:w="1584"/>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合规硬门槛</w:t>
            </w:r>
          </w:p>
        </w:tc>
        <w:tc>
          <w:tcPr>
            <w:tcW w:type="dxa" w:w="5184"/>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禁售、超限或禁限口味直接阻断</w:t>
            </w:r>
          </w:p>
        </w:tc>
        <w:tc>
          <w:tcPr>
            <w:tcW w:type="dxa" w:w="223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触发时结论为 NO-GO</w:t>
            </w:r>
          </w:p>
        </w:tc>
      </w:tr>
      <w:tr>
        <w:tc>
          <w:tcPr>
            <w:tcW w:type="dxa" w:w="93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P0-07</w:t>
            </w:r>
          </w:p>
        </w:tc>
        <w:tc>
          <w:tcPr>
            <w:tcW w:type="dxa" w:w="1584"/>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机会报告</w:t>
            </w:r>
          </w:p>
        </w:tc>
        <w:tc>
          <w:tcPr>
            <w:tcW w:type="dxa" w:w="5184"/>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总分、置信度、六维结构、机会、风险、假设和证据</w:t>
            </w:r>
          </w:p>
        </w:tc>
        <w:tc>
          <w:tcPr>
            <w:tcW w:type="dxa" w:w="223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网页报告可完整查看</w:t>
            </w:r>
          </w:p>
        </w:tc>
      </w:tr>
      <w:tr>
        <w:tc>
          <w:tcPr>
            <w:tcW w:type="dxa" w:w="93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P0-08</w:t>
            </w:r>
          </w:p>
        </w:tc>
        <w:tc>
          <w:tcPr>
            <w:tcW w:type="dxa" w:w="1584"/>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数据质量</w:t>
            </w:r>
          </w:p>
        </w:tc>
        <w:tc>
          <w:tcPr>
            <w:tcW w:type="dxa" w:w="5184"/>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显示来源、记录日期、快照版本和不可用数据</w:t>
            </w:r>
          </w:p>
        </w:tc>
        <w:tc>
          <w:tcPr>
            <w:tcW w:type="dxa" w:w="223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缺失数据不被静默补全</w:t>
            </w:r>
          </w:p>
        </w:tc>
      </w:tr>
    </w:tbl>
    <w:p>
      <w:pPr>
        <w:spacing w:after="40"/>
      </w:pPr>
    </w:p>
    <w:p>
      <w:pPr>
        <w:pStyle w:val="Heading2"/>
      </w:pPr>
      <w:r>
        <w:t>3.2 P1 增强功能</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08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编号</w:t>
            </w:r>
          </w:p>
        </w:tc>
        <w:tc>
          <w:tcPr>
            <w:tcW w:type="dxa" w:w="2016"/>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功能模块</w:t>
            </w:r>
          </w:p>
        </w:tc>
        <w:tc>
          <w:tcPr>
            <w:tcW w:type="dxa" w:w="432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价值</w:t>
            </w:r>
          </w:p>
        </w:tc>
        <w:tc>
          <w:tcPr>
            <w:tcW w:type="dxa" w:w="252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建议时机</w:t>
            </w:r>
          </w:p>
        </w:tc>
      </w:tr>
      <w:tr>
        <w:tc>
          <w:tcPr>
            <w:tcW w:type="dxa" w:w="108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P1-01</w:t>
            </w:r>
          </w:p>
        </w:tc>
        <w:tc>
          <w:tcPr>
            <w:tcW w:type="dxa" w:w="201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PDF 导出</w:t>
            </w:r>
          </w:p>
        </w:tc>
        <w:tc>
          <w:tcPr>
            <w:tcW w:type="dxa" w:w="432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用于客户沟通、内部评审和归档</w:t>
            </w:r>
          </w:p>
        </w:tc>
        <w:tc>
          <w:tcPr>
            <w:tcW w:type="dxa" w:w="252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核心流程打通后</w:t>
            </w:r>
          </w:p>
        </w:tc>
      </w:tr>
      <w:tr>
        <w:tc>
          <w:tcPr>
            <w:tcW w:type="dxa" w:w="108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P1-02</w:t>
            </w:r>
          </w:p>
        </w:tc>
        <w:tc>
          <w:tcPr>
            <w:tcW w:type="dxa" w:w="201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专家反馈</w:t>
            </w:r>
          </w:p>
        </w:tc>
        <w:tc>
          <w:tcPr>
            <w:tcW w:type="dxa" w:w="432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记录采纳、驳回和最终业务动作</w:t>
            </w:r>
          </w:p>
        </w:tc>
        <w:tc>
          <w:tcPr>
            <w:tcW w:type="dxa" w:w="252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首个可演示版本</w:t>
            </w:r>
          </w:p>
        </w:tc>
      </w:tr>
      <w:tr>
        <w:tc>
          <w:tcPr>
            <w:tcW w:type="dxa" w:w="108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P1-03</w:t>
            </w:r>
          </w:p>
        </w:tc>
        <w:tc>
          <w:tcPr>
            <w:tcW w:type="dxa" w:w="201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评分配置</w:t>
            </w:r>
          </w:p>
        </w:tc>
        <w:tc>
          <w:tcPr>
            <w:tcW w:type="dxa" w:w="432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按市场调整权重和阈值</w:t>
            </w:r>
          </w:p>
        </w:tc>
        <w:tc>
          <w:tcPr>
            <w:tcW w:type="dxa" w:w="252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规则稳定后</w:t>
            </w:r>
          </w:p>
        </w:tc>
      </w:tr>
      <w:tr>
        <w:tc>
          <w:tcPr>
            <w:tcW w:type="dxa" w:w="108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P1-04</w:t>
            </w:r>
          </w:p>
        </w:tc>
        <w:tc>
          <w:tcPr>
            <w:tcW w:type="dxa" w:w="201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英文报告</w:t>
            </w:r>
          </w:p>
        </w:tc>
        <w:tc>
          <w:tcPr>
            <w:tcW w:type="dxa" w:w="432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支持海外客户和投资人演示</w:t>
            </w:r>
          </w:p>
        </w:tc>
        <w:tc>
          <w:tcPr>
            <w:tcW w:type="dxa" w:w="252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中文报告稳定后</w:t>
            </w:r>
          </w:p>
        </w:tc>
      </w:tr>
    </w:tbl>
    <w:p>
      <w:pPr>
        <w:spacing w:after="40"/>
      </w:pPr>
    </w:p>
    <w:p>
      <w:r>
        <w:br w:type="page"/>
      </w:r>
    </w:p>
    <w:p>
      <w:pPr>
        <w:pStyle w:val="Heading1"/>
      </w:pPr>
      <w:r>
        <w:t>四 数据库与 RAG 需求</w:t>
      </w:r>
    </w:p>
    <w:p>
      <w:pPr>
        <w:pStyle w:val="Heading2"/>
      </w:pPr>
      <w:r>
        <w:t>4.1 数据职责边界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层次</w:t>
            </w:r>
          </w:p>
        </w:tc>
        <w:tc>
          <w:tcPr>
            <w:tcW w:type="dxa" w:w="504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负责内容</w:t>
            </w:r>
          </w:p>
        </w:tc>
        <w:tc>
          <w:tcPr>
            <w:tcW w:type="dxa" w:w="360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不负责内容</w:t>
            </w:r>
          </w:p>
        </w:tc>
      </w:tr>
      <w:tr>
        <w:tc>
          <w:tcPr>
            <w:tcW w:type="dxa" w:w="172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数据库</w:t>
            </w:r>
          </w:p>
        </w:tc>
        <w:tc>
          <w:tcPr>
            <w:tcW w:type="dxa" w:w="504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存储政策、产品、竞品、海关、供应链、工厂、新闻、评估和证据元数据</w:t>
            </w:r>
          </w:p>
        </w:tc>
        <w:tc>
          <w:tcPr>
            <w:tcW w:type="dxa" w:w="360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不直接生成最终评分解释</w:t>
            </w:r>
          </w:p>
        </w:tc>
      </w:tr>
      <w:tr>
        <w:tc>
          <w:tcPr>
            <w:tcW w:type="dxa" w:w="172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RAG</w:t>
            </w:r>
          </w:p>
        </w:tc>
        <w:tc>
          <w:tcPr>
            <w:tcW w:type="dxa" w:w="504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切分文档、召回相关证据、按市场和时间重排、生成引用依据</w:t>
            </w:r>
          </w:p>
        </w:tc>
        <w:tc>
          <w:tcPr>
            <w:tcW w:type="dxa" w:w="360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不直接决定总分和 Go/No-Go</w:t>
            </w:r>
          </w:p>
        </w:tc>
      </w:tr>
      <w:tr>
        <w:tc>
          <w:tcPr>
            <w:tcW w:type="dxa" w:w="172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评分引擎</w:t>
            </w:r>
          </w:p>
        </w:tc>
        <w:tc>
          <w:tcPr>
            <w:tcW w:type="dxa" w:w="504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根据结构化字段、规则和证据计算六维分数</w:t>
            </w:r>
          </w:p>
        </w:tc>
        <w:tc>
          <w:tcPr>
            <w:tcW w:type="dxa" w:w="360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不自行编造缺失数据</w:t>
            </w:r>
          </w:p>
        </w:tc>
      </w:tr>
      <w:tr>
        <w:tc>
          <w:tcPr>
            <w:tcW w:type="dxa" w:w="172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报告生成</w:t>
            </w:r>
          </w:p>
        </w:tc>
        <w:tc>
          <w:tcPr>
            <w:tcW w:type="dxa" w:w="504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把评分和证据转为中英双语可读报告</w:t>
            </w:r>
          </w:p>
        </w:tc>
        <w:tc>
          <w:tcPr>
            <w:tcW w:type="dxa" w:w="360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不修改评分结果</w:t>
            </w:r>
          </w:p>
        </w:tc>
      </w:tr>
    </w:tbl>
    <w:p>
      <w:pPr>
        <w:spacing w:after="40"/>
      </w:pPr>
    </w:p>
    <w:p>
      <w:pPr>
        <w:pStyle w:val="Heading2"/>
      </w:pPr>
      <w:r>
        <w:t>4.2 首期数据对象</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0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对象</w:t>
            </w:r>
          </w:p>
        </w:tc>
        <w:tc>
          <w:tcPr>
            <w:tcW w:type="dxa" w:w="576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核心字段</w:t>
            </w:r>
          </w:p>
        </w:tc>
        <w:tc>
          <w:tcPr>
            <w:tcW w:type="dxa" w:w="2808"/>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参与方式</w:t>
            </w:r>
          </w:p>
        </w:tc>
      </w:tr>
      <w:tr>
        <w:tc>
          <w:tcPr>
            <w:tcW w:type="dxa" w:w="180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MarketPolicy</w:t>
            </w:r>
          </w:p>
        </w:tc>
        <w:tc>
          <w:tcPr>
            <w:tcW w:type="dxa" w:w="576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市场代码、准入、尼古丁、容量、口味、包装、渠道、来源日期</w:t>
            </w:r>
          </w:p>
        </w:tc>
        <w:tc>
          <w:tcPr>
            <w:tcW w:type="dxa" w:w="280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结构化查询和合规硬门槛</w:t>
            </w:r>
          </w:p>
        </w:tc>
      </w:tr>
      <w:tr>
        <w:tc>
          <w:tcPr>
            <w:tcW w:type="dxa" w:w="180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Product</w:t>
            </w:r>
          </w:p>
        </w:tc>
        <w:tc>
          <w:tcPr>
            <w:tcW w:type="dxa" w:w="576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品牌、名称、图片、口数、容量、特征、市场</w:t>
            </w:r>
          </w:p>
        </w:tc>
        <w:tc>
          <w:tcPr>
            <w:tcW w:type="dxa" w:w="280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竞品匹配和产品对标</w:t>
            </w:r>
          </w:p>
        </w:tc>
      </w:tr>
      <w:tr>
        <w:tc>
          <w:tcPr>
            <w:tcW w:type="dxa" w:w="180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CustomsTrade</w:t>
            </w:r>
          </w:p>
        </w:tc>
        <w:tc>
          <w:tcPr>
            <w:tcW w:type="dxa" w:w="576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HS 编码、市场、年度、金额、来源和更新时间</w:t>
            </w:r>
          </w:p>
        </w:tc>
        <w:tc>
          <w:tcPr>
            <w:tcW w:type="dxa" w:w="280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市场需求趋势</w:t>
            </w:r>
          </w:p>
        </w:tc>
      </w:tr>
      <w:tr>
        <w:tc>
          <w:tcPr>
            <w:tcW w:type="dxa" w:w="180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SupplierFactory</w:t>
            </w:r>
          </w:p>
        </w:tc>
        <w:tc>
          <w:tcPr>
            <w:tcW w:type="dxa" w:w="576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企业类型、资质、市场、研发、产能线索、来源</w:t>
            </w:r>
          </w:p>
        </w:tc>
        <w:tc>
          <w:tcPr>
            <w:tcW w:type="dxa" w:w="280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供应链可行性</w:t>
            </w:r>
          </w:p>
        </w:tc>
      </w:tr>
      <w:tr>
        <w:tc>
          <w:tcPr>
            <w:tcW w:type="dxa" w:w="180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NewsArticle</w:t>
            </w:r>
          </w:p>
        </w:tc>
        <w:tc>
          <w:tcPr>
            <w:tcW w:type="dxa" w:w="576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标题、摘要、监管信号、影响、市场、发布时间、来源</w:t>
            </w:r>
          </w:p>
        </w:tc>
        <w:tc>
          <w:tcPr>
            <w:tcW w:type="dxa" w:w="280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RAG 召回和风险解释</w:t>
            </w:r>
          </w:p>
        </w:tc>
      </w:tr>
      <w:tr>
        <w:tc>
          <w:tcPr>
            <w:tcW w:type="dxa" w:w="180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Evidence</w:t>
            </w:r>
          </w:p>
        </w:tc>
        <w:tc>
          <w:tcPr>
            <w:tcW w:type="dxa" w:w="576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来源、链接、市场、记录日期、快照日期、质量、是否参与评分</w:t>
            </w:r>
          </w:p>
        </w:tc>
        <w:tc>
          <w:tcPr>
            <w:tcW w:type="dxa" w:w="280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报告追溯</w:t>
            </w:r>
          </w:p>
        </w:tc>
      </w:tr>
    </w:tbl>
    <w:p>
      <w:pPr>
        <w:spacing w:after="40"/>
      </w:pPr>
    </w:p>
    <w:p>
      <w:pPr>
        <w:pStyle w:val="Heading2"/>
      </w:pPr>
      <w:r>
        <w:t>4.3 RAG 检索规则</w:t>
      </w:r>
    </w:p>
    <w:p>
      <w:pPr>
        <w:pStyle w:val="ListBullet"/>
        <w:spacing w:after="60"/>
        <w:ind w:left="317"/>
      </w:pPr>
      <w:r>
        <w:rPr>
          <w:rFonts w:ascii="Microsoft YaHei" w:hAnsi="Microsoft YaHei" w:eastAsia="Microsoft YaHei"/>
          <w:b/>
          <w:color w:val="202B36"/>
          <w:sz w:val="19"/>
        </w:rPr>
        <w:t>先结构化后语义：</w:t>
      </w:r>
      <w:r>
        <w:rPr>
          <w:rFonts w:ascii="Microsoft YaHei" w:hAnsi="Microsoft YaHei" w:eastAsia="Microsoft YaHei"/>
          <w:color w:val="202B36"/>
          <w:sz w:val="19"/>
        </w:rPr>
        <w:t>政策上限、口数、容量和价格优先查询结构化数据库；政策解释和新闻影响使用 RAG。</w:t>
      </w:r>
    </w:p>
    <w:p>
      <w:pPr>
        <w:pStyle w:val="ListBullet"/>
        <w:spacing w:after="60"/>
        <w:ind w:left="317"/>
      </w:pPr>
      <w:r>
        <w:rPr>
          <w:rFonts w:ascii="Microsoft YaHei" w:hAnsi="Microsoft YaHei" w:eastAsia="Microsoft YaHei"/>
          <w:b/>
          <w:color w:val="202B36"/>
          <w:sz w:val="19"/>
        </w:rPr>
        <w:t>市场过滤：</w:t>
      </w:r>
      <w:r>
        <w:rPr>
          <w:rFonts w:ascii="Microsoft YaHei" w:hAnsi="Microsoft YaHei" w:eastAsia="Microsoft YaHei"/>
          <w:color w:val="202B36"/>
          <w:sz w:val="19"/>
        </w:rPr>
        <w:t>所有检索必须带目标市场，禁止用其他国家的政策替代当前市场。</w:t>
      </w:r>
    </w:p>
    <w:p>
      <w:pPr>
        <w:pStyle w:val="ListBullet"/>
        <w:spacing w:after="60"/>
        <w:ind w:left="317"/>
      </w:pPr>
      <w:r>
        <w:rPr>
          <w:rFonts w:ascii="Microsoft YaHei" w:hAnsi="Microsoft YaHei" w:eastAsia="Microsoft YaHei"/>
          <w:b/>
          <w:color w:val="202B36"/>
          <w:sz w:val="19"/>
        </w:rPr>
        <w:t>时间排序：</w:t>
      </w:r>
      <w:r>
        <w:rPr>
          <w:rFonts w:ascii="Microsoft YaHei" w:hAnsi="Microsoft YaHei" w:eastAsia="Microsoft YaHei"/>
          <w:color w:val="202B36"/>
          <w:sz w:val="19"/>
        </w:rPr>
        <w:t>同类证据优先使用更新时间更近的记录，并保留过期记录作为历史参考。</w:t>
      </w:r>
    </w:p>
    <w:p>
      <w:pPr>
        <w:pStyle w:val="ListBullet"/>
        <w:spacing w:after="60"/>
        <w:ind w:left="317"/>
      </w:pPr>
      <w:r>
        <w:rPr>
          <w:rFonts w:ascii="Microsoft YaHei" w:hAnsi="Microsoft YaHei" w:eastAsia="Microsoft YaHei"/>
          <w:b/>
          <w:color w:val="202B36"/>
          <w:sz w:val="19"/>
        </w:rPr>
        <w:t>来源质量：</w:t>
      </w:r>
      <w:r>
        <w:rPr>
          <w:rFonts w:ascii="Microsoft YaHei" w:hAnsi="Microsoft YaHei" w:eastAsia="Microsoft YaHei"/>
          <w:color w:val="202B36"/>
          <w:sz w:val="19"/>
        </w:rPr>
        <w:t>官方或高质量来源优先；低质量来源只能作为线索，不能单独触发硬门槛。</w:t>
      </w:r>
    </w:p>
    <w:p>
      <w:pPr>
        <w:pStyle w:val="ListBullet"/>
        <w:spacing w:after="60"/>
        <w:ind w:left="317"/>
      </w:pPr>
      <w:r>
        <w:rPr>
          <w:rFonts w:ascii="Microsoft YaHei" w:hAnsi="Microsoft YaHei" w:eastAsia="Microsoft YaHei"/>
          <w:b/>
          <w:color w:val="202B36"/>
          <w:sz w:val="19"/>
        </w:rPr>
        <w:t>引用强制：</w:t>
      </w:r>
      <w:r>
        <w:rPr>
          <w:rFonts w:ascii="Microsoft YaHei" w:hAnsi="Microsoft YaHei" w:eastAsia="Microsoft YaHei"/>
          <w:color w:val="202B36"/>
          <w:sz w:val="19"/>
        </w:rPr>
        <w:t>RAG 返回 evidence_id、来源、日期和摘要，报告不得输出无来源的关键结论。</w:t>
      </w:r>
    </w:p>
    <w:p>
      <w:pPr>
        <w:pStyle w:val="Heading1"/>
      </w:pPr>
      <w:r>
        <w:t>五 评分与报告规则</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80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维度</w:t>
            </w:r>
          </w:p>
        </w:tc>
        <w:tc>
          <w:tcPr>
            <w:tcW w:type="dxa" w:w="1008"/>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权重</w:t>
            </w:r>
          </w:p>
        </w:tc>
        <w:tc>
          <w:tcPr>
            <w:tcW w:type="dxa" w:w="4608"/>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主要输入</w:t>
            </w:r>
          </w:p>
        </w:tc>
        <w:tc>
          <w:tcPr>
            <w:tcW w:type="dxa" w:w="2952"/>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特殊规则</w:t>
            </w:r>
          </w:p>
        </w:tc>
      </w:tr>
      <w:tr>
        <w:tc>
          <w:tcPr>
            <w:tcW w:type="dxa" w:w="180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市场需求</w:t>
            </w:r>
          </w:p>
        </w:tc>
        <w:tc>
          <w:tcPr>
            <w:tcW w:type="dxa" w:w="100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25%</w:t>
            </w:r>
          </w:p>
        </w:tc>
        <w:tc>
          <w:tcPr>
            <w:tcW w:type="dxa" w:w="460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海关趋势、新闻信号、市场活跃度</w:t>
            </w:r>
          </w:p>
        </w:tc>
        <w:tc>
          <w:tcPr>
            <w:tcW w:type="dxa" w:w="295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贸易额不等于终端销量</w:t>
            </w:r>
          </w:p>
        </w:tc>
      </w:tr>
      <w:tr>
        <w:tc>
          <w:tcPr>
            <w:tcW w:type="dxa" w:w="180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竞争机会</w:t>
            </w:r>
          </w:p>
        </w:tc>
        <w:tc>
          <w:tcPr>
            <w:tcW w:type="dxa" w:w="100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20%</w:t>
            </w:r>
          </w:p>
        </w:tc>
        <w:tc>
          <w:tcPr>
            <w:tcW w:type="dxa" w:w="460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竞品数量、规格拥挤度、相似度</w:t>
            </w:r>
          </w:p>
        </w:tc>
        <w:tc>
          <w:tcPr>
            <w:tcW w:type="dxa" w:w="295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输出对标产品而非销量排名</w:t>
            </w:r>
          </w:p>
        </w:tc>
      </w:tr>
      <w:tr>
        <w:tc>
          <w:tcPr>
            <w:tcW w:type="dxa" w:w="180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产品差异化</w:t>
            </w:r>
          </w:p>
        </w:tc>
        <w:tc>
          <w:tcPr>
            <w:tcW w:type="dxa" w:w="100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15%</w:t>
            </w:r>
          </w:p>
        </w:tc>
        <w:tc>
          <w:tcPr>
            <w:tcW w:type="dxa" w:w="460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视觉标签、规格组合、相似度</w:t>
            </w:r>
          </w:p>
        </w:tc>
        <w:tc>
          <w:tcPr>
            <w:tcW w:type="dxa" w:w="295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只使用已确认特征</w:t>
            </w:r>
          </w:p>
        </w:tc>
      </w:tr>
      <w:tr>
        <w:tc>
          <w:tcPr>
            <w:tcW w:type="dxa" w:w="180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合规可行性</w:t>
            </w:r>
          </w:p>
        </w:tc>
        <w:tc>
          <w:tcPr>
            <w:tcW w:type="dxa" w:w="100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20%</w:t>
            </w:r>
          </w:p>
        </w:tc>
        <w:tc>
          <w:tcPr>
            <w:tcW w:type="dxa" w:w="460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市场政策和产品参数</w:t>
            </w:r>
          </w:p>
        </w:tc>
        <w:tc>
          <w:tcPr>
            <w:tcW w:type="dxa" w:w="295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硬门槛优先，阻断时最高 39 分</w:t>
            </w:r>
          </w:p>
        </w:tc>
      </w:tr>
      <w:tr>
        <w:tc>
          <w:tcPr>
            <w:tcW w:type="dxa" w:w="180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供应链可行性</w:t>
            </w:r>
          </w:p>
        </w:tc>
        <w:tc>
          <w:tcPr>
            <w:tcW w:type="dxa" w:w="100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10%</w:t>
            </w:r>
          </w:p>
        </w:tc>
        <w:tc>
          <w:tcPr>
            <w:tcW w:type="dxa" w:w="460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供应商、工厂、能力和资质线索</w:t>
            </w:r>
          </w:p>
        </w:tc>
        <w:tc>
          <w:tcPr>
            <w:tcW w:type="dxa" w:w="295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不等于已签约产能</w:t>
            </w:r>
          </w:p>
        </w:tc>
      </w:tr>
      <w:tr>
        <w:tc>
          <w:tcPr>
            <w:tcW w:type="dxa" w:w="180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商业可行性</w:t>
            </w:r>
          </w:p>
        </w:tc>
        <w:tc>
          <w:tcPr>
            <w:tcW w:type="dxa" w:w="100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10%</w:t>
            </w:r>
          </w:p>
        </w:tc>
        <w:tc>
          <w:tcPr>
            <w:tcW w:type="dxa" w:w="460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零售价、成本、MOQ、渠道</w:t>
            </w:r>
          </w:p>
        </w:tc>
        <w:tc>
          <w:tcPr>
            <w:tcW w:type="dxa" w:w="295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成本缺失时标记证据不足</w:t>
            </w:r>
          </w:p>
        </w:tc>
      </w:tr>
    </w:tbl>
    <w:p>
      <w:pPr>
        <w:spacing w:after="40"/>
      </w:pPr>
    </w:p>
    <w:p>
      <w:pPr>
        <w:spacing w:before="80" w:after="160"/>
        <w:ind w:left="230" w:right="230"/>
      </w:pPr>
      <w:r>
        <w:rPr>
          <w:rFonts w:ascii="Microsoft YaHei" w:hAnsi="Microsoft YaHei" w:eastAsia="Microsoft YaHei"/>
          <w:b/>
          <w:color w:val="17324D"/>
          <w:sz w:val="19"/>
        </w:rPr>
        <w:t>结论等级：</w:t>
      </w:r>
      <w:r>
        <w:rPr>
          <w:rFonts w:ascii="Microsoft YaHei" w:hAnsi="Microsoft YaHei" w:eastAsia="Microsoft YaHei"/>
          <w:color w:val="202B36"/>
          <w:sz w:val="19"/>
        </w:rPr>
        <w:t>总分 75 分以上为 GO，55 至 74 分为 REVIEW，低于 55 分为 NO-GO。置信度最高为中等，直到接入真实销量和历史项目标签。</w:t>
      </w:r>
    </w:p>
    <w:p>
      <w:pPr>
        <w:pStyle w:val="Heading1"/>
      </w:pPr>
      <w:r>
        <w:t>六 非功能需求</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1728"/>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类别</w:t>
            </w:r>
          </w:p>
        </w:tc>
        <w:tc>
          <w:tcPr>
            <w:tcW w:type="dxa" w:w="864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要求</w:t>
            </w:r>
          </w:p>
        </w:tc>
      </w:tr>
      <w:tr>
        <w:tc>
          <w:tcPr>
            <w:tcW w:type="dxa" w:w="172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可复现</w:t>
            </w:r>
          </w:p>
        </w:tc>
        <w:tc>
          <w:tcPr>
            <w:tcW w:type="dxa" w:w="864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同一输入、数据快照和评分版本必须得到同一分数和结论。</w:t>
            </w:r>
          </w:p>
        </w:tc>
      </w:tr>
      <w:tr>
        <w:tc>
          <w:tcPr>
            <w:tcW w:type="dxa" w:w="172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可追溯</w:t>
            </w:r>
          </w:p>
        </w:tc>
        <w:tc>
          <w:tcPr>
            <w:tcW w:type="dxa" w:w="864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每项关键结论关联来源、市场、记录日期、快照日期和质量等级。</w:t>
            </w:r>
          </w:p>
        </w:tc>
      </w:tr>
      <w:tr>
        <w:tc>
          <w:tcPr>
            <w:tcW w:type="dxa" w:w="172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安全</w:t>
            </w:r>
          </w:p>
        </w:tc>
        <w:tc>
          <w:tcPr>
            <w:tcW w:type="dxa" w:w="864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OpenAI Key 只放在服务端；上传图片不进入第三方页面；云端可启用访问码。</w:t>
            </w:r>
          </w:p>
        </w:tc>
      </w:tr>
      <w:tr>
        <w:tc>
          <w:tcPr>
            <w:tcW w:type="dxa" w:w="172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性能</w:t>
            </w:r>
          </w:p>
        </w:tc>
        <w:tc>
          <w:tcPr>
            <w:tcW w:type="dxa" w:w="864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固定数据快照模式下，目标是在 3 分钟内完成一份报告。</w:t>
            </w:r>
          </w:p>
        </w:tc>
      </w:tr>
      <w:tr>
        <w:tc>
          <w:tcPr>
            <w:tcW w:type="dxa" w:w="1728"/>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可用性</w:t>
            </w:r>
          </w:p>
        </w:tc>
        <w:tc>
          <w:tcPr>
            <w:tcW w:type="dxa" w:w="864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页面刷新后可恢复评估状态；所有表单、空状态和错误状态都有提示。</w:t>
            </w:r>
          </w:p>
        </w:tc>
      </w:tr>
      <w:tr>
        <w:tc>
          <w:tcPr>
            <w:tcW w:type="dxa" w:w="1728"/>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国际化</w:t>
            </w:r>
          </w:p>
        </w:tc>
        <w:tc>
          <w:tcPr>
            <w:tcW w:type="dxa" w:w="864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网页支持中英切换，PDF 每个章节提供中文和英文内容。</w:t>
            </w:r>
          </w:p>
        </w:tc>
      </w:tr>
    </w:tbl>
    <w:p>
      <w:pPr>
        <w:spacing w:after="40"/>
      </w:pPr>
    </w:p>
    <w:p>
      <w:pPr>
        <w:pStyle w:val="Heading1"/>
      </w:pPr>
      <w:r>
        <w:t>七 验收标准</w:t>
      </w:r>
    </w:p>
    <w:p>
      <w:pPr>
        <w:pStyle w:val="ListBullet"/>
        <w:spacing w:after="60"/>
        <w:ind w:left="317"/>
      </w:pPr>
      <w:r>
        <w:rPr>
          <w:rFonts w:ascii="Microsoft YaHei" w:hAnsi="Microsoft YaHei" w:eastAsia="Microsoft YaHei"/>
          <w:color w:val="202B36"/>
          <w:sz w:val="19"/>
        </w:rPr>
        <w:t>UAE 合规样例可以完整生成六维报告、证据清单和 PDF。</w:t>
      </w:r>
    </w:p>
    <w:p>
      <w:pPr>
        <w:pStyle w:val="ListBullet"/>
        <w:spacing w:after="60"/>
        <w:ind w:left="317"/>
      </w:pPr>
      <w:r>
        <w:rPr>
          <w:rFonts w:ascii="Microsoft YaHei" w:hAnsi="Microsoft YaHei" w:eastAsia="Microsoft YaHei"/>
          <w:color w:val="202B36"/>
          <w:sz w:val="19"/>
        </w:rPr>
        <w:t>沙特 Coffee、Vanilla、Cola 等禁限口味样例触发合规硬门槛并输出 NO-GO。</w:t>
      </w:r>
    </w:p>
    <w:p>
      <w:pPr>
        <w:pStyle w:val="ListBullet"/>
        <w:spacing w:after="60"/>
        <w:ind w:left="317"/>
      </w:pPr>
      <w:r>
        <w:rPr>
          <w:rFonts w:ascii="Microsoft YaHei" w:hAnsi="Microsoft YaHei" w:eastAsia="Microsoft YaHei"/>
          <w:color w:val="202B36"/>
          <w:sz w:val="19"/>
        </w:rPr>
        <w:t>缺少目标成本时，商业可行性显示证据不足，置信度下降。</w:t>
      </w:r>
    </w:p>
    <w:p>
      <w:pPr>
        <w:pStyle w:val="ListBullet"/>
        <w:spacing w:after="60"/>
        <w:ind w:left="317"/>
      </w:pPr>
      <w:r>
        <w:rPr>
          <w:rFonts w:ascii="Microsoft YaHei" w:hAnsi="Microsoft YaHei" w:eastAsia="Microsoft YaHei"/>
          <w:color w:val="202B36"/>
          <w:sz w:val="19"/>
        </w:rPr>
        <w:t>每个关键结论都能展开来源、适用市场和日期。</w:t>
      </w:r>
    </w:p>
    <w:p>
      <w:pPr>
        <w:pStyle w:val="ListBullet"/>
        <w:spacing w:after="60"/>
        <w:ind w:left="317"/>
      </w:pPr>
      <w:r>
        <w:rPr>
          <w:rFonts w:ascii="Microsoft YaHei" w:hAnsi="Microsoft YaHei" w:eastAsia="Microsoft YaHei"/>
          <w:color w:val="202B36"/>
          <w:sz w:val="19"/>
        </w:rPr>
        <w:t>AI 识别结果必须允许用户删除或修改。</w:t>
      </w:r>
    </w:p>
    <w:p>
      <w:pPr>
        <w:pStyle w:val="ListBullet"/>
        <w:spacing w:after="60"/>
        <w:ind w:left="317"/>
      </w:pPr>
      <w:r>
        <w:rPr>
          <w:rFonts w:ascii="Microsoft YaHei" w:hAnsi="Microsoft YaHei" w:eastAsia="Microsoft YaHei"/>
          <w:color w:val="202B36"/>
          <w:sz w:val="19"/>
        </w:rPr>
        <w:t>评分数值不由大模型直接生成，报告文字不能覆盖规则引擎结果。</w:t>
      </w:r>
    </w:p>
    <w:p>
      <w:pPr>
        <w:pStyle w:val="ListBullet"/>
        <w:spacing w:after="60"/>
        <w:ind w:left="317"/>
      </w:pPr>
      <w:r>
        <w:rPr>
          <w:rFonts w:ascii="Microsoft YaHei" w:hAnsi="Microsoft YaHei" w:eastAsia="Microsoft YaHei"/>
          <w:color w:val="202B36"/>
          <w:sz w:val="19"/>
        </w:rPr>
        <w:t>中英文版本分数、事实和结论一致。</w:t>
      </w:r>
    </w:p>
    <w:p>
      <w:pPr>
        <w:pStyle w:val="ListBullet"/>
        <w:spacing w:after="60"/>
        <w:ind w:left="317"/>
      </w:pPr>
      <w:r>
        <w:rPr>
          <w:rFonts w:ascii="Microsoft YaHei" w:hAnsi="Microsoft YaHei" w:eastAsia="Microsoft YaHei"/>
          <w:color w:val="202B36"/>
          <w:sz w:val="19"/>
        </w:rPr>
        <w:t>首页、创建评估、报告、后台和 PDF 均通过测试负责人验收。</w:t>
      </w:r>
    </w:p>
    <w:p>
      <w:pPr>
        <w:pStyle w:val="Heading1"/>
      </w:pPr>
      <w:r>
        <w:t>八 首期风险与后续升级</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880"/>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风险</w:t>
            </w:r>
          </w:p>
        </w:tc>
        <w:tc>
          <w:tcPr>
            <w:tcW w:type="dxa" w:w="4032"/>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首期处理</w:t>
            </w:r>
          </w:p>
        </w:tc>
        <w:tc>
          <w:tcPr>
            <w:tcW w:type="dxa" w:w="3456"/>
            <w:shd w:fill="17324D"/>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6"/>
              </w:rPr>
              <w:t>后续升级</w:t>
            </w:r>
          </w:p>
        </w:tc>
      </w:tr>
      <w:tr>
        <w:tc>
          <w:tcPr>
            <w:tcW w:type="dxa" w:w="288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没有真实销量标签</w:t>
            </w:r>
          </w:p>
        </w:tc>
        <w:tc>
          <w:tcPr>
            <w:tcW w:type="dxa" w:w="403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输出机会评分，不称为销量预测</w:t>
            </w:r>
          </w:p>
        </w:tc>
        <w:tc>
          <w:tcPr>
            <w:tcW w:type="dxa" w:w="345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接入历史项目后做回测</w:t>
            </w:r>
          </w:p>
        </w:tc>
      </w:tr>
      <w:tr>
        <w:tc>
          <w:tcPr>
            <w:tcW w:type="dxa" w:w="288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数据更新时间不一致</w:t>
            </w:r>
          </w:p>
        </w:tc>
        <w:tc>
          <w:tcPr>
            <w:tcW w:type="dxa" w:w="403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展示警告并降低置信度</w:t>
            </w:r>
          </w:p>
        </w:tc>
        <w:tc>
          <w:tcPr>
            <w:tcW w:type="dxa" w:w="345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建立统一更新任务和数据血缘</w:t>
            </w:r>
          </w:p>
        </w:tc>
      </w:tr>
      <w:tr>
        <w:tc>
          <w:tcPr>
            <w:tcW w:type="dxa" w:w="2880"/>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RAG 召回错误市场</w:t>
            </w:r>
          </w:p>
        </w:tc>
        <w:tc>
          <w:tcPr>
            <w:tcW w:type="dxa" w:w="4032"/>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强制市场过滤和测试用例</w:t>
            </w:r>
          </w:p>
        </w:tc>
        <w:tc>
          <w:tcPr>
            <w:tcW w:type="dxa" w:w="3456"/>
            <w:shd w:fill="FFFFFF"/>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增加跨市场隔离评估</w:t>
            </w:r>
          </w:p>
        </w:tc>
      </w:tr>
      <w:tr>
        <w:tc>
          <w:tcPr>
            <w:tcW w:type="dxa" w:w="2880"/>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用户输入参数不完整</w:t>
            </w:r>
          </w:p>
        </w:tc>
        <w:tc>
          <w:tcPr>
            <w:tcW w:type="dxa" w:w="4032"/>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降低置信度并标记缺失项</w:t>
            </w:r>
          </w:p>
        </w:tc>
        <w:tc>
          <w:tcPr>
            <w:tcW w:type="dxa" w:w="3456"/>
            <w:shd w:fill="F5F7F9"/>
            <w:tcBorders>
              <w:top w:val="single" w:sz="6" w:space="0" w:color="D9E0E6"/>
              <w:left w:val="single" w:sz="6" w:space="0" w:color="D9E0E6"/>
              <w:bottom w:val="single" w:sz="6" w:space="0" w:color="D9E0E6"/>
              <w:right w:val="single" w:sz="6" w:space="0" w:color="D9E0E6"/>
              <w:insideH w:val="single" w:sz="6" w:space="0" w:color="D9E0E6"/>
              <w:insideV w:val="single" w:sz="6" w:space="0" w:color="D9E0E6"/>
            </w:tcBorders>
            <w:tcMar>
              <w:top w:w="100" w:type="dxa"/>
              <w:start w:w="120" w:type="dxa"/>
              <w:bottom w:w="100" w:type="dxa"/>
              <w:end w:w="120" w:type="dxa"/>
            </w:tcMar>
            <w:vAlign w:val="center"/>
          </w:tcPr>
          <w:p>
            <w:pPr>
              <w:spacing w:after="0" w:line="269" w:lineRule="auto"/>
            </w:pPr>
            <w:r>
              <w:rPr>
                <w:rFonts w:ascii="Microsoft YaHei" w:hAnsi="Microsoft YaHei" w:eastAsia="Microsoft YaHei"/>
                <w:color w:val="202B36"/>
                <w:sz w:val="16"/>
              </w:rPr>
              <w:t>引入行业默认值但保留人工确认</w:t>
            </w:r>
          </w:p>
        </w:tc>
      </w:tr>
    </w:tbl>
    <w:p>
      <w:pPr>
        <w:spacing w:after="40"/>
      </w:pP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B6873"/>
        <w:sz w:val="16"/>
      </w:rPr>
      <w:t>DAWSEN AI  ·  内部项目文档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icrosoft YaHei" w:hAnsi="Microsoft YaHei" w:eastAsia="Microsoft YaHei"/>
      <w:color w:val="20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