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МИНИСТЕРСТВО НАУКИ ВЫСШЕГО ОБРАЗОВАНИЯ</w:t>
        <w:br/>
        <w:t>РОССИЙСКОЙ ФЕДЕРАЦИИ</w:t>
        <w:br/>
        <w:t>ФЕДЕРАЛЬНОЕ ГОСУДАРСТВЕННОЕ АВТОНОМНОЕ ОБРАЗОВАНИЕ</w:t>
        <w:br/>
        <w:t>УЧРЕЖДЕНИЕ ВЫСШЕГО ОБРАЗОВАНИЯ</w:t>
        <w:br/>
        <w:t>"Национальный исследовательский</w:t>
        <w:br/>
        <w:t>ядерный университет "МИФИ"</w:t>
        <w:br/>
        <w:t>(ИАТЭ НИЯУ МИФИ)</w:t>
        <w:br/>
        <w:t>дата:  2023-05-27</w:t>
        <w:br/>
        <w:br/>
        <w:br/>
        <w:br/>
        <w:br/>
        <w:br/>
        <w:br/>
        <w:br/>
      </w:r>
    </w:p>
    <w:p>
      <w:pPr>
        <w:pStyle w:val="Heading1"/>
        <w:jc w:val="center"/>
      </w:pPr>
      <w:r>
        <w:t>СПРАВКА О ДОХОДАХ</w:t>
      </w:r>
    </w:p>
    <w:p>
      <w:pPr>
        <w:jc w:val="center"/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8640"/>
            <w:gridSpan w:val="4"/>
          </w:tcPr>
          <w:p>
            <w:r>
              <w:t>Михайлов Евгений Игоревич</w:t>
            </w:r>
          </w:p>
        </w:tc>
      </w:tr>
      <w:tr>
        <w:tc>
          <w:tcPr>
            <w:tcW w:type="dxa" w:w="2160"/>
          </w:tcPr>
          <w:p>
            <w:r>
              <w:t>Месяц</w:t>
            </w:r>
          </w:p>
        </w:tc>
        <w:tc>
          <w:tcPr>
            <w:tcW w:type="dxa" w:w="2160"/>
          </w:tcPr>
          <w:p>
            <w:r>
              <w:t>Академическая стипендия</w:t>
            </w:r>
          </w:p>
        </w:tc>
        <w:tc>
          <w:tcPr>
            <w:tcW w:type="dxa" w:w="2160"/>
          </w:tcPr>
          <w:p>
            <w:r>
              <w:t>Социальная стипендия</w:t>
            </w:r>
          </w:p>
        </w:tc>
        <w:tc>
          <w:tcPr>
            <w:tcW w:type="dxa" w:w="2160"/>
          </w:tcPr>
          <w:p>
            <w:r>
              <w:t>Всего</w:t>
            </w:r>
          </w:p>
        </w:tc>
      </w:tr>
      <w:tr>
        <w:tc>
          <w:tcPr>
            <w:tcW w:type="dxa" w:w="2160"/>
          </w:tcPr>
          <w:p>
            <w:r>
              <w:t>январь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1800</w:t>
            </w:r>
          </w:p>
        </w:tc>
      </w:tr>
      <w:tr>
        <w:tc>
          <w:tcPr>
            <w:tcW w:type="dxa" w:w="2160"/>
          </w:tcPr>
          <w:p>
            <w:r>
              <w:t>февраль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1800</w:t>
            </w:r>
          </w:p>
        </w:tc>
      </w:tr>
      <w:tr>
        <w:tc>
          <w:tcPr>
            <w:tcW w:type="dxa" w:w="2160"/>
          </w:tcPr>
          <w:p>
            <w:r>
              <w:t>март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1300</w:t>
            </w:r>
          </w:p>
        </w:tc>
        <w:tc>
          <w:tcPr>
            <w:tcW w:type="dxa" w:w="2160"/>
          </w:tcPr>
          <w:p>
            <w:r>
              <w:t>3100</w:t>
            </w:r>
          </w:p>
        </w:tc>
      </w:tr>
      <w:tr>
        <w:tc>
          <w:tcPr>
            <w:tcW w:type="dxa" w:w="2160"/>
          </w:tcPr>
          <w:p>
            <w:r>
              <w:t>апрель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1300</w:t>
            </w:r>
          </w:p>
        </w:tc>
        <w:tc>
          <w:tcPr>
            <w:tcW w:type="dxa" w:w="2160"/>
          </w:tcPr>
          <w:p>
            <w:r>
              <w:t>3100</w:t>
            </w:r>
          </w:p>
        </w:tc>
      </w:tr>
      <w:tr>
        <w:tc>
          <w:tcPr>
            <w:tcW w:type="dxa" w:w="2160"/>
          </w:tcPr>
          <w:p>
            <w:r>
              <w:t>май</w:t>
            </w:r>
          </w:p>
        </w:tc>
        <w:tc>
          <w:tcPr>
            <w:tcW w:type="dxa" w:w="2160"/>
          </w:tcPr>
          <w:p>
            <w:r>
              <w:t>1800</w:t>
            </w:r>
          </w:p>
        </w:tc>
        <w:tc>
          <w:tcPr>
            <w:tcW w:type="dxa" w:w="2160"/>
          </w:tcPr>
          <w:p>
            <w:r>
              <w:t>1300</w:t>
            </w:r>
          </w:p>
        </w:tc>
        <w:tc>
          <w:tcPr>
            <w:tcW w:type="dxa" w:w="2160"/>
          </w:tcPr>
          <w:p>
            <w:r>
              <w:t>3100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t>12900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mmentsStyle">
    <w:name w:val="CommentsStyle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