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0"/>
        <w:jc w:val="center"/>
      </w:pPr>
      <w:r>
        <w:rPr>
          <w:rFonts w:ascii="Arial" w:cs="Arial" w:eastAsia="Arial" w:hAnsi="Arial"/>
          <w:b/>
          <w:bCs/>
          <w:color w:val="1F3864"/>
          <w:sz w:val="60"/>
          <w:szCs w:val="60"/>
        </w:rPr>
        <w:t xml:space="preserve">INFORME EJECUTIVO</w:t>
      </w:r>
    </w:p>
    <w:p>
      <w:pPr>
        <w:spacing w:after="160"/>
        <w:jc w:val="center"/>
      </w:pPr>
      <w:r>
        <w:rPr>
          <w:rFonts w:ascii="Arial" w:cs="Arial" w:eastAsia="Arial" w:hAnsi="Arial"/>
          <w:color w:val="2E74B5"/>
          <w:sz w:val="24"/>
          <w:szCs w:val="24"/>
        </w:rPr>
        <w:t xml:space="preserve">─────────────────────────────────────────</w:t>
      </w:r>
    </w:p>
    <w:p>
      <w:pPr>
        <w:spacing w:after="120"/>
        <w:jc w:val="center"/>
      </w:pPr>
      <w:r>
        <w:rPr>
          <w:rFonts w:ascii="Arial" w:cs="Arial" w:eastAsia="Arial" w:hAnsi="Arial"/>
          <w:b/>
          <w:bCs/>
          <w:color w:val="2E74B5"/>
          <w:sz w:val="38"/>
          <w:szCs w:val="38"/>
        </w:rPr>
        <w:t xml:space="preserve">Predicción de Deserción Escolar en Ecuador</w:t>
      </w:r>
    </w:p>
    <w:p>
      <w:pPr>
        <w:spacing w:after="120"/>
        <w:jc w:val="center"/>
      </w:pPr>
      <w:r>
        <w:rPr>
          <w:rFonts w:ascii="Arial" w:cs="Arial" w:eastAsia="Arial" w:hAnsi="Arial"/>
          <w:color w:val="444444"/>
          <w:sz w:val="26"/>
          <w:szCs w:val="26"/>
        </w:rPr>
        <w:t xml:space="preserve">Para la Toma de Decisiones en Política Educativa</w:t>
      </w:r>
    </w:p>
    <w:p>
      <w:r>
        <w:t xml:space="preserve"/>
      </w:r>
    </w:p>
    <w:p>
      <w:r>
        <w:t xml:space="preserve"/>
      </w:r>
    </w:p>
    <w:p>
      <w:pPr>
        <w:jc w:val="center"/>
      </w:pPr>
      <w:r>
        <w:rPr>
          <w:rFonts w:ascii="Arial" w:cs="Arial" w:eastAsia="Arial" w:hAnsi="Arial"/>
          <w:b/>
          <w:bCs/>
          <w:color w:val="1F3864"/>
          <w:sz w:val="26"/>
          <w:szCs w:val="26"/>
        </w:rPr>
        <w:t xml:space="preserve">Ministerio de Educación del Ecuador</w:t>
      </w:r>
    </w:p>
    <w:p>
      <w:pPr>
        <w:spacing w:after="60"/>
        <w:jc w:val="center"/>
      </w:pPr>
      <w:r>
        <w:rPr>
          <w:rFonts w:ascii="Arial" w:cs="Arial" w:eastAsia="Arial" w:hAnsi="Arial"/>
          <w:color w:val="555555"/>
          <w:sz w:val="22"/>
          <w:szCs w:val="22"/>
        </w:rPr>
        <w:t xml:space="preserve">Dirección de Estadística Educativa</w:t>
      </w:r>
    </w:p>
    <w:p>
      <w:pPr>
        <w:jc w:val="center"/>
      </w:pPr>
      <w:r>
        <w:rPr>
          <w:rFonts w:ascii="Arial" w:cs="Arial" w:eastAsia="Arial" w:hAnsi="Arial"/>
          <w:i/>
          <w:iCs/>
          <w:color w:val="666666"/>
          <w:sz w:val="22"/>
          <w:szCs w:val="22"/>
        </w:rPr>
        <w:t xml:space="preserve">Abril 2026</w:t>
      </w:r>
    </w:p>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Se desarrolló un modelo de inteligencia artificial (Random Forest) para predecir el nivel de riesgo de deserción escolar en Ecuador, usando 10 años de datos del AMIE (2015-2025). El modelo analiza 16 características institucionales para clasificar cada institución en tres niveles: Bajo, Medio y Alto riesgo.</w:t>
      </w:r>
    </w:p>
    <w:p>
      <w:r>
        <w:t xml:space="preserve"/>
      </w:r>
    </w:p>
    <w:p>
      <w:pPr>
        <w:pStyle w:val="Heading2"/>
      </w:pPr>
      <w:r>
        <w:rPr>
          <w:rFonts w:ascii="Arial" w:cs="Arial" w:eastAsia="Arial" w:hAnsi="Arial"/>
        </w:rPr>
        <w:t xml:space="preserve">Indicadores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163,456</w:t>
            </w:r>
          </w:p>
          <w:p>
            <w:pPr>
              <w:jc w:val="center"/>
            </w:pPr>
            <w:r>
              <w:rPr>
                <w:rFonts w:ascii="Arial" w:cs="Arial" w:eastAsia="Arial" w:hAnsi="Arial"/>
                <w:color w:val="FFFFFF"/>
                <w:sz w:val="18"/>
                <w:szCs w:val="18"/>
              </w:rPr>
              <w:t xml:space="preserve">Registros Analizados</w:t>
            </w:r>
          </w:p>
        </w:tc>
        <w:tc>
          <w:tcPr>
            <w:tcW w:type="dxa" w:w="3120"/>
            <w:shd w:fill="2E74B5"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2015–2025</w:t>
            </w:r>
          </w:p>
          <w:p>
            <w:pPr>
              <w:jc w:val="center"/>
            </w:pPr>
            <w:r>
              <w:rPr>
                <w:rFonts w:ascii="Arial" w:cs="Arial" w:eastAsia="Arial" w:hAnsi="Arial"/>
                <w:color w:val="FFFFFF"/>
                <w:sz w:val="18"/>
                <w:szCs w:val="18"/>
              </w:rPr>
              <w:t xml:space="preserve">Años de Datos</w:t>
            </w:r>
          </w:p>
        </w:tc>
        <w:tc>
          <w:tcPr>
            <w:tcW w:type="dxa" w:w="3120"/>
            <w:shd w:fill="2563A0"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16</w:t>
            </w:r>
          </w:p>
          <w:p>
            <w:pPr>
              <w:jc w:val="center"/>
            </w:pPr>
            <w:r>
              <w:rPr>
                <w:rFonts w:ascii="Arial" w:cs="Arial" w:eastAsia="Arial" w:hAnsi="Arial"/>
                <w:color w:val="FFFFFF"/>
                <w:sz w:val="18"/>
                <w:szCs w:val="18"/>
              </w:rPr>
              <w:t xml:space="preserve">Variables Predictoras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7D4F"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65.1%</w:t>
            </w:r>
          </w:p>
          <w:p>
            <w:pPr>
              <w:jc w:val="center"/>
            </w:pPr>
            <w:r>
              <w:rPr>
                <w:rFonts w:ascii="Arial" w:cs="Arial" w:eastAsia="Arial" w:hAnsi="Arial"/>
                <w:color w:val="FFFFFF"/>
                <w:sz w:val="18"/>
                <w:szCs w:val="18"/>
              </w:rPr>
              <w:t xml:space="preserve">Exactitud del Modelo</w:t>
            </w:r>
          </w:p>
        </w:tc>
        <w:tc>
          <w:tcPr>
            <w:tcW w:type="dxa" w:w="3120"/>
            <w:shd w:fill="217A4F"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72.4%</w:t>
            </w:r>
          </w:p>
          <w:p>
            <w:pPr>
              <w:jc w:val="center"/>
            </w:pPr>
            <w:r>
              <w:rPr>
                <w:rFonts w:ascii="Arial" w:cs="Arial" w:eastAsia="Arial" w:hAnsi="Arial"/>
                <w:color w:val="FFFFFF"/>
                <w:sz w:val="18"/>
                <w:szCs w:val="18"/>
              </w:rPr>
              <w:t xml:space="preserve">F1-Score Ponderado</w:t>
            </w:r>
          </w:p>
        </w:tc>
        <w:tc>
          <w:tcPr>
            <w:tcW w:type="dxa" w:w="3120"/>
            <w:shd w:fill="1A6B44" w:color="FFFFFF" w:val="clear"/>
            <w:tcMar>
              <w:top w:type="dxa" w:w="160"/>
              <w:left w:type="dxa" w:w="120"/>
              <w:bottom w:type="dxa" w:w="160"/>
              <w:right w:type="dxa" w:w="120"/>
            </w:tcMar>
          </w:tcPr>
          <w:p>
            <w:pPr>
              <w:jc w:val="center"/>
            </w:pPr>
            <w:r>
              <w:rPr>
                <w:rFonts w:ascii="Arial" w:cs="Arial" w:eastAsia="Arial" w:hAnsi="Arial"/>
                <w:b/>
                <w:bCs/>
                <w:color w:val="FFFFFF"/>
                <w:sz w:val="44"/>
                <w:szCs w:val="44"/>
              </w:rPr>
              <w:t xml:space="preserve">71.73%</w:t>
            </w:r>
          </w:p>
          <w:p>
            <w:pPr>
              <w:jc w:val="center"/>
            </w:pPr>
            <w:r>
              <w:rPr>
                <w:rFonts w:ascii="Arial" w:cs="Arial" w:eastAsia="Arial" w:hAnsi="Arial"/>
                <w:color w:val="FFFFFF"/>
                <w:sz w:val="18"/>
                <w:szCs w:val="18"/>
              </w:rPr>
              <w:t xml:space="preserve">Validación Cruzada</w:t>
            </w:r>
          </w:p>
        </w:tc>
      </w:tr>
    </w:tbl>
    <w:p>
      <w:r>
        <w:t xml:space="preserve"/>
      </w:r>
    </w:p>
    <w:p>
      <w:pPr>
        <w:pStyle w:val="Heading1"/>
      </w:pPr>
      <w:r>
        <w:rPr>
          <w:rFonts w:ascii="Arial" w:cs="Arial" w:eastAsia="Arial" w:hAnsi="Arial"/>
        </w:rPr>
        <w:t xml:space="preserve">2. El Problema: Deserción Escolar en Ecuador</w:t>
      </w:r>
    </w:p>
    <w:p>
      <w:pPr>
        <w:spacing w:after="120"/>
      </w:pPr>
      <w:r>
        <w:rPr>
          <w:rFonts w:ascii="Arial" w:cs="Arial" w:eastAsia="Arial" w:hAnsi="Arial"/>
          <w:sz w:val="22"/>
          <w:szCs w:val="22"/>
        </w:rPr>
        <w:t xml:space="preserve">La deserción escolar afecta directamente el desarrollo del capital humano nacional. Identificar a tiempo qué instituciones tienen mayor riesgo permite focalizar los recursos del Estado antes de que los estudiantes abandonen el sistema educativo.</w:t>
      </w:r>
    </w:p>
    <w:p>
      <w:r>
        <w:t xml:space="preserve"/>
      </w:r>
    </w:p>
    <w:p>
      <w:pPr>
        <w:spacing w:after="60" w:before="100"/>
        <w:jc w:val="center"/>
      </w:pPr>
      <w:r>
        <w:drawing>
          <wp:inline distT="0" distB="0" distL="0" distR="0">
            <wp:extent cx="5048250" cy="1752600"/>
            <wp:effectExtent t="0" r="0" b="0" l="0"/>
            <wp:docPr id="1" name="dist_target.png" descr="dist_target.png" title="dist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7526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1 — Distribución del nivel de riesgo de deserción en 163,456 registros (10 años)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800"/>
        <w:gridCol w:w="3060"/>
      </w:tblGrid>
      <w:tr>
        <w:trPr>
          <w:tblHeader/>
        </w:trPr>
        <w:tc>
          <w:tcPr>
            <w:tcW w:type="dxa" w:w="23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 de Riesgo</w:t>
            </w:r>
          </w:p>
        </w:tc>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Instituciones-Año</w:t>
            </w:r>
          </w:p>
        </w:tc>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Porcentaje</w:t>
            </w:r>
          </w:p>
        </w:tc>
        <w:tc>
          <w:tcPr>
            <w:tcW w:type="dxa" w:w="30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Requerida</w:t>
            </w:r>
          </w:p>
        </w:tc>
      </w:tr>
      <w:tr>
        <w:trPr>
          <w:tblHeader w:val="false"/>
        </w:trPr>
        <w:tc>
          <w:tcPr>
            <w:tcW w:type="dxa" w:w="23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147,118</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90.0%</w:t>
            </w:r>
          </w:p>
        </w:tc>
        <w:tc>
          <w:tcPr>
            <w:tcW w:type="dxa" w:w="30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Monitoreo periódico estándar</w:t>
            </w:r>
          </w:p>
        </w:tc>
      </w:tr>
      <w:tr>
        <w:trPr>
          <w:tblHeader w:val="false"/>
        </w:trPr>
        <w:tc>
          <w:tcPr>
            <w:tcW w:type="dxa" w:w="23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10,200</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c>
          <w:tcPr>
            <w:tcW w:type="dxa" w:w="30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Intervención preventiva coordinada</w:t>
            </w:r>
          </w:p>
        </w:tc>
      </w:tr>
      <w:tr>
        <w:trPr>
          <w:tblHeader w:val="false"/>
        </w:trPr>
        <w:tc>
          <w:tcPr>
            <w:tcW w:type="dxa" w:w="23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6,138</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c>
          <w:tcPr>
            <w:tcW w:type="dxa" w:w="30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Intervención urgente prioritaria</w:t>
            </w:r>
          </w:p>
        </w:tc>
      </w:tr>
    </w:tbl>
    <w:p>
      <w:r>
        <w:t xml:space="preserve"/>
      </w:r>
    </w:p>
    <w:p>
      <w:pPr>
        <w:spacing w:after="120"/>
      </w:pPr>
      <w:r>
        <w:rPr>
          <w:rFonts w:ascii="Arial" w:cs="Arial" w:eastAsia="Arial" w:hAnsi="Arial"/>
          <w:sz w:val="22"/>
          <w:szCs w:val="22"/>
        </w:rPr>
        <w:t xml:space="preserve">Aunque el 3.8% puede parecer pequeño, representa 6,138 registros de institución-año donde miles de estudiantes estuvieron en riesgo real de abandonar sus estudios. La detección anticipada es clave para revertir esta tendencia.</w:t>
      </w:r>
    </w:p>
    <w:p>
      <w:r>
        <w:t xml:space="preserve"/>
      </w:r>
    </w:p>
    <w:p>
      <w:r>
        <w:br w:type="page"/>
      </w:r>
    </w:p>
    <w:p>
      <w:pPr>
        <w:pStyle w:val="Heading1"/>
      </w:pPr>
      <w:r>
        <w:rPr>
          <w:rFonts w:ascii="Arial" w:cs="Arial" w:eastAsia="Arial" w:hAnsi="Arial"/>
        </w:rPr>
        <w:t xml:space="preserve">3. Resultados del Modelo de IA</w:t>
      </w:r>
    </w:p>
    <w:p>
      <w:pPr>
        <w:spacing w:after="120"/>
      </w:pPr>
      <w:r>
        <w:rPr>
          <w:rFonts w:ascii="Arial" w:cs="Arial" w:eastAsia="Arial" w:hAnsi="Arial"/>
          <w:sz w:val="22"/>
          <w:szCs w:val="22"/>
        </w:rPr>
        <w:t xml:space="preserve">El modelo fue evaluado con 32,692 registros que nunca vio durante el entrenamiento (set de prueba del 20%). Esto garantiza que los resultados reflejan la capacidad real del modelo ante datos nuevos.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24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Detectados Correctamente</w:t>
            </w:r>
          </w:p>
        </w:tc>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33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significa</w:t>
            </w:r>
          </w:p>
        </w:tc>
      </w:tr>
      <w:tr>
        <w:trPr>
          <w:tblHeader w:val="false"/>
        </w:trPr>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 Riesgo</w:t>
            </w:r>
          </w:p>
        </w:tc>
        <w:tc>
          <w:tcPr>
            <w:tcW w:type="dxa" w:w="2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 de los reales</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w:t>
            </w:r>
          </w:p>
        </w:tc>
        <w:tc>
          <w:tcPr>
            <w:tcW w:type="dxa" w:w="3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 cada 3 instituciones críticas, detecta ~1</w:t>
            </w:r>
          </w:p>
        </w:tc>
      </w:tr>
      <w:tr>
        <w:trPr>
          <w:tblHeader w:val="false"/>
        </w:trPr>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 Riesgo</w:t>
            </w:r>
          </w:p>
        </w:tc>
        <w:tc>
          <w:tcPr>
            <w:tcW w:type="dxa" w:w="2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69% de los reales</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0.79</w:t>
            </w:r>
          </w:p>
        </w:tc>
        <w:tc>
          <w:tcPr>
            <w:tcW w:type="dxa" w:w="33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Alta confiabilidad — evita falsas alarmas</w:t>
            </w:r>
          </w:p>
        </w:tc>
      </w:tr>
      <w:tr>
        <w:trPr>
          <w:tblHeader w:val="false"/>
        </w:trPr>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 Riesgo</w:t>
            </w:r>
          </w:p>
        </w:tc>
        <w:tc>
          <w:tcPr>
            <w:tcW w:type="dxa" w:w="2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 de los reales</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0.16</w:t>
            </w:r>
          </w:p>
        </w:tc>
        <w:tc>
          <w:tcPr>
            <w:tcW w:type="dxa" w:w="3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Detecta ~1 de cada 3 instituciones en riesgo medio</w:t>
            </w:r>
          </w:p>
        </w:tc>
      </w:tr>
    </w:tbl>
    <w:p>
      <w:r>
        <w:t xml:space="preserve"/>
      </w:r>
    </w:p>
    <w:p>
      <w:pPr>
        <w:spacing w:after="120"/>
      </w:pPr>
      <w:r>
        <w:rPr>
          <w:rFonts w:ascii="Arial" w:cs="Arial" w:eastAsia="Arial" w:hAnsi="Arial"/>
          <w:sz w:val="22"/>
          <w:szCs w:val="22"/>
        </w:rPr>
        <w:t xml:space="preserve">El modelo es especialmente valioso para priorizar intervenciones: aunque no detecta todas las instituciones en riesgo, las que identifica como "Alto" son candidatos prioritarios para programas de retención estudiantil.</w:t>
      </w:r>
    </w:p>
    <w:p>
      <w:r>
        <w:t xml:space="preserve"/>
      </w:r>
    </w:p>
    <w:p>
      <w:pPr>
        <w:spacing w:after="60" w:before="100"/>
        <w:jc w:val="center"/>
      </w:pPr>
      <w:r>
        <w:drawing>
          <wp:inline distT="0" distB="0" distL="0" distR="0">
            <wp:extent cx="4381500" cy="3143250"/>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432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2 — Matriz de confusión: predicciones del modelo vs. realidad observada en el set de prueba</w:t>
      </w:r>
    </w:p>
    <w:p>
      <w:r>
        <w:t xml:space="preserve"/>
      </w:r>
    </w:p>
    <w:p>
      <w:pPr>
        <w:pStyle w:val="Heading1"/>
      </w:pPr>
      <w:r>
        <w:rPr>
          <w:rFonts w:ascii="Arial" w:cs="Arial" w:eastAsia="Arial" w:hAnsi="Arial"/>
        </w:rPr>
        <w:t xml:space="preserve">4. Factores que Determinan la Deserción</w:t>
      </w:r>
    </w:p>
    <w:p>
      <w:pPr>
        <w:spacing w:after="60" w:before="100"/>
        <w:jc w:val="center"/>
      </w:pPr>
      <w:r>
        <w:drawing>
          <wp:inline distT="0" distB="0" distL="0" distR="0">
            <wp:extent cx="5048250" cy="29908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9908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3 — Importancia de cada variable en la predicción del modelo (16 variables analizadas)</w:t>
      </w:r>
    </w:p>
    <w:p>
      <w:r>
        <w:t xml:space="preserve"/>
      </w:r>
    </w:p>
    <w:p>
      <w:pPr>
        <w:spacing w:after="120"/>
      </w:pPr>
      <w:r>
        <w:rPr>
          <w:rFonts w:ascii="Arial" w:cs="Arial" w:eastAsia="Arial" w:hAnsi="Arial"/>
          <w:b/>
          <w:bCs/>
          <w:sz w:val="22"/>
          <w:szCs w:val="22"/>
        </w:rPr>
        <w:t xml:space="preserve">Los factores más influyentes en la deserción son:</w:t>
      </w:r>
    </w:p>
    <w:p>
      <w:pPr>
        <w:spacing w:after="120"/>
      </w:pPr>
      <w:r>
        <w:rPr>
          <w:rFonts w:ascii="Arial" w:cs="Arial" w:eastAsia="Arial" w:hAnsi="Arial"/>
          <w:sz w:val="22"/>
          <w:szCs w:val="22"/>
        </w:rPr>
        <w:t xml:space="preserve">1. Área geográfica (urbana/rural): Las instituciones rurales tienen sistemáticamente mayor riesgo de deserción.</w:t>
      </w:r>
    </w:p>
    <w:p>
      <w:pPr>
        <w:spacing w:after="120"/>
      </w:pPr>
      <w:r>
        <w:rPr>
          <w:rFonts w:ascii="Arial" w:cs="Arial" w:eastAsia="Arial" w:hAnsi="Arial"/>
          <w:sz w:val="22"/>
          <w:szCs w:val="22"/>
        </w:rPr>
        <w:t xml:space="preserve">2. Zona administrativa: Existe variabilidad significativa entre las 9 zonas educativas del Ecuador.</w:t>
      </w:r>
    </w:p>
    <w:p>
      <w:pPr>
        <w:spacing w:after="120"/>
      </w:pPr>
      <w:r>
        <w:rPr>
          <w:rFonts w:ascii="Arial" w:cs="Arial" w:eastAsia="Arial" w:hAnsi="Arial"/>
          <w:sz w:val="22"/>
          <w:szCs w:val="22"/>
        </w:rPr>
        <w:t xml:space="preserve">3. Sostenimiento (fiscal vs. particular): Las instituciones fiscales rurales concentran el mayor riesgo.</w:t>
      </w:r>
    </w:p>
    <w:p>
      <w:pPr>
        <w:spacing w:after="120"/>
      </w:pPr>
      <w:r>
        <w:rPr>
          <w:rFonts w:ascii="Arial" w:cs="Arial" w:eastAsia="Arial" w:hAnsi="Arial"/>
          <w:sz w:val="22"/>
          <w:szCs w:val="22"/>
        </w:rPr>
        <w:t xml:space="preserve">4. Ratio docente-estudiante: Instituciones con menos docentes por estudiante presentan mayor deserción.</w:t>
      </w:r>
    </w:p>
    <w:p>
      <w:r>
        <w:t xml:space="preserve"/>
      </w:r>
    </w:p>
    <w:p>
      <w:pPr>
        <w:pStyle w:val="Heading1"/>
      </w:pPr>
      <w:r>
        <w:rPr>
          <w:rFonts w:ascii="Arial" w:cs="Arial" w:eastAsia="Arial" w:hAnsi="Arial"/>
        </w:rPr>
        <w:t xml:space="preserve">5. Análisis Geográfico y Regional</w:t>
      </w:r>
    </w:p>
    <w:p>
      <w:pPr>
        <w:spacing w:after="60" w:before="100"/>
        <w:jc w:val="center"/>
      </w:pPr>
      <w:r>
        <w:drawing>
          <wp:inline distT="0" distB="0" distL="0" distR="0">
            <wp:extent cx="5048250" cy="3009900"/>
            <wp:effectExtent t="0" r="0" b="0" l="0"/>
            <wp:docPr id="1" name="heatmap_provincia_anio.png" descr="heatmap_provincia_anio.png" title="heatmap_provincia_a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0099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4 — Tasa de deserción por provincia y año lectivo: identifica provincias y períodos críticos</w:t>
      </w:r>
    </w:p>
    <w:p>
      <w:r>
        <w:t xml:space="preserve"/>
      </w:r>
    </w:p>
    <w:p>
      <w:pPr>
        <w:spacing w:after="120"/>
      </w:pPr>
      <w:r>
        <w:rPr>
          <w:rFonts w:ascii="Arial" w:cs="Arial" w:eastAsia="Arial" w:hAnsi="Arial"/>
          <w:sz w:val="22"/>
          <w:szCs w:val="22"/>
        </w:rPr>
        <w:t xml:space="preserve">El análisis provincial permite identificar tres tipos de situaciones que requieren estrategias diferenciadas:</w:t>
      </w:r>
    </w:p>
    <w:p>
      <w:pPr>
        <w:spacing w:after="120"/>
      </w:pPr>
      <w:r>
        <w:rPr>
          <w:rFonts w:ascii="Arial" w:cs="Arial" w:eastAsia="Arial" w:hAnsi="Arial"/>
          <w:sz w:val="22"/>
          <w:szCs w:val="22"/>
        </w:rPr>
        <w:t xml:space="preserve">Provincias con deserción crónicamente alta: requieren intervención estructural y recursos permanentes.</w:t>
      </w:r>
    </w:p>
    <w:p>
      <w:pPr>
        <w:spacing w:after="120"/>
      </w:pPr>
      <w:r>
        <w:rPr>
          <w:rFonts w:ascii="Arial" w:cs="Arial" w:eastAsia="Arial" w:hAnsi="Arial"/>
          <w:sz w:val="22"/>
          <w:szCs w:val="22"/>
        </w:rPr>
        <w:t xml:space="preserve">Provincias con tendencia creciente: necesitan atención preventiva antes de que la situación se agrave.</w:t>
      </w:r>
    </w:p>
    <w:p>
      <w:pPr>
        <w:spacing w:after="120"/>
      </w:pPr>
      <w:r>
        <w:rPr>
          <w:rFonts w:ascii="Arial" w:cs="Arial" w:eastAsia="Arial" w:hAnsi="Arial"/>
          <w:sz w:val="22"/>
          <w:szCs w:val="22"/>
        </w:rPr>
        <w:t xml:space="preserve">Provincias con mejora sostenida: representan modelos de buenas prácticas replicables en otras zonas.</w:t>
      </w:r>
    </w:p>
    <w:p>
      <w:r>
        <w:t xml:space="preserve"/>
      </w:r>
    </w:p>
    <w:p>
      <w:pPr>
        <w:spacing w:after="120"/>
      </w:pPr>
      <w:r>
        <w:rPr>
          <w:rFonts w:ascii="Arial" w:cs="Arial" w:eastAsia="Arial" w:hAnsi="Arial"/>
          <w:b/>
          <w:bCs/>
          <w:color w:val="C0392B"/>
          <w:sz w:val="22"/>
          <w:szCs w:val="22"/>
        </w:rPr>
        <w:t xml:space="preserve">Nota clave: El año 2020-2021 muestra un pico histórico de deserción en la mayoría de provincias, vinculado directamente a la pandemia COVID-19 y la interrupción de la modalidad presencial.</w:t>
      </w:r>
    </w:p>
    <w:p>
      <w:r>
        <w:t xml:space="preserve"/>
      </w:r>
    </w:p>
    <w:p>
      <w:pPr>
        <w:spacing w:after="60" w:before="100"/>
        <w:jc w:val="center"/>
      </w:pPr>
      <w:r>
        <w:drawing>
          <wp:inline distT="0" distB="0" distL="0" distR="0">
            <wp:extent cx="5048250" cy="2476500"/>
            <wp:effectExtent t="0" r="0" b="0" l="0"/>
            <wp:docPr id="1" name="evolucion_regional.png" descr="evolucion_regional.png" title="evolucion_reg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4765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5 — Evolución de la deserción por región escolar a lo largo de los 10 años analizados</w:t>
      </w:r>
    </w:p>
    <w:p>
      <w:r>
        <w:t xml:space="preserve"/>
      </w:r>
    </w:p>
    <w:p>
      <w:pPr>
        <w:pStyle w:val="Heading1"/>
      </w:pPr>
      <w:r>
        <w:rPr>
          <w:rFonts w:ascii="Arial" w:cs="Arial" w:eastAsia="Arial" w:hAnsi="Arial"/>
        </w:rPr>
        <w:t xml:space="preserve">6. Confiabilidad y Robustez del Modelo</w:t>
      </w:r>
    </w:p>
    <w:p>
      <w:pPr>
        <w:spacing w:after="120"/>
      </w:pPr>
      <w:r>
        <w:rPr>
          <w:rFonts w:ascii="Arial" w:cs="Arial" w:eastAsia="Arial" w:hAnsi="Arial"/>
          <w:sz w:val="22"/>
          <w:szCs w:val="22"/>
        </w:rPr>
        <w:t xml:space="preserve">Para garantizar que los resultados no son casuales, el modelo fue evaluado mediante validación cruzada estratificada de 5 particiones. Esto simula 5 escenarios diferentes de entrenamiento y prueba con datos reales: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3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31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Estabilidad</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Escenario 1 (Fold 1)</w:t>
            </w:r>
          </w:p>
        </w:tc>
        <w:tc>
          <w:tcPr>
            <w:tcW w:type="dxa" w:w="3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71.57%</w:t>
            </w:r>
          </w:p>
        </w:tc>
        <w:tc>
          <w:tcPr>
            <w:tcW w:type="dxa" w:w="3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Estable</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Escenario 2 (Fold 2)</w:t>
            </w:r>
          </w:p>
        </w:tc>
        <w:tc>
          <w:tcPr>
            <w:tcW w:type="dxa" w:w="3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72.22%</w:t>
            </w:r>
          </w:p>
        </w:tc>
        <w:tc>
          <w:tcPr>
            <w:tcW w:type="dxa" w:w="31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Estable</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Escenario 3 (Fold 3)</w:t>
            </w:r>
          </w:p>
        </w:tc>
        <w:tc>
          <w:tcPr>
            <w:tcW w:type="dxa" w:w="3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71.83%</w:t>
            </w:r>
          </w:p>
        </w:tc>
        <w:tc>
          <w:tcPr>
            <w:tcW w:type="dxa" w:w="3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Estable</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Escenario 4 (Fold 4)</w:t>
            </w:r>
          </w:p>
        </w:tc>
        <w:tc>
          <w:tcPr>
            <w:tcW w:type="dxa" w:w="3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71.55%</w:t>
            </w:r>
          </w:p>
        </w:tc>
        <w:tc>
          <w:tcPr>
            <w:tcW w:type="dxa" w:w="31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Estable</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Escenario 5 (Fold 5)</w:t>
            </w:r>
          </w:p>
        </w:tc>
        <w:tc>
          <w:tcPr>
            <w:tcW w:type="dxa" w:w="3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71.48%</w:t>
            </w:r>
          </w:p>
        </w:tc>
        <w:tc>
          <w:tcPr>
            <w:tcW w:type="dxa" w:w="3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Estable</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PROMEDIO</w:t>
            </w:r>
          </w:p>
        </w:tc>
        <w:tc>
          <w:tcPr>
            <w:tcW w:type="dxa" w:w="3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71.73% ± 0.27%</w:t>
            </w:r>
          </w:p>
        </w:tc>
        <w:tc>
          <w:tcPr>
            <w:tcW w:type="dxa" w:w="31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Alta confiabilidad</w:t>
            </w:r>
          </w:p>
        </w:tc>
      </w:tr>
    </w:tbl>
    <w:p>
      <w:r>
        <w:t xml:space="preserve"/>
      </w:r>
    </w:p>
    <w:p>
      <w:pPr>
        <w:spacing w:after="120"/>
      </w:pPr>
      <w:r>
        <w:rPr>
          <w:rFonts w:ascii="Arial" w:cs="Arial" w:eastAsia="Arial" w:hAnsi="Arial"/>
          <w:sz w:val="22"/>
          <w:szCs w:val="22"/>
        </w:rPr>
        <w:t xml:space="preserve">La variación de solo ±0.27% entre los 5 escenarios es un indicador crítico: el modelo se comportará de forma consistente cuando se aplique a los datos del próximo año escolar 2025-2026.</w:t>
      </w:r>
    </w:p>
    <w:p>
      <w:r>
        <w:t xml:space="preserve"/>
      </w:r>
    </w:p>
    <w:p>
      <w:r>
        <w:br w:type="page"/>
      </w:r>
    </w:p>
    <w:p>
      <w:pPr>
        <w:pStyle w:val="Heading1"/>
      </w:pPr>
      <w:r>
        <w:rPr>
          <w:rFonts w:ascii="Arial" w:cs="Arial" w:eastAsia="Arial" w:hAnsi="Arial"/>
        </w:rPr>
        <w:t xml:space="preserve">7. Segmentación de Instituciones por Perfil</w:t>
      </w:r>
    </w:p>
    <w:p>
      <w:pPr>
        <w:spacing w:after="60" w:before="100"/>
        <w:jc w:val="center"/>
      </w:pPr>
      <w:r>
        <w:drawing>
          <wp:inline distT="0" distB="0" distL="0" distR="0">
            <wp:extent cx="5048250" cy="3505200"/>
            <wp:effectExtent t="0" r="0" b="0" l="0"/>
            <wp:docPr id="1" name="pca_desercion.png" descr="pca_desercion.png" title="pca_deser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5052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Figura 6 — Agrupación de instituciones por similitud de características: 163,456 registros en 2D</w:t>
      </w:r>
    </w:p>
    <w:p>
      <w:r>
        <w:t xml:space="preserve"/>
      </w:r>
    </w:p>
    <w:p>
      <w:pPr>
        <w:spacing w:after="120"/>
      </w:pPr>
      <w:r>
        <w:rPr>
          <w:rFonts w:ascii="Arial" w:cs="Arial" w:eastAsia="Arial" w:hAnsi="Arial"/>
          <w:sz w:val="22"/>
          <w:szCs w:val="22"/>
        </w:rPr>
        <w:t xml:space="preserve">El gráfico muestra cómo el modelo "ve" a las instituciones educativas en un espacio multidimensional reducido. Los grupos separados confirman que el modelo puede distinguir efectivamente entre perfiles institucionales. Esta segmentación permite diseñar estrategias de intervención diferenciadas por tipo de institución.</w:t>
      </w:r>
    </w:p>
    <w:p>
      <w:r>
        <w:t xml:space="preserve"/>
      </w:r>
    </w:p>
    <w:p>
      <w:pPr>
        <w:pStyle w:val="Heading1"/>
      </w:pPr>
      <w:r>
        <w:rPr>
          <w:rFonts w:ascii="Arial" w:cs="Arial" w:eastAsia="Arial" w:hAnsi="Arial"/>
        </w:rPr>
        <w:t xml:space="preserve">8. Recomendaciones para la Toma de Decisiones</w:t>
      </w:r>
    </w:p>
    <w:p>
      <w:pPr>
        <w:pStyle w:val="Heading2"/>
      </w:pPr>
      <w:r>
        <w:rPr>
          <w:rFonts w:ascii="Arial" w:cs="Arial" w:eastAsia="Arial" w:hAnsi="Arial"/>
        </w:rPr>
        <w:t xml:space="preserve">Acciones Inmediatas (0-3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tblHeader/>
        </w:trPr>
        <w:tc>
          <w:tcPr>
            <w:tcW w:type="dxa" w:w="5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21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r>
      <w:tr>
        <w:trPr>
          <w:tblHeader w:val="false"/>
        </w:trPr>
        <w:tc>
          <w:tcPr>
            <w:tcW w:type="dxa" w:w="5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Identificar las ~6,000+ instituciones en riesgo Alto y asignar tutor de seguimiento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Coordinaciones Zonales</w:t>
            </w:r>
          </w:p>
        </w:tc>
        <w:tc>
          <w:tcPr>
            <w:tcW w:type="dxa" w:w="2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r>
      <w:tr>
        <w:trPr>
          <w:tblHeader w:val="false"/>
        </w:trPr>
        <w:tc>
          <w:tcPr>
            <w:tcW w:type="dxa" w:w="5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Activar programas de becas y apoyo en instituciones críticas identificadas por el modelo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Dirección de Educación</w:t>
            </w:r>
          </w:p>
        </w:tc>
        <w:tc>
          <w:tcPr>
            <w:tcW w:type="dxa" w:w="21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r>
      <w:tr>
        <w:trPr>
          <w:tblHeader w:val="false"/>
        </w:trPr>
        <w:tc>
          <w:tcPr>
            <w:tcW w:type="dxa" w:w="5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Realizar visitas técnicas prioritarias en provincias con mayor concentración de riesgo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Supervisores Distritales</w:t>
            </w:r>
          </w:p>
        </w:tc>
        <w:tc>
          <w:tcPr>
            <w:tcW w:type="dxa" w:w="2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r>
    </w:tbl>
    <w:p>
      <w:r>
        <w:t xml:space="preserve"/>
      </w:r>
    </w:p>
    <w:p>
      <w:pPr>
        <w:pStyle w:val="Heading2"/>
      </w:pPr>
      <w:r>
        <w:rPr>
          <w:rFonts w:ascii="Arial" w:cs="Arial" w:eastAsia="Arial" w:hAnsi="Arial"/>
        </w:rPr>
        <w:t xml:space="preserve">Acciones de Mediano Plazo (3-12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tblHeader/>
        </w:trPr>
        <w:tc>
          <w:tcPr>
            <w:tcW w:type="dxa" w:w="5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21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r>
      <w:tr>
        <w:trPr>
          <w:tblHeader w:val="false"/>
        </w:trPr>
        <w:tc>
          <w:tcPr>
            <w:tcW w:type="dxa" w:w="5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Implementar tablero de monitoreo en tiempo real con las predicciones del modelo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Dirección TIC</w:t>
            </w:r>
          </w:p>
        </w:tc>
        <w:tc>
          <w:tcPr>
            <w:tcW w:type="dxa" w:w="2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r>
      <w:tr>
        <w:trPr>
          <w:tblHeader w:val="false"/>
        </w:trPr>
        <w:tc>
          <w:tcPr>
            <w:tcW w:type="dxa" w:w="5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Capacitar a directores regionales en el uso e interpretación del modelo predictivo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Dirección de RRHH</w:t>
            </w:r>
          </w:p>
        </w:tc>
        <w:tc>
          <w:tcPr>
            <w:tcW w:type="dxa" w:w="21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w:t>
            </w:r>
          </w:p>
        </w:tc>
      </w:tr>
      <w:tr>
        <w:trPr>
          <w:tblHeader w:val="false"/>
        </w:trPr>
        <w:tc>
          <w:tcPr>
            <w:tcW w:type="dxa" w:w="5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Diseñar estrategias diferenciadas para las ~10,200 instituciones de riesgo Medio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Planificación</w:t>
            </w:r>
          </w:p>
        </w:tc>
        <w:tc>
          <w:tcPr>
            <w:tcW w:type="dxa" w:w="21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w:t>
            </w:r>
          </w:p>
        </w:tc>
      </w:tr>
    </w:tbl>
    <w:p>
      <w:r>
        <w:t xml:space="preserve"/>
      </w:r>
    </w:p>
    <w:p>
      <w:pPr>
        <w:pStyle w:val="Heading2"/>
      </w:pPr>
      <w:r>
        <w:rPr>
          <w:rFonts w:ascii="Arial" w:cs="Arial" w:eastAsia="Arial" w:hAnsi="Arial"/>
        </w:rPr>
        <w:t xml:space="preserve">Acciones Estratégicas (1-3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36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 Esperado</w:t>
            </w:r>
          </w:p>
        </w:tc>
      </w:tr>
      <w:tr>
        <w:trPr>
          <w:tblHeader w:val="false"/>
        </w:trPr>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Integrar datos socioeconómicos del INEC para mejorar la precisión en clases minoritarias</w:t>
            </w:r>
          </w:p>
        </w:tc>
        <w:tc>
          <w:tcPr>
            <w:tcW w:type="dxa" w:w="36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F1 Alto potencialmente +15-20pp</w:t>
            </w:r>
          </w:p>
        </w:tc>
      </w:tr>
      <w:tr>
        <w:trPr>
          <w:tblHeader w:val="false"/>
        </w:trPr>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Re-entrenamiento anual del modelo con datos del nuevo año lectivo</w:t>
            </w:r>
          </w:p>
        </w:tc>
        <w:tc>
          <w:tcPr>
            <w:tcW w:type="dxa" w:w="36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Mantiene precisión actualizada</w:t>
            </w:r>
          </w:p>
        </w:tc>
      </w:tr>
      <w:tr>
        <w:trPr>
          <w:tblHeader w:val="false"/>
        </w:trPr>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Desarrollar sistema de alerta temprana automatizado para inicio de ciclo escolar</w:t>
            </w:r>
          </w:p>
        </w:tc>
        <w:tc>
          <w:tcPr>
            <w:tcW w:type="dxa" w:w="36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Intervención proactiva masiva</w:t>
            </w:r>
          </w:p>
        </w:tc>
      </w:tr>
      <w:tr>
        <w:trPr>
          <w:tblHeader w:val="false"/>
        </w:trPr>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Implementar modelos específicos por región geográfica (Costa, Sierra, Amazonía)</w:t>
            </w:r>
          </w:p>
        </w:tc>
        <w:tc>
          <w:tcPr>
            <w:tcW w:type="dxa" w:w="36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Mejor captura de patrones locales</w:t>
            </w:r>
          </w:p>
        </w:tc>
      </w:tr>
    </w:tbl>
    <w:p>
      <w:r>
        <w:t xml:space="preserve"/>
      </w:r>
    </w:p>
    <w:p>
      <w:pPr>
        <w:pStyle w:val="Heading1"/>
      </w:pPr>
      <w:r>
        <w:rPr>
          <w:rFonts w:ascii="Arial" w:cs="Arial" w:eastAsia="Arial" w:hAnsi="Arial"/>
        </w:rPr>
        <w:t xml:space="preserve">9. Conclusión</w:t>
      </w:r>
    </w:p>
    <w:p>
      <w:pPr>
        <w:spacing w:after="120"/>
      </w:pPr>
      <w:r>
        <w:rPr>
          <w:rFonts w:ascii="Arial" w:cs="Arial" w:eastAsia="Arial" w:hAnsi="Arial"/>
          <w:sz w:val="22"/>
          <w:szCs w:val="22"/>
        </w:rPr>
        <w:t xml:space="preserve">El modelo predictivo de deserción escolar desarrollado con 10 años de datos AMIE (163,456 registros, 2015-2025) representa un avance significativo en la capacidad analítica del Ministerio. Con un F1-Score ponderado de 72.4% y una estabilidad comprobada de 71.73% ± 0.27%, el modelo está listo para su implementación operativa.</w:t>
      </w:r>
    </w:p>
    <w:p>
      <w:pPr>
        <w:spacing w:after="120"/>
      </w:pPr>
      <w:r>
        <w:rPr>
          <w:rFonts w:ascii="Arial" w:cs="Arial" w:eastAsia="Arial" w:hAnsi="Arial"/>
          <w:sz w:val="22"/>
          <w:szCs w:val="22"/>
        </w:rPr>
        <w:t xml:space="preserve">La principal fortaleza es su capacidad de procesar 10 años de datos institucionales y generar predicciones accionables que permiten priorizar recursos de manera objetiva y basada en evidencia. La herramienta no reemplaza el juicio experto — lo potencia con información que sería imposible obtener manualmente.</w:t>
      </w:r>
    </w:p>
    <w:p>
      <w:pPr>
        <w:spacing w:after="120"/>
      </w:pPr>
      <w:r>
        <w:rPr>
          <w:rFonts w:ascii="Arial" w:cs="Arial" w:eastAsia="Arial" w:hAnsi="Arial"/>
          <w:b/>
          <w:bCs/>
          <w:color w:val="1F3864"/>
          <w:sz w:val="22"/>
          <w:szCs w:val="22"/>
        </w:rPr>
        <w:t xml:space="preserve">Recomendación final: implementar el modelo como herramienta de apoyo a la decisión a partir del ciclo escolar 2025-2026, con revisión y re-entrenamiento anual para mantener su vigencia.</w:t>
      </w:r>
    </w:p>
    <w:p>
      <w:r>
        <w:t xml:space="preserve"/>
      </w:r>
    </w:p>
    <w:p>
      <w:pPr>
        <w:jc w:val="center"/>
      </w:pPr>
      <w:r>
        <w:rPr>
          <w:rFonts w:ascii="Arial" w:cs="Arial" w:eastAsia="Arial" w:hAnsi="Arial"/>
          <w:color w:val="2E74B5"/>
          <w:sz w:val="22"/>
          <w:szCs w:val="22"/>
        </w:rPr>
        <w:t xml:space="preserve">─────────────────────────────────────────────────────</w:t>
      </w:r>
    </w:p>
    <w:p>
      <w:pPr>
        <w:spacing w:after="60"/>
        <w:jc w:val="center"/>
      </w:pPr>
      <w:r>
        <w:rPr>
          <w:rFonts w:ascii="Arial" w:cs="Arial" w:eastAsia="Arial" w:hAnsi="Arial"/>
          <w:i/>
          <w:iCs/>
          <w:color w:val="555555"/>
          <w:sz w:val="18"/>
          <w:szCs w:val="18"/>
        </w:rPr>
        <w:t xml:space="preserve">Documento para uso exclusivo de la Dirección Nacional de Análisis e Información Educativa</w:t>
      </w:r>
    </w:p>
    <w:p>
      <w:pPr>
        <w:jc w:val="center"/>
      </w:pPr>
      <w:r>
        <w:rPr>
          <w:rFonts w:ascii="Arial" w:cs="Arial" w:eastAsia="Arial" w:hAnsi="Arial"/>
          <w:i/>
          <w:iCs/>
          <w:color w:val="555555"/>
          <w:sz w:val="18"/>
          <w:szCs w:val="18"/>
        </w:rPr>
        <w:t xml:space="preserve">Ministerio de Educación del Ecuador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555555"/>
        <w:sz w:val="18"/>
        <w:szCs w:val="18"/>
      </w:rPr>
      <w:t xml:space="preserve">INFORME EJECUTIVO — Predicción de Deserción Escolar | Ministerio de Educación del Ecuador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3a9b8c80282689d0fad74ef33ebea44e07051.png"/><Relationship Id="rId10" Type="http://schemas.openxmlformats.org/officeDocument/2006/relationships/image" Target="media/4fb1845b9d6bb142d010cac2cff7c8db564d4d88.png"/><Relationship Id="rId11" Type="http://schemas.openxmlformats.org/officeDocument/2006/relationships/image" Target="media/43cb313e8b20ac5cc4321258b2c940942eab0405.png"/><Relationship Id="rId12" Type="http://schemas.openxmlformats.org/officeDocument/2006/relationships/image" Target="media/32f33d158715d076607b2444780f10199e235b4a.png"/><Relationship Id="rId13" Type="http://schemas.openxmlformats.org/officeDocument/2006/relationships/image" Target="media/2aaece1a954fba9b405f3efc21740c434c556b64.png"/><Relationship Id="rId14" Type="http://schemas.openxmlformats.org/officeDocument/2006/relationships/image" Target="media/2cd7e7cbaebd14ee5b1e165e04e59b50048fa44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 Predicción Deserción Escolar Ecuador</dc:title>
  <dc:creator>Análisis Educativo ML</dc:creator>
  <cp:lastModifiedBy>Un-named</cp:lastModifiedBy>
  <cp:revision>1</cp:revision>
  <dcterms:created xsi:type="dcterms:W3CDTF">2026-04-05T21:13:17.837Z</dcterms:created>
  <dcterms:modified xsi:type="dcterms:W3CDTF">2026-04-05T21:13:17.838Z</dcterms:modified>
</cp:coreProperties>
</file>

<file path=docProps/custom.xml><?xml version="1.0" encoding="utf-8"?>
<Properties xmlns="http://schemas.openxmlformats.org/officeDocument/2006/custom-properties" xmlns:vt="http://schemas.openxmlformats.org/officeDocument/2006/docPropsVTypes"/>
</file>