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5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60"/>
          <w:szCs w:val="60"/>
        </w:rPr>
        <w:t xml:space="preserve">INFORME EJECUTIVO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Prediccion de Desercion Escolar en Ecuador</w:t>
      </w:r>
    </w:p>
    <w:p>
      <w:pPr>
        <w:spacing w:after="30" w:before="3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Analisis de Machine Learning sobre datos AMIE 2020-2025</w:t>
      </w:r>
    </w:p>
    <w:p>
      <w:pPr>
        <w:pBdr>
          <w:bottom w:val="single" w:color="1F3864" w:sz="8" w:space="1"/>
        </w:pBdr>
        <w:spacing w:after="160" w:before="40"/>
      </w:pP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nil" w:color="FFFFFF" w:sz="0"/>
              <w:bottom w:val="single" w:color="CCCCCC" w:sz="2"/>
              <w:right w:val="nil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DESTINADO A: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Autoridades y tomadores de decision del sector educativo ecuatoriano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Ministerio de Educacion | Direcciones Provinciales | Coordinaciones Zonales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78,587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Instituciones Analizadas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5 anos lectivos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36"/>
                <w:szCs w:val="36"/>
              </w:rPr>
              <w:t xml:space="preserve">7,984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Con Riesgo Medio o Alto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10.2% del total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2.6%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Pico de Desercion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Ano 2022-2023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64.5%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Precision del Modelo IA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Random Forest</w:t>
            </w:r>
          </w:p>
        </w:tc>
      </w:tr>
    </w:tbl>
    <w:p>
      <w:pPr>
        <w:spacing w:after="20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Fuente: AMIE — Ministerio de Educacion del Ecuador  |  Abril 2026  |  Uso Interno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Contexto del Problema</w:t>
      </w:r>
    </w:p>
    <w:p>
      <w:pPr>
        <w:pBdr>
          <w:bottom w:val="single" w:color="2E75B6" w:sz="8" w:space="1"/>
        </w:pBdr>
        <w:spacing w:after="160" w:before="40"/>
      </w:pPr>
    </w:p>
    <w:p>
      <w:pPr>
        <w:spacing w:after="90" w:before="5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Ecuador enfrenta un desafio educativo critico: miles de estudiantes abandonan sus estudios antes de completar el ano lectivo. Este fenomeno — la desercion escolar — erosiona el capital humano del pais, perpetua la pobreza y compromete las metas de desarrollo sostenible.</w:t>
      </w:r>
    </w:p>
    <w:p>
      <w:pPr>
        <w:spacing w:after="80" w:before="80"/>
      </w:pPr>
    </w:p>
    <w:p>
      <w:pPr>
        <w:spacing w:after="90" w:before="5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informe resume los hallazgos de un analisis de Machine Learning aplicado sobre 78,587 registros institucionales del sistema AMIE, cubriendo el periodo 2020-2021 a 2024-2025. El objetivo es dotar a los tomadores de decision de informacion precisa, accionable y basada en evidencia.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4"/>
              <w:left w:val="thick" w:color="E65100" w:sz="16"/>
              <w:bottom w:val="single" w:color="E65100" w:sz="4"/>
              <w:right w:val="single" w:color="E65100" w:sz="2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4"/>
                <w:szCs w:val="24"/>
              </w:rPr>
              <w:t xml:space="preserve">!  Lo que los datos revelan claramente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Entre 2020 y 2023, la tasa de desercion media del pais se DUPLICO: paso del 1.2%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 2.6%. Los efectos de la pandemia en el sistema educativo son mas graves de lo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que las estadisticas agregadas sugerian.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 numeros reales: solo en Costa y Sierra se estiman MAS DE 500,000 abandonos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escolares acumulados en los anos analizados.</w:t>
            </w:r>
          </w:p>
        </w:tc>
      </w:tr>
    </w:tbl>
    <w:p>
      <w:pPr>
        <w:spacing w:after="200" w:before="20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Evolucion Historica y Comparacion Regional</w:t>
      </w:r>
    </w:p>
    <w:p>
      <w:pPr>
        <w:pBdr>
          <w:bottom w:val="single" w:color="2E75B6" w:sz="8" w:space="1"/>
        </w:pBdr>
        <w:spacing w:after="160" w:before="40"/>
      </w:pPr>
    </w:p>
    <w:p>
      <w:pPr>
        <w:spacing w:after="90" w:before="5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El siguiente grafico muestra como ha evolucionado la desercion escolar en Ecuador por region (Costa vs Sierra) desde 2015 hasta 2025. Es el indicador mas importante para entender la magnitud y tendencia del problema.</w:t>
      </w:r>
    </w:p>
    <w:p>
      <w:pPr>
        <w:spacing w:after="80" w:before="80"/>
      </w:pPr>
    </w:p>
    <w:p>
      <w:pPr>
        <w:spacing w:after="50" w:before="100"/>
        <w:jc w:val="center"/>
      </w:pPr>
      <w:r>
        <w:drawing>
          <wp:inline distT="0" distB="0" distL="0" distR="0">
            <wp:extent cx="4762500" cy="2343150"/>
            <wp:effectExtent t="0" r="0" b="0" l="0"/>
            <wp:docPr id="1" name="Proyeccion desercion por region" descr="Proyeccion desercion por region" title="Proyeccion desercion por 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Grafico 1: Tasa media de desercion (%) por region. Costa = azul. Sierra = naranja. Fuente: AMIE.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9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Costa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Sierra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Pico historico (2015-2016)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~7.0%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~3.5%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Pre-pandemia (2019-2020)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~1.5%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~1.5%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Peor post-COVID (2022-2023)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~2.0%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~2.5%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Ultimo dato (2024-2025)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~1.6%</w:t>
            </w:r>
          </w:p>
        </w:tc>
        <w:tc>
          <w:tcPr>
            <w:tcW w:type="dxa" w:w="30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~1.5%</w:t>
            </w:r>
          </w:p>
        </w:tc>
      </w:tr>
    </w:tbl>
    <w:p>
      <w:pPr>
        <w:spacing w:after="120" w:before="120"/>
      </w:pPr>
    </w:p>
    <w:p>
      <w:pPr>
        <w:spacing w:after="90" w:before="50" w:line="29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CONCLUSION PARA DECISION: La Costa tiene el mayor volumen absoluto de abandonos. La Sierra muestra mayor sensibilidad al efecto post-COVID. Ambas regiones recuperan terreno en 2024-2025, pero aun no alcanzan niveles pre-pandemia.</w:t>
      </w:r>
    </w:p>
    <w:p>
      <w:pPr>
        <w:spacing w:after="200" w:before="20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La Magnitud Real: Cuantos Estudiantes Perdemos?</w:t>
      </w:r>
    </w:p>
    <w:p>
      <w:pPr>
        <w:pBdr>
          <w:bottom w:val="single" w:color="2E75B6" w:sz="8" w:space="1"/>
        </w:pBdr>
        <w:spacing w:after="160" w:before="40"/>
      </w:pPr>
    </w:p>
    <w:p>
      <w:pPr>
        <w:spacing w:after="50" w:before="10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Matricula inicio vs fin por region" descr="Matricula inicio vs fin por region" title="Matricula inicio vs fin por 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Grafico 2: Matricula acumulada al inicio y al fin de ano por region. El desplazamiento de cada punto es la desercion.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36"/>
                <w:szCs w:val="36"/>
              </w:rPr>
              <w:t xml:space="preserve">-1.1%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Sierra: Abandonos Estimados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~211,000 estudiantes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-1.2%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Costa: Abandonos Estimados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~305,000 estudiantes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36"/>
                <w:szCs w:val="36"/>
              </w:rPr>
              <w:t xml:space="preserve">500K+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Total Estimado Acumulado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estudiantes que no terminaron</w:t>
            </w:r>
          </w:p>
        </w:tc>
      </w:tr>
    </w:tbl>
    <w:p>
      <w:pPr>
        <w:spacing w:after="160" w:before="16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Donde se Concentra el Problema?</w:t>
      </w:r>
    </w:p>
    <w:p>
      <w:pPr>
        <w:pBdr>
          <w:bottom w:val="single" w:color="2E75B6" w:sz="8" w:space="1"/>
        </w:pBdr>
        <w:spacing w:after="160" w:before="40"/>
      </w:pPr>
    </w:p>
    <w:p>
      <w:pPr>
        <w:spacing w:after="90" w:before="5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El siguiente mapa de calor permite identificar las provincias y anos con mayor urgencia de intervencion. Los colores mas rojos indican mayor tasa de desercion.</w:t>
      </w:r>
    </w:p>
    <w:p>
      <w:pPr>
        <w:spacing w:after="80" w:before="80"/>
      </w:pPr>
    </w:p>
    <w:p>
      <w:pPr>
        <w:spacing w:after="50" w:before="100"/>
        <w:jc w:val="center"/>
      </w:pPr>
      <w:r>
        <w:drawing>
          <wp:inline distT="0" distB="0" distL="0" distR="0">
            <wp:extent cx="4953000" cy="3038475"/>
            <wp:effectExtent t="0" r="0" b="0" l="0"/>
            <wp:docPr id="1" name="Heatmap provincias" descr="Heatmap provincias" title="Heatmap provi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Grafico 3: Tasa de desercion (%) por provincia y ano lectivo. Rojo oscuro = alta desercion. Las 20 provincias con mayor indice.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thick" w:color="C0392B" w:sz="16"/>
              <w:bottom w:val="single" w:color="C0392B" w:sz="4"/>
              <w:right w:val="single" w:color="C0392B" w:sz="2"/>
            </w:tcBorders>
            <w:shd w:fill="FDEDEC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1B17"/>
                <w:sz w:val="24"/>
                <w:szCs w:val="24"/>
              </w:rPr>
              <w:t xml:space="preserve">!  Provincias que requieren intervencion INMEDIATA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MORONA SANTIAGO — Desercion cronica, pico 4.2% en 2022-2023 — PRIORIDAD 1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PASTAZA — 3.3% en 2022-2023 — Amazonia, dispersion geografica — PRIORIDAD 2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PICHINCHA — 3.8% en 2022-2023 — Paradoja urbana de la capital — PRIORIDAD 3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SUCUMBIOS — 3.9% — Alta movilidad poblacional zona petrolera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GUAYAS — 3.4% en 2021-2022 — Mayor concentracion urbana del pais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Los 3 Factores Clave que Amplifican la Desercion</w:t>
      </w:r>
    </w:p>
    <w:p>
      <w:pPr>
        <w:pBdr>
          <w:bottom w:val="single" w:color="2E75B6" w:sz="8" w:space="1"/>
        </w:pBdr>
        <w:spacing w:after="160" w:before="40"/>
      </w:pPr>
    </w:p>
    <w:p>
      <w:pPr>
        <w:spacing w:after="50" w:before="100"/>
        <w:jc w:val="center"/>
      </w:pPr>
      <w:r>
        <w:drawing>
          <wp:inline distT="0" distB="0" distL="0" distR="0">
            <wp:extent cx="4762500" cy="2705100"/>
            <wp:effectExtent t="0" r="0" b="0" l="0"/>
            <wp:docPr id="1" name="Brechas regionales" descr="Brechas regionales" title="Brechas reg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Grafico 4: Brecha en tasa de desercion (p.p.) segun factor. Rojo = incrementa la desercion. Verde = la reduce.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"/>
        <w:gridCol w:w="2527"/>
        <w:gridCol w:w="2978"/>
        <w:gridCol w:w="2890"/>
      </w:tblGrid>
      <w:tr>
        <w:trPr>
          <w:tblHeader/>
        </w:trPr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Brecha Medida</w:t>
            </w:r>
          </w:p>
        </w:tc>
        <w:tc>
          <w:tcPr>
            <w:tcW w:type="dxa" w:w="2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Recomendada</w:t>
            </w:r>
          </w:p>
        </w:tc>
      </w:tr>
      <w:tr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Tipo de Financiamiento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(Fiscal vs No Fiscal)</w:t>
            </w:r>
          </w:p>
        </w:tc>
        <w:tc>
          <w:tcPr>
            <w:tcW w:type="dxa" w:w="2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Costa: +0.62 p.p.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Sierra: +0.94 p.p.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escuelas no fiscales tienen mayor desercion</w:t>
            </w:r>
          </w:p>
        </w:tc>
        <w:tc>
          <w:tcPr>
            <w:tcW w:type="dxa" w:w="2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Fortalecer mecanismos de retencion en escuelas particulares. Becas de permanencia focalizadas.</w:t>
            </w:r>
          </w:p>
        </w:tc>
      </w:tr>
      <w:tr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Ratio Docente/Estudiante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(Alto vs Bajo)</w:t>
            </w:r>
          </w:p>
        </w:tc>
        <w:tc>
          <w:tcPr>
            <w:tcW w:type="dxa" w:w="2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Costa: -0.49 p.p.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Sierra: -0.51 p.p.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Menos alumnos por profesor = menos desercion</w:t>
            </w:r>
          </w:p>
        </w:tc>
        <w:tc>
          <w:tcPr>
            <w:tcW w:type="dxa" w:w="2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Contratar docentes en escuelas superpobladas. Reducir tamano de aulas en zonas criticas.</w:t>
            </w:r>
          </w:p>
        </w:tc>
      </w:tr>
      <w:tr>
        <w:tc>
          <w:tcPr>
            <w:tcW w:type="dxa" w:w="6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Area Geografica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(Rural vs Urbana)</w:t>
            </w:r>
          </w:p>
        </w:tc>
        <w:tc>
          <w:tcPr>
            <w:tcW w:type="dxa" w:w="29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Costa: -0.44 p.p.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Sierra: -0.36 p.p.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escuelas RURALES retienen mejor</w:t>
            </w:r>
          </w:p>
        </w:tc>
        <w:tc>
          <w:tcPr>
            <w:tcW w:type="dxa" w:w="28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Reducir "factores de distraccion" urbanos. Fortalecer programas de inclusion en ciudades.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Que Nos Dice el Modelo de Inteligencia Artificial?</w:t>
      </w:r>
    </w:p>
    <w:p>
      <w:pPr>
        <w:pBdr>
          <w:bottom w:val="single" w:color="2E75B6" w:sz="8" w:space="1"/>
        </w:pBdr>
        <w:spacing w:after="160" w:before="40"/>
      </w:pPr>
    </w:p>
    <w:p>
      <w:pPr>
        <w:spacing w:after="90" w:before="5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Se entrenaron 200 arboles de decision (Random Forest) sobre 78,587 registros. El modelo clasifica cada institucion en tres niveles de riesgo y explica cuales factores son mas determinantes.</w:t>
      </w:r>
    </w:p>
    <w:p>
      <w:pPr>
        <w:spacing w:after="100" w:before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Distribucion General de Riesgo</w:t>
      </w:r>
    </w:p>
    <w:p>
      <w:pPr>
        <w:spacing w:after="50" w:before="100"/>
        <w:jc w:val="center"/>
      </w:pPr>
      <w:r>
        <w:drawing>
          <wp:inline distT="0" distB="0" distL="0" distR="0">
            <wp:extent cx="4762500" cy="1666875"/>
            <wp:effectExtent t="0" r="0" b="0" l="0"/>
            <wp:docPr id="1" name="Distribucion niveles de riesgo" descr="Distribucion niveles de riesgo" title="Distribucion niveles de ries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Grafico 5: Izq. — Conteo de instituciones por nivel de riesgo. Der. — Evolucion de la tasa media 2020-2025.</w:t>
      </w:r>
    </w:p>
    <w:p>
      <w:pPr>
        <w:spacing w:after="120" w:before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Variables que mas Predicen la Desercion</w:t>
      </w:r>
    </w:p>
    <w:p>
      <w:pPr>
        <w:spacing w:after="50" w:before="100"/>
        <w:jc w:val="center"/>
      </w:pPr>
      <w:r>
        <w:drawing>
          <wp:inline distT="0" distB="0" distL="0" distR="0">
            <wp:extent cx="4762500" cy="2924175"/>
            <wp:effectExtent t="0" r="0" b="0" l="0"/>
            <wp:docPr id="1" name="Importancia de variables" descr="Importancia de variables" title="Importancia de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Grafico 6: Importancia de cada variable en el modelo IA (indice Gini). Cuanto mas larga la barra, mas importante el factor.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2888"/>
        <w:gridCol w:w="1624"/>
        <w:gridCol w:w="361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3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Implicacion para Decision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Matricula inicial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27%</w:t>
            </w:r>
          </w:p>
        </w:tc>
        <w:tc>
          <w:tcPr>
            <w:tcW w:type="dxa" w:w="3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Escuelas muy grandes o muy pequenas = mayor riesgo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Composicion de genero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16%</w:t>
            </w:r>
          </w:p>
        </w:tc>
        <w:tc>
          <w:tcPr>
            <w:tcW w:type="dxa" w:w="3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mezcla de generos en el aula incide en la retencion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 docente/estudiante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3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Menos alumnos por profesor reduce significativamente el riesgo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Zona administrativa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ubicacion geografica es factor determinante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#5</w:t>
            </w:r>
          </w:p>
        </w:tc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 docentes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3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 profesores = mayor capacidad de atencion y seguimiento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Alertas Especificas por Modalidad y Jornada</w:t>
      </w:r>
    </w:p>
    <w:p>
      <w:pPr>
        <w:pBdr>
          <w:bottom w:val="single" w:color="2E75B6" w:sz="8" w:space="1"/>
        </w:pBdr>
        <w:spacing w:after="160" w:before="40"/>
      </w:pPr>
    </w:p>
    <w:p>
      <w:pPr>
        <w:spacing w:after="90" w:before="5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El analisis por categorias revela dos focos de alarma que requieren accion inmediata, independientemente de la zona geografica.</w:t>
      </w:r>
    </w:p>
    <w:p>
      <w:pPr>
        <w:spacing w:after="100" w:before="100"/>
      </w:pPr>
    </w:p>
    <w:p>
      <w:pPr>
        <w:spacing w:after="50" w:before="100"/>
        <w:jc w:val="center"/>
      </w:pPr>
      <w:r>
        <w:drawing>
          <wp:inline distT="0" distB="0" distL="0" distR="0">
            <wp:extent cx="4857750" cy="3095625"/>
            <wp:effectExtent t="0" r="0" b="0" l="0"/>
            <wp:docPr id="1" name="Desercion por categorias" descr="Desercion por categorias" title="Desercion por categor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Grafico 7: Tasa de desercion segun tipo de institucion. Rojo = critico. Naranja = preocupante. Verde = aceptable.</w:t>
      </w:r>
    </w:p>
    <w:p>
      <w:pPr>
        <w:spacing w:after="14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thick" w:color="C0392B" w:sz="16"/>
              <w:bottom w:val="single" w:color="C0392B" w:sz="4"/>
              <w:right w:val="single" w:color="C0392B" w:sz="2"/>
            </w:tcBorders>
            <w:shd w:fill="FDEDEC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1B17"/>
                <w:sz w:val="24"/>
                <w:szCs w:val="24"/>
              </w:rPr>
              <w:t xml:space="preserve">!!  ALERTA CRITICA N.1 — Modalidad "En Casa": 20% de abandono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 de cada 5 estudiantes inscritos en modalidad "En Casa" no finaliza el ano lectivo.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Esta tasa es 10 veces mayor que la de las escuelas presenciales (2%).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Accion inmediata requerida: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Auditoria completa de todas las instituciones con modalidad En Casa.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Revision del proceso de seguimiento y verificacion de asistencia.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Evaluacion de si esta modalidad cumple estandares minimos de calidad educativa.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4"/>
              <w:left w:val="thick" w:color="F57F17" w:sz="16"/>
              <w:bottom w:val="single" w:color="F57F17" w:sz="4"/>
              <w:right w:val="single" w:color="F57F17" w:sz="2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4500"/>
                <w:sz w:val="24"/>
                <w:szCs w:val="24"/>
              </w:rPr>
              <w:t xml:space="preserve">!  ALERTA N.2 — Jornada Nocturna: 6.5% de desercion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Las escuelas nocturnas tienen 6.5 veces mas desercion que las matutinas (1%).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perfil del estudiante nocturno (adulto trabajador) es altamente vulnerable.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Accion recomendada: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Programa de becas o subsidio de permanencia para estudiantes nocturnos.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Flexibilidad horaria y modalidad hibrida para este segmento.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Coordinacion con el Ministerio de Trabajo para proteger el derecho a estudiar.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Rendimiento del Modelo y Confiabilidad</w:t>
      </w:r>
    </w:p>
    <w:p>
      <w:pPr>
        <w:pBdr>
          <w:bottom w:val="single" w:color="2E75B6" w:sz="8" w:space="1"/>
        </w:pBdr>
        <w:spacing w:after="160" w:before="40"/>
      </w:pPr>
    </w:p>
    <w:p>
      <w:pPr>
        <w:spacing w:after="90" w:before="5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Es importante que los tomadores de decision comprendan tanto las capacidades como las limitaciones del modelo de inteligencia artificial utilizado.</w:t>
      </w:r>
    </w:p>
    <w:p>
      <w:pPr>
        <w:spacing w:after="100" w:before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Como funciona el modelo</w:t>
      </w:r>
    </w:p>
    <w:p>
      <w:pPr>
        <w:spacing w:after="90" w:before="5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analiza 15 caracteristicas de cada institucion y predice si tendra desercion Baja, Media o Alta. Fue entrenado con el 80% de los datos y evaluado con el 20% restante (15,723 instituciones nunca vistas).</w:t>
      </w:r>
    </w:p>
    <w:p>
      <w:pPr>
        <w:spacing w:after="100" w:before="100"/>
      </w:pPr>
    </w:p>
    <w:p>
      <w:pPr>
        <w:spacing w:after="50" w:before="100"/>
        <w:jc w:val="center"/>
      </w:pPr>
      <w:r>
        <w:drawing>
          <wp:inline distT="0" distB="0" distL="0" distR="0">
            <wp:extent cx="4191000" cy="3067050"/>
            <wp:effectExtent t="0" r="0" b="0" l="0"/>
            <wp:docPr id="1" name="Matriz de confusion" descr="Matriz de confusion" title="Matriz de con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Grafico 8: Matriz de confusion. Diagonal = aciertos. Resto = errores. Evaluado sobre 15,723 instituciones.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64.5%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Precision Global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10,137 / 15,723 correctos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6"/>
                <w:szCs w:val="36"/>
              </w:rPr>
              <w:t xml:space="preserve">68%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Detecta Riesgo BAJO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9,625 de 14,122 casos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30%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Detecta Riesgo ALTO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Solo 145 de 484 casos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4"/>
              <w:left w:val="thick" w:color="1565C0" w:sz="16"/>
              <w:bottom w:val="single" w:color="1565C0" w:sz="4"/>
              <w:right w:val="single" w:color="1565C0" w:sz="2"/>
            </w:tcBorders>
            <w:shd w:fill="E8F4FD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i  Limitacion importante que debe considerar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modelo detecta bien los casos de riesgo BAJO (68% de acierto).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Sin embargo, solo identifica el 30% de los casos de riesgo ALTO.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Esto significa que por cada 10 escuelas en situacion critica real, el modelo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solo "ve" 3. Las otras 7 quedan sin detectar (falsos negativos).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CAUSA: El dataset tiene 90% de casos de riesgo bajo y solo 3% de riesgo alto.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modelo aprende bien lo que abunda, pero le cuesta detectar lo escaso.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RECOMENDACION: Usar el modelo como herramienta de APOYO a la decision,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como reemplazo del criterio tecnico y del conocimiento de campo.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sistema debe complementarse con reportes de inspectores y supervisores.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Plan de Accion Recomendado</w:t>
      </w:r>
    </w:p>
    <w:p>
      <w:pPr>
        <w:pBdr>
          <w:bottom w:val="single" w:color="2E75B6" w:sz="8" w:space="1"/>
        </w:pBdr>
        <w:spacing w:after="160" w:before="40"/>
      </w:pPr>
    </w:p>
    <w:p>
      <w:pPr>
        <w:spacing w:after="90" w:before="5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Con base en los hallazgos del analisis, se propone el siguiente plan de accion estructurado por nivel de urgencia y responsable sugerido.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985"/>
        <w:gridCol w:w="1985"/>
        <w:gridCol w:w="2168"/>
      </w:tblGrid>
      <w:tr>
        <w:trPr>
          <w:tblHeader/>
        </w:trPr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</w:tr>
      <w:tr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 modalidad "En Casa" — revisar 100% de instituciones en esta modalidad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INMEDIATA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Subsecretaria de Educacion</w:t>
            </w:r>
          </w:p>
        </w:tc>
        <w:tc>
          <w:tcPr>
            <w:tcW w:type="dxa" w:w="2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Reducir 20% -&gt; 8% de desercion en esa modalidad</w:t>
            </w:r>
          </w:p>
        </w:tc>
      </w:tr>
      <w:tr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Destinar tutores adicionales a Morona Santiago, Pastaza, Sucumbios y Orellana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INMEDIATA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Coordinacion Zonal Amazonica</w:t>
            </w:r>
          </w:p>
        </w:tc>
        <w:tc>
          <w:tcPr>
            <w:tcW w:type="dxa" w:w="2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Reduccion estimada de 0.5-1.0 p.p. en esas provincias</w:t>
            </w:r>
          </w:p>
        </w:tc>
      </w:tr>
      <w:tr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 de becas de permanencia para jornada nocturna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dias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Ministerio de Educacion</w:t>
            </w:r>
          </w:p>
        </w:tc>
        <w:tc>
          <w:tcPr>
            <w:tcW w:type="dxa" w:w="2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Reducir desercion nocturna de 6.5% a menos de 4%</w:t>
            </w:r>
          </w:p>
        </w:tc>
      </w:tr>
      <w:tr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Implementar sistema de alerta temprana con el modelo IA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meses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 de Tecnologia MINEDUC</w:t>
            </w:r>
          </w:p>
        </w:tc>
        <w:tc>
          <w:tcPr>
            <w:tcW w:type="dxa" w:w="2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escuelas en riesgo antes de que ocurra la desercion</w:t>
            </w:r>
          </w:p>
        </w:tc>
      </w:tr>
      <w:tr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Reducir ratio alumnos/docente en escuelas &gt; 500 estudiantes en zonas criticas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meses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Coordinaciones Zonales</w:t>
            </w:r>
          </w:p>
        </w:tc>
        <w:tc>
          <w:tcPr>
            <w:tcW w:type="dxa" w:w="2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Mejora del factor #3 predictor — impacto en 11% de importancia</w:t>
            </w:r>
          </w:p>
        </w:tc>
      </w:tr>
      <w:tr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Fortalecer programas de retencion en escuelas particulares urbanas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meses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Subsecretaria de Educacion Privada</w:t>
            </w:r>
          </w:p>
        </w:tc>
        <w:tc>
          <w:tcPr>
            <w:tcW w:type="dxa" w:w="2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Reducir brecha particular vs fiscal de 1.3 p.p.</w:t>
            </w:r>
          </w:p>
        </w:tc>
      </w:tr>
      <w:tr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Actualizar modelo IA con datos de 2015-2019 y tecnica SMOTE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6-12 meses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tecnico de datos MINEDUC</w:t>
            </w:r>
          </w:p>
        </w:tc>
        <w:tc>
          <w:tcPr>
            <w:tcW w:type="dxa" w:w="2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Mejorar deteccion de riesgo alto de 30% a mas del 60%</w:t>
            </w:r>
          </w:p>
        </w:tc>
      </w:tr>
      <w:tr>
        <w:tc>
          <w:tcPr>
            <w:tcW w:type="dxa" w:w="2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Monitoreo trimestral de indicadores por provincia y modalidad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Recurrente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Direcciones Provinciales</w:t>
            </w:r>
          </w:p>
        </w:tc>
        <w:tc>
          <w:tcPr>
            <w:tcW w:type="dxa" w:w="2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Seguimiento continuo del impacto de las intervenciones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Resumen Ejecutivo — Lo que Debe Recordar</w:t>
      </w:r>
    </w:p>
    <w:p>
      <w:pPr>
        <w:pBdr>
          <w:bottom w:val="single" w:color="2E75B6" w:sz="8" w:space="1"/>
        </w:pBdr>
        <w:spacing w:after="160" w:before="4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+117%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La desercion subio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entre 2020 y 2023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36"/>
                <w:szCs w:val="36"/>
              </w:rPr>
              <w:t xml:space="preserve">20%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Modalidad En Casa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tasa de abandono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6.5%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Jornada Nocturna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vs 1% matutina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36"/>
                <w:szCs w:val="36"/>
              </w:rPr>
              <w:t xml:space="preserve">Morona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Prov. mas critica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Santiago: 4.2%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4"/>
              <w:left w:val="thick" w:color="1565C0" w:sz="16"/>
              <w:bottom w:val="single" w:color="1565C0" w:sz="4"/>
              <w:right w:val="single" w:color="1565C0" w:sz="2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4"/>
                <w:szCs w:val="24"/>
              </w:rPr>
              <w:t xml:space="preserve">i  Los 5 mensajes clave para la toma de decision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LA PANDEMIA DEJO SECUELAS EDUCATIVAS: La desercion se duplico entre 2020 y 2023.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En 2024-2025 mejora, pero aun estamos 33% sobre el nivel pre-pandemia.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LA AMAZONIA NECESITA ATENCION URGENTE: Morona Santiago, Pastaza, Sucumbios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y Orellana muestran desercion cronica y sistematica por encima del promedio nacional.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HAY DOS FOCOS DE CRISIS INVISIBLES: Modalidad "En Casa" (20%) y Jornada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Nocturna (6.5%) son poblaciones con riesgo extremo que requieren intervencion diferenciada.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EL FACTOR MAS CONTROLABLE: El ratio docente/estudiante es el tercer predictor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mas importante Y es intervenible con politica publica directa (contratar docentes).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LA IA ES UNA HERRAMIENTA, NO LA SOLUCION: El modelo predice bien el riesgo bajo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(68%) pero falla en riesgo alto (30%). Debe usarse como complemento al conocimiento</w:t>
            </w:r>
          </w:p>
          <w:p>
            <w:pPr>
              <w:spacing w:after="30" w:before="30" w:line="272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de campo, no como reemplazo de la supervision directa.</w:t>
            </w:r>
          </w:p>
        </w:tc>
      </w:tr>
    </w:tbl>
    <w:p>
      <w:pPr>
        <w:spacing w:after="200" w:before="200"/>
      </w:pPr>
    </w:p>
    <w:p>
      <w:pPr>
        <w:pBdr>
          <w:bottom w:val="single" w:color="1F3864" w:sz="8" w:space="1"/>
        </w:pBdr>
        <w:spacing w:after="160" w:before="40"/>
      </w:pPr>
    </w:p>
    <w:p>
      <w:pPr>
        <w:spacing w:after="60" w:before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Este informe fue elaborado con base en datos oficiales del Ministerio de Educacion del Ecuador (AMIE)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Universidad de Guayaquil | Conceptos y Aplicaciones de Machine Learning | Uso Interno | Abril 2026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Universidad de Guayaquil | CAML | Uso Interno — Confidencial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7"/>
        <w:szCs w:val="17"/>
      </w:rPr>
      <w:t xml:space="preserve"> /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INFORME EJECUTIVO CONFIDENCIAL — Desercion Escolar Ecuador</w:t>
    </w:r>
    <w:r>
      <w:rPr>
        <w:rFonts w:ascii="Arial" w:cs="Arial" w:eastAsia="Arial" w:hAnsi="Arial"/>
        <w:color w:val="888888"/>
        <w:sz w:val="18"/>
        <w:szCs w:val="18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f20a5186e089a05a1f704cff25d6a462b263b0.png"/><Relationship Id="rId10" Type="http://schemas.openxmlformats.org/officeDocument/2006/relationships/image" Target="media/0318bcd623500c17b0675a7952ce4381849a7a3c.png"/><Relationship Id="rId11" Type="http://schemas.openxmlformats.org/officeDocument/2006/relationships/image" Target="media/368e7a595733ec7d46ea5a2b803be3761a1497b4.png"/><Relationship Id="rId12" Type="http://schemas.openxmlformats.org/officeDocument/2006/relationships/image" Target="media/200b7885682cf5cf43dc59aa09bd74bda7352383.png"/><Relationship Id="rId13" Type="http://schemas.openxmlformats.org/officeDocument/2006/relationships/image" Target="media/c7de2ae86b9e00c4d1bc74213620daea48988c84.png"/><Relationship Id="rId14" Type="http://schemas.openxmlformats.org/officeDocument/2006/relationships/image" Target="media/f203f2d8a47167aad53545d89f9ffe19e56b01a2.png"/><Relationship Id="rId15" Type="http://schemas.openxmlformats.org/officeDocument/2006/relationships/image" Target="media/2673f3fa0008e20035af096161492b2c493d1027.png"/><Relationship Id="rId16" Type="http://schemas.openxmlformats.org/officeDocument/2006/relationships/image" Target="media/1a40225a4cacf8343d10ff9a4ba1ae91b52b4f6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2026-04-05T20:34:58.835Z</dcterms:created>
  <dcterms:modified xsi:type="dcterms:W3CDTF">2026-04-05T20:34:58.836Z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