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0"/>
        <w:jc w:val="center"/>
      </w:pPr>
      <w:r>
        <w:rPr>
          <w:rFonts w:ascii="Arial" w:cs="Arial" w:eastAsia="Arial" w:hAnsi="Arial"/>
          <w:b/>
          <w:bCs/>
          <w:color w:val="1F3864"/>
          <w:sz w:val="56"/>
          <w:szCs w:val="56"/>
        </w:rPr>
        <w:t xml:space="preserve">INFORME TÉCNICO DETALLADO</w:t>
      </w:r>
    </w:p>
    <w:p>
      <w:pPr>
        <w:spacing w:after="200"/>
        <w:jc w:val="center"/>
      </w:pPr>
      <w:r>
        <w:rPr>
          <w:rFonts w:ascii="Arial" w:cs="Arial" w:eastAsia="Arial" w:hAnsi="Arial"/>
          <w:color w:val="2E74B5"/>
          <w:sz w:val="24"/>
          <w:szCs w:val="24"/>
        </w:rPr>
        <w:t xml:space="preserve">─────────────────────────────────────────</w:t>
      </w:r>
    </w:p>
    <w:p>
      <w:pPr>
        <w:spacing w:after="160"/>
        <w:jc w:val="center"/>
      </w:pPr>
      <w:r>
        <w:rPr>
          <w:rFonts w:ascii="Arial" w:cs="Arial" w:eastAsia="Arial" w:hAnsi="Arial"/>
          <w:b/>
          <w:bCs/>
          <w:color w:val="2E74B5"/>
          <w:sz w:val="36"/>
          <w:szCs w:val="36"/>
        </w:rPr>
        <w:t xml:space="preserve">Predicción de Deserción Escolar en Ecuador</w:t>
      </w:r>
    </w:p>
    <w:p>
      <w:pPr>
        <w:spacing w:after="160"/>
        <w:jc w:val="center"/>
      </w:pPr>
      <w:r>
        <w:rPr>
          <w:rFonts w:ascii="Arial" w:cs="Arial" w:eastAsia="Arial" w:hAnsi="Arial"/>
          <w:color w:val="444444"/>
          <w:sz w:val="24"/>
          <w:szCs w:val="24"/>
        </w:rPr>
        <w:t xml:space="preserve">Modelo de Machine Learning — Aprendizaje Supervisado sobre datos AMIE</w:t>
      </w:r>
    </w:p>
    <w:p>
      <w:r>
        <w:t xml:space="preserve"/>
      </w:r>
    </w:p>
    <w:p>
      <w:r>
        <w:t xml:space="preserve"/>
      </w:r>
    </w:p>
    <w:p>
      <w:pPr>
        <w:jc w:val="center"/>
      </w:pPr>
      <w:r>
        <w:rPr>
          <w:rFonts w:ascii="Arial" w:cs="Arial" w:eastAsia="Arial" w:hAnsi="Arial"/>
          <w:b/>
          <w:bCs/>
          <w:color w:val="1F3864"/>
          <w:sz w:val="26"/>
          <w:szCs w:val="26"/>
        </w:rPr>
        <w:t xml:space="preserve">Ministerio de Educación del Ecuador</w:t>
      </w:r>
    </w:p>
    <w:p>
      <w:pPr>
        <w:spacing w:after="80"/>
        <w:jc w:val="center"/>
      </w:pPr>
      <w:r>
        <w:rPr>
          <w:rFonts w:ascii="Arial" w:cs="Arial" w:eastAsia="Arial" w:hAnsi="Arial"/>
          <w:color w:val="555555"/>
          <w:sz w:val="22"/>
          <w:szCs w:val="22"/>
        </w:rPr>
        <w:t xml:space="preserve">Dirección de Estadística Educativa</w:t>
      </w:r>
    </w:p>
    <w:p>
      <w:pPr>
        <w:jc w:val="center"/>
      </w:pPr>
      <w:r>
        <w:rPr>
          <w:rFonts w:ascii="Arial" w:cs="Arial" w:eastAsia="Arial" w:hAnsi="Arial"/>
          <w:i/>
          <w:iCs/>
          <w:color w:val="666666"/>
          <w:sz w:val="22"/>
          <w:szCs w:val="22"/>
        </w:rPr>
        <w:t xml:space="preserve">Abril 2026</w:t>
      </w:r>
    </w:p>
    <w:p>
      <w:r>
        <w:br w:type="page"/>
      </w:r>
    </w:p>
    <w:p>
      <w:pPr>
        <w:pStyle w:val="Heading1"/>
      </w:pPr>
      <w:r>
        <w:rPr>
          <w:rFonts w:ascii="Arial" w:cs="Arial" w:eastAsia="Arial" w:hAnsi="Arial"/>
        </w:rPr>
        <w:t xml:space="preserve">1. Introducción y Contexto del Problema</w:t>
      </w:r>
    </w:p>
    <w:p>
      <w:pPr>
        <w:spacing w:after="120"/>
      </w:pPr>
      <w:r>
        <w:rPr>
          <w:rFonts w:ascii="Arial" w:cs="Arial" w:eastAsia="Arial" w:hAnsi="Arial"/>
          <w:sz w:val="22"/>
          <w:szCs w:val="22"/>
        </w:rPr>
        <w:t xml:space="preserve">La deserción escolar es uno de los principales desafíos del sistema educativo ecuatoriano. Según datos del Ministerio de Educación, miles de estudiantes abandonan el sistema anualmente, afectando el desarrollo individual y el capital humano del país.</w:t>
      </w:r>
    </w:p>
    <w:p>
      <w:pPr>
        <w:spacing w:after="120"/>
      </w:pPr>
      <w:r>
        <w:rPr>
          <w:rFonts w:ascii="Arial" w:cs="Arial" w:eastAsia="Arial" w:hAnsi="Arial"/>
          <w:sz w:val="22"/>
          <w:szCs w:val="22"/>
        </w:rPr>
        <w:t xml:space="preserve">Este proyecto desarrolla un modelo predictivo basado en técnicas de Machine Learning (Aprendizaje Supervisado) para identificar qué instituciones educativas tienen mayor riesgo de deserción, utilizando datos históricos del Archivo Maestro de Instituciones Educativas (AMIE).</w:t>
      </w:r>
    </w:p>
    <w:p>
      <w:pPr>
        <w:spacing w:after="120"/>
      </w:pPr>
      <w:r>
        <w:rPr>
          <w:rFonts w:ascii="Arial" w:cs="Arial" w:eastAsia="Arial" w:hAnsi="Arial"/>
          <w:sz w:val="22"/>
          <w:szCs w:val="22"/>
        </w:rPr>
        <w:t xml:space="preserve">El enfoque orientado a objetos (OOP) garantiza que los datos sean procesados con validación automática, reemplazando las 74 columnas originales del CSV por 16 features depuradas de alta calidad predictiva.</w:t>
      </w:r>
    </w:p>
    <w:p>
      <w:r>
        <w:t xml:space="preserve"/>
      </w:r>
    </w:p>
    <w:p>
      <w:pPr>
        <w:pStyle w:val="Heading2"/>
      </w:pPr>
      <w:r>
        <w:rPr>
          <w:rFonts w:ascii="Arial" w:cs="Arial" w:eastAsia="Arial" w:hAnsi="Arial"/>
        </w:rPr>
        <w:t xml:space="preserve">1.1 Fuente de Datos — AMIE</w:t>
      </w:r>
    </w:p>
    <w:p>
      <w:pPr>
        <w:spacing w:after="120"/>
      </w:pPr>
      <w:r>
        <w:rPr>
          <w:rFonts w:ascii="Arial" w:cs="Arial" w:eastAsia="Arial" w:hAnsi="Arial"/>
          <w:sz w:val="22"/>
          <w:szCs w:val="22"/>
        </w:rPr>
        <w:t xml:space="preserve">Los datos provienen del sitio oficial del Ministerio de Educación del Ecuador. El AMIE es el registro administrativo más completo del sistema educativo nacional, con información de todas las instituciones públicas y privadas del país.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Característica</w:t>
            </w:r>
          </w:p>
        </w:tc>
        <w:tc>
          <w:tcPr>
            <w:tcW w:type="dxa" w:w="536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Detalle</w:t>
            </w:r>
          </w:p>
        </w:tc>
      </w:tr>
      <w:tr>
        <w:trPr>
          <w:tblHeader w:val="false"/>
        </w:trPr>
        <w:tc>
          <w:tcPr>
            <w:tcW w:type="dxa" w:w="40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Fuente</w:t>
            </w:r>
          </w:p>
        </w:tc>
        <w:tc>
          <w:tcPr>
            <w:tcW w:type="dxa" w:w="53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Ministerio de Educación del Ecuador — AMIE</w:t>
            </w:r>
          </w:p>
        </w:tc>
      </w:tr>
      <w:tr>
        <w:trPr>
          <w:tblHeader w:val="false"/>
        </w:trPr>
        <w:tc>
          <w:tcPr>
            <w:tcW w:type="dxa" w:w="40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Períodos disponibles</w:t>
            </w:r>
          </w:p>
        </w:tc>
        <w:tc>
          <w:tcPr>
            <w:tcW w:type="dxa" w:w="53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2015-2016 al 2024-2025 (10 años lectivos)</w:t>
            </w:r>
          </w:p>
        </w:tc>
      </w:tr>
      <w:tr>
        <w:trPr>
          <w:tblHeader w:val="false"/>
        </w:trPr>
        <w:tc>
          <w:tcPr>
            <w:tcW w:type="dxa" w:w="40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Registros totales</w:t>
            </w:r>
          </w:p>
        </w:tc>
        <w:tc>
          <w:tcPr>
            <w:tcW w:type="dxa" w:w="53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163,456 instituciones-año</w:t>
            </w:r>
          </w:p>
        </w:tc>
      </w:tr>
      <w:tr>
        <w:trPr>
          <w:tblHeader w:val="false"/>
        </w:trPr>
        <w:tc>
          <w:tcPr>
            <w:tcW w:type="dxa" w:w="40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Columnas originales CSV</w:t>
            </w:r>
          </w:p>
        </w:tc>
        <w:tc>
          <w:tcPr>
            <w:tcW w:type="dxa" w:w="53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74</w:t>
            </w:r>
          </w:p>
        </w:tc>
      </w:tr>
      <w:tr>
        <w:trPr>
          <w:tblHeader w:val="false"/>
        </w:trPr>
        <w:tc>
          <w:tcPr>
            <w:tcW w:type="dxa" w:w="40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Features seleccionadas para ML</w:t>
            </w:r>
          </w:p>
        </w:tc>
        <w:tc>
          <w:tcPr>
            <w:tcW w:type="dxa" w:w="53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w:t>
            </w:r>
          </w:p>
        </w:tc>
      </w:tr>
      <w:tr>
        <w:trPr>
          <w:tblHeader w:val="false"/>
        </w:trPr>
        <w:tc>
          <w:tcPr>
            <w:tcW w:type="dxa" w:w="40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Registros entrenamiento (80%)</w:t>
            </w:r>
          </w:p>
        </w:tc>
        <w:tc>
          <w:tcPr>
            <w:tcW w:type="dxa" w:w="53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130,764</w:t>
            </w:r>
          </w:p>
        </w:tc>
      </w:tr>
      <w:tr>
        <w:trPr>
          <w:tblHeader w:val="false"/>
        </w:trPr>
        <w:tc>
          <w:tcPr>
            <w:tcW w:type="dxa" w:w="40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Registros prueba (20%)</w:t>
            </w:r>
          </w:p>
        </w:tc>
        <w:tc>
          <w:tcPr>
            <w:tcW w:type="dxa" w:w="53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32,692</w:t>
            </w:r>
          </w:p>
        </w:tc>
      </w:tr>
    </w:tbl>
    <w:p>
      <w:r>
        <w:t xml:space="preserve"/>
      </w:r>
    </w:p>
    <w:p>
      <w:pPr>
        <w:pStyle w:val="Heading1"/>
      </w:pPr>
      <w:r>
        <w:rPr>
          <w:rFonts w:ascii="Arial" w:cs="Arial" w:eastAsia="Arial" w:hAnsi="Arial"/>
        </w:rPr>
        <w:t xml:space="preserve">2. Modelo de Dominio — Arquitectura OOP</w:t>
      </w:r>
    </w:p>
    <w:p>
      <w:pPr>
        <w:spacing w:after="120"/>
      </w:pPr>
      <w:r>
        <w:rPr>
          <w:rFonts w:ascii="Arial" w:cs="Arial" w:eastAsia="Arial" w:hAnsi="Arial"/>
          <w:sz w:val="22"/>
          <w:szCs w:val="22"/>
        </w:rPr>
        <w:t xml:space="preserve">El sistema implementa un modelo de datos orientado a objetos con 12 Enumeraciones tipadas y una clase Dataclass InstitucionEducativa. Este enfoque elimina la necesidad de LabelEncoder ya que los Enums proveen directamente valores enteros ordinales.</w:t>
      </w:r>
    </w:p>
    <w:p>
      <w:pPr>
        <w:spacing w:after="120"/>
      </w:pPr>
      <w:r>
        <w:rPr>
          <w:rFonts w:ascii="Arial" w:cs="Arial" w:eastAsia="Arial" w:hAnsi="Arial"/>
          <w:sz w:val="22"/>
          <w:szCs w:val="22"/>
        </w:rPr>
        <w:t xml:space="preserve">La validación automática integrada en la carga de datos garantiza integridad: cualquier registro con valores inconsistentes es descartado antes de llegar al modelo, como se observó con las 349 advertencias descartadas en total entre los primeros períodos (2015-2019).</w:t>
      </w:r>
    </w:p>
    <w:p>
      <w:r>
        <w:t xml:space="preserve"/>
      </w:r>
    </w:p>
    <w:p>
      <w:pPr>
        <w:spacing w:after="60" w:before="100"/>
        <w:jc w:val="center"/>
      </w:pPr>
      <w:r>
        <w:drawing>
          <wp:inline distT="0" distB="0" distL="0" distR="0">
            <wp:extent cx="5048250" cy="3219450"/>
            <wp:effectExtent t="0" r="0" b="0" l="0"/>
            <wp:docPr id="1" name="desercion_enums.png" descr="desercion_enums.png" title="desercion_enu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32194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1 — Arquitectura del sistema de clasificación OOP: 12 Enums tipados y clase InstitucionEducativa</w:t>
      </w:r>
    </w:p>
    <w:p>
      <w:r>
        <w:t xml:space="preserve"/>
      </w:r>
    </w:p>
    <w:p>
      <w:pPr>
        <w:pStyle w:val="Heading2"/>
      </w:pPr>
      <w:r>
        <w:rPr>
          <w:rFonts w:ascii="Arial" w:cs="Arial" w:eastAsia="Arial" w:hAnsi="Arial"/>
        </w:rPr>
        <w:t xml:space="preserve">2.1 Reducción de Dimensionalidad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Etapa</w:t>
            </w:r>
          </w:p>
        </w:tc>
        <w:tc>
          <w:tcPr>
            <w:tcW w:type="dxa" w:w="20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Columnas</w:t>
            </w:r>
          </w:p>
        </w:tc>
        <w:tc>
          <w:tcPr>
            <w:tcW w:type="dxa" w:w="386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Método</w:t>
            </w:r>
          </w:p>
        </w:tc>
      </w:tr>
      <w:tr>
        <w:trPr>
          <w:tblHeader w:val="false"/>
        </w:trPr>
        <w:tc>
          <w:tcPr>
            <w:tcW w:type="dxa" w:w="35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CSV original AMIE</w:t>
            </w:r>
          </w:p>
        </w:tc>
        <w:tc>
          <w:tcPr>
            <w:tcW w:type="dxa" w:w="20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74</w:t>
            </w:r>
          </w:p>
        </w:tc>
        <w:tc>
          <w:tcPr>
            <w:tcW w:type="dxa" w:w="38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r>
        <w:trPr>
          <w:tblHeader w:val="false"/>
        </w:trPr>
        <w:tc>
          <w:tcPr>
            <w:tcW w:type="dxa" w:w="35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Eliminadas por grado</w:t>
            </w:r>
          </w:p>
        </w:tc>
        <w:tc>
          <w:tcPr>
            <w:tcW w:type="dxa" w:w="20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−44</w:t>
            </w:r>
          </w:p>
        </w:tc>
        <w:tc>
          <w:tcPr>
            <w:tcW w:type="dxa" w:w="38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Columnas por nivel educativo redundantes</w:t>
            </w:r>
          </w:p>
        </w:tc>
      </w:tr>
      <w:tr>
        <w:trPr>
          <w:tblHeader w:val="false"/>
        </w:trPr>
        <w:tc>
          <w:tcPr>
            <w:tcW w:type="dxa" w:w="35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Eliminadas por redundancia</w:t>
            </w:r>
          </w:p>
        </w:tc>
        <w:tc>
          <w:tcPr>
            <w:tcW w:type="dxa" w:w="20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w:t>
            </w:r>
          </w:p>
        </w:tc>
        <w:tc>
          <w:tcPr>
            <w:tcW w:type="dxa" w:w="38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Variables correlacionadas o sin varianza</w:t>
            </w:r>
          </w:p>
        </w:tc>
      </w:tr>
      <w:tr>
        <w:trPr>
          <w:tblHeader w:val="false"/>
        </w:trPr>
        <w:tc>
          <w:tcPr>
            <w:tcW w:type="dxa" w:w="35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Identificadores no predictivos</w:t>
            </w:r>
          </w:p>
        </w:tc>
        <w:tc>
          <w:tcPr>
            <w:tcW w:type="dxa" w:w="20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38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amie, anio_lectivo, provincia</w:t>
            </w:r>
          </w:p>
        </w:tc>
      </w:tr>
      <w:tr>
        <w:trPr>
          <w:tblHeader w:val="false"/>
        </w:trPr>
        <w:tc>
          <w:tcPr>
            <w:tcW w:type="dxa" w:w="35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Features para ML</w:t>
            </w:r>
          </w:p>
        </w:tc>
        <w:tc>
          <w:tcPr>
            <w:tcW w:type="dxa" w:w="20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w:t>
            </w:r>
          </w:p>
        </w:tc>
        <w:tc>
          <w:tcPr>
            <w:tcW w:type="dxa" w:w="38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Selección por importancia y validez semántica</w:t>
            </w:r>
          </w:p>
        </w:tc>
      </w:tr>
    </w:tbl>
    <w:p>
      <w:r>
        <w:t xml:space="preserve"/>
      </w:r>
    </w:p>
    <w:p>
      <w:pPr>
        <w:pStyle w:val="Heading1"/>
      </w:pPr>
      <w:r>
        <w:rPr>
          <w:rFonts w:ascii="Arial" w:cs="Arial" w:eastAsia="Arial" w:hAnsi="Arial"/>
        </w:rPr>
        <w:t xml:space="preserve">3. Carga y Validación del Dataset</w:t>
      </w:r>
    </w:p>
    <w:p>
      <w:pPr>
        <w:spacing w:after="120"/>
      </w:pPr>
      <w:r>
        <w:rPr>
          <w:rFonts w:ascii="Arial" w:cs="Arial" w:eastAsia="Arial" w:hAnsi="Arial"/>
          <w:sz w:val="22"/>
          <w:szCs w:val="22"/>
        </w:rPr>
        <w:t xml:space="preserve">El proceso de carga incorpora detección automática de cabeceras para compatibilidad con todos los períodos. Los archivos CSV de 2015-2019 utilizan un esquema de columnas diferente al de períodos posteriores, lo cual fue resuelto mediante normalización de cabeceras en build_dataset().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Período</w:t>
            </w:r>
          </w:p>
        </w:tc>
        <w:tc>
          <w:tcPr>
            <w:tcW w:type="dxa" w:w="308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Instituciones Válidas</w:t>
            </w:r>
          </w:p>
        </w:tc>
        <w:tc>
          <w:tcPr>
            <w:tcW w:type="dxa" w:w="308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Advertencias Descartadas</w:t>
            </w:r>
          </w:p>
        </w:tc>
      </w:tr>
      <w:tr>
        <w:trPr>
          <w:tblHeader w:val="false"/>
        </w:trPr>
        <w:tc>
          <w:tcPr>
            <w:tcW w:type="dxa" w:w="3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2015-2016</w:t>
            </w:r>
          </w:p>
        </w:tc>
        <w:tc>
          <w:tcPr>
            <w:tcW w:type="dxa" w:w="308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18,697</w:t>
            </w:r>
          </w:p>
        </w:tc>
        <w:tc>
          <w:tcPr>
            <w:tcW w:type="dxa" w:w="308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82</w:t>
            </w:r>
          </w:p>
        </w:tc>
      </w:tr>
      <w:tr>
        <w:trPr>
          <w:tblHeader w:val="false"/>
        </w:trPr>
        <w:tc>
          <w:tcPr>
            <w:tcW w:type="dxa" w:w="32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2016-2017</w:t>
            </w:r>
          </w:p>
        </w:tc>
        <w:tc>
          <w:tcPr>
            <w:tcW w:type="dxa" w:w="308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17,138</w:t>
            </w:r>
          </w:p>
        </w:tc>
        <w:tc>
          <w:tcPr>
            <w:tcW w:type="dxa" w:w="308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75</w:t>
            </w:r>
          </w:p>
        </w:tc>
      </w:tr>
      <w:tr>
        <w:trPr>
          <w:tblHeader w:val="false"/>
        </w:trPr>
        <w:tc>
          <w:tcPr>
            <w:tcW w:type="dxa" w:w="3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2017-2018</w:t>
            </w:r>
          </w:p>
        </w:tc>
        <w:tc>
          <w:tcPr>
            <w:tcW w:type="dxa" w:w="308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16,503</w:t>
            </w:r>
          </w:p>
        </w:tc>
        <w:tc>
          <w:tcPr>
            <w:tcW w:type="dxa" w:w="308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65</w:t>
            </w:r>
          </w:p>
        </w:tc>
      </w:tr>
      <w:tr>
        <w:trPr>
          <w:tblHeader w:val="false"/>
        </w:trPr>
        <w:tc>
          <w:tcPr>
            <w:tcW w:type="dxa" w:w="32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2018-2019</w:t>
            </w:r>
          </w:p>
        </w:tc>
        <w:tc>
          <w:tcPr>
            <w:tcW w:type="dxa" w:w="308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16,357</w:t>
            </w:r>
          </w:p>
        </w:tc>
        <w:tc>
          <w:tcPr>
            <w:tcW w:type="dxa" w:w="308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61</w:t>
            </w:r>
          </w:p>
        </w:tc>
      </w:tr>
      <w:tr>
        <w:trPr>
          <w:tblHeader w:val="false"/>
        </w:trPr>
        <w:tc>
          <w:tcPr>
            <w:tcW w:type="dxa" w:w="3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2019-2020</w:t>
            </w:r>
          </w:p>
        </w:tc>
        <w:tc>
          <w:tcPr>
            <w:tcW w:type="dxa" w:w="308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16,148</w:t>
            </w:r>
          </w:p>
        </w:tc>
        <w:tc>
          <w:tcPr>
            <w:tcW w:type="dxa" w:w="308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58</w:t>
            </w:r>
          </w:p>
        </w:tc>
      </w:tr>
      <w:tr>
        <w:trPr>
          <w:tblHeader w:val="false"/>
        </w:trPr>
        <w:tc>
          <w:tcPr>
            <w:tcW w:type="dxa" w:w="32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2020-2021</w:t>
            </w:r>
          </w:p>
        </w:tc>
        <w:tc>
          <w:tcPr>
            <w:tcW w:type="dxa" w:w="308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15,872</w:t>
            </w:r>
          </w:p>
        </w:tc>
        <w:tc>
          <w:tcPr>
            <w:tcW w:type="dxa" w:w="308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r>
      <w:tr>
        <w:trPr>
          <w:tblHeader w:val="false"/>
        </w:trPr>
        <w:tc>
          <w:tcPr>
            <w:tcW w:type="dxa" w:w="3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2021-2022</w:t>
            </w:r>
          </w:p>
        </w:tc>
        <w:tc>
          <w:tcPr>
            <w:tcW w:type="dxa" w:w="308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15,739</w:t>
            </w:r>
          </w:p>
        </w:tc>
        <w:tc>
          <w:tcPr>
            <w:tcW w:type="dxa" w:w="308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r>
      <w:tr>
        <w:trPr>
          <w:tblHeader w:val="false"/>
        </w:trPr>
        <w:tc>
          <w:tcPr>
            <w:tcW w:type="dxa" w:w="32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2022-2023</w:t>
            </w:r>
          </w:p>
        </w:tc>
        <w:tc>
          <w:tcPr>
            <w:tcW w:type="dxa" w:w="308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15,655</w:t>
            </w:r>
          </w:p>
        </w:tc>
        <w:tc>
          <w:tcPr>
            <w:tcW w:type="dxa" w:w="308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r>
      <w:tr>
        <w:trPr>
          <w:tblHeader w:val="false"/>
        </w:trPr>
        <w:tc>
          <w:tcPr>
            <w:tcW w:type="dxa" w:w="3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2023-2024</w:t>
            </w:r>
          </w:p>
        </w:tc>
        <w:tc>
          <w:tcPr>
            <w:tcW w:type="dxa" w:w="308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15,693</w:t>
            </w:r>
          </w:p>
        </w:tc>
        <w:tc>
          <w:tcPr>
            <w:tcW w:type="dxa" w:w="308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r>
      <w:tr>
        <w:trPr>
          <w:tblHeader w:val="false"/>
        </w:trPr>
        <w:tc>
          <w:tcPr>
            <w:tcW w:type="dxa" w:w="32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2024-2025</w:t>
            </w:r>
          </w:p>
        </w:tc>
        <w:tc>
          <w:tcPr>
            <w:tcW w:type="dxa" w:w="308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15,654</w:t>
            </w:r>
          </w:p>
        </w:tc>
        <w:tc>
          <w:tcPr>
            <w:tcW w:type="dxa" w:w="308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r>
      <w:tr>
        <w:trPr>
          <w:tblHeader w:val="false"/>
        </w:trPr>
        <w:tc>
          <w:tcPr>
            <w:tcW w:type="dxa" w:w="3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TOTAL</w:t>
            </w:r>
          </w:p>
        </w:tc>
        <w:tc>
          <w:tcPr>
            <w:tcW w:type="dxa" w:w="308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163,456</w:t>
            </w:r>
          </w:p>
        </w:tc>
        <w:tc>
          <w:tcPr>
            <w:tcW w:type="dxa" w:w="308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349</w:t>
            </w:r>
          </w:p>
        </w:tc>
      </w:tr>
    </w:tbl>
    <w:p>
      <w:r>
        <w:t xml:space="preserve"/>
      </w:r>
    </w:p>
    <w:p>
      <w:pPr>
        <w:spacing w:after="120"/>
      </w:pPr>
      <w:r>
        <w:rPr>
          <w:rFonts w:ascii="Arial" w:cs="Arial" w:eastAsia="Arial" w:hAnsi="Arial"/>
          <w:sz w:val="22"/>
          <w:szCs w:val="22"/>
        </w:rPr>
        <w:t xml:space="preserve">Los primeros años (2015-2019) muestran mayor número de registros por institución porque el sistema incluía datos de localidades y escuelas rurales que fueron consolidadas en años posteriores.</w:t>
      </w:r>
    </w:p>
    <w:p>
      <w:r>
        <w:t xml:space="preserve"/>
      </w:r>
    </w:p>
    <w:p>
      <w:pPr>
        <w:pStyle w:val="Heading1"/>
      </w:pPr>
      <w:r>
        <w:rPr>
          <w:rFonts w:ascii="Arial" w:cs="Arial" w:eastAsia="Arial" w:hAnsi="Arial"/>
        </w:rPr>
        <w:t xml:space="preserve">4. Análisis Exploratorio de Datos</w:t>
      </w:r>
    </w:p>
    <w:p>
      <w:pPr>
        <w:pStyle w:val="Heading2"/>
      </w:pPr>
      <w:r>
        <w:rPr>
          <w:rFonts w:ascii="Arial" w:cs="Arial" w:eastAsia="Arial" w:hAnsi="Arial"/>
        </w:rPr>
        <w:t xml:space="preserve">4.1 Distribución del Target — Nivel de Deserción</w:t>
      </w:r>
    </w:p>
    <w:p>
      <w:pPr>
        <w:spacing w:after="120"/>
      </w:pPr>
      <w:r>
        <w:rPr>
          <w:rFonts w:ascii="Arial" w:cs="Arial" w:eastAsia="Arial" w:hAnsi="Arial"/>
          <w:sz w:val="22"/>
          <w:szCs w:val="22"/>
        </w:rPr>
        <w:t xml:space="preserve">El dataset presenta un fuerte desequilibrio de clases, característico de problemas de deserción escolar donde la mayoría de instituciones tienen bajo riesgo. Este desequilibrio fue manejado mediante el parámetro class_weight="balanced" del modelo.</w:t>
      </w:r>
    </w:p>
    <w:p>
      <w:pPr>
        <w:spacing w:after="60" w:before="100"/>
        <w:jc w:val="center"/>
      </w:pPr>
      <w:r>
        <w:drawing>
          <wp:inline distT="0" distB="0" distL="0" distR="0">
            <wp:extent cx="5048250" cy="1752600"/>
            <wp:effectExtent t="0" r="0" b="0" l="0"/>
            <wp:docPr id="1" name="dist_target.png" descr="dist_target.png" title="dist_targ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0" cy="17526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2 — Distribución del target: Nivel de deserción en 163,456 registros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rPr>
          <w:tblHeader/>
        </w:trPr>
        <w:tc>
          <w:tcPr>
            <w:tcW w:type="dxa" w:w="25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Nivel de Deserción</w:t>
            </w:r>
          </w:p>
        </w:tc>
        <w:tc>
          <w:tcPr>
            <w:tcW w:type="dxa" w:w="18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Registros</w:t>
            </w:r>
          </w:p>
        </w:tc>
        <w:tc>
          <w:tcPr>
            <w:tcW w:type="dxa" w:w="18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Porcentaje</w:t>
            </w:r>
          </w:p>
        </w:tc>
        <w:tc>
          <w:tcPr>
            <w:tcW w:type="dxa" w:w="326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Interpretación</w:t>
            </w:r>
          </w:p>
        </w:tc>
      </w:tr>
      <w:tr>
        <w:trPr>
          <w:tblHeader w:val="false"/>
        </w:trPr>
        <w:tc>
          <w:tcPr>
            <w:tcW w:type="dxa" w:w="25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Bajo (0)</w:t>
            </w:r>
          </w:p>
        </w:tc>
        <w:tc>
          <w:tcPr>
            <w:tcW w:type="dxa" w:w="18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147,118</w:t>
            </w:r>
          </w:p>
        </w:tc>
        <w:tc>
          <w:tcPr>
            <w:tcW w:type="dxa" w:w="18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90.0%</w:t>
            </w:r>
          </w:p>
        </w:tc>
        <w:tc>
          <w:tcPr>
            <w:tcW w:type="dxa" w:w="32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Instituciones con tasa de deserción normal</w:t>
            </w:r>
          </w:p>
        </w:tc>
      </w:tr>
      <w:tr>
        <w:trPr>
          <w:tblHeader w:val="false"/>
        </w:trPr>
        <w:tc>
          <w:tcPr>
            <w:tcW w:type="dxa" w:w="25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Medio (1)</w:t>
            </w:r>
          </w:p>
        </w:tc>
        <w:tc>
          <w:tcPr>
            <w:tcW w:type="dxa" w:w="18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10,200</w:t>
            </w:r>
          </w:p>
        </w:tc>
        <w:tc>
          <w:tcPr>
            <w:tcW w:type="dxa" w:w="18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6.2%</w:t>
            </w:r>
          </w:p>
        </w:tc>
        <w:tc>
          <w:tcPr>
            <w:tcW w:type="dxa" w:w="32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Instituciones con deserción moderada</w:t>
            </w:r>
          </w:p>
        </w:tc>
      </w:tr>
      <w:tr>
        <w:trPr>
          <w:tblHeader w:val="false"/>
        </w:trPr>
        <w:tc>
          <w:tcPr>
            <w:tcW w:type="dxa" w:w="25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Alto (2)</w:t>
            </w:r>
          </w:p>
        </w:tc>
        <w:tc>
          <w:tcPr>
            <w:tcW w:type="dxa" w:w="18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6,138</w:t>
            </w:r>
          </w:p>
        </w:tc>
        <w:tc>
          <w:tcPr>
            <w:tcW w:type="dxa" w:w="18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3.8%</w:t>
            </w:r>
          </w:p>
        </w:tc>
        <w:tc>
          <w:tcPr>
            <w:tcW w:type="dxa" w:w="32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Instituciones con deserción preocupante</w:t>
            </w:r>
          </w:p>
        </w:tc>
      </w:tr>
    </w:tbl>
    <w:p>
      <w:r>
        <w:t xml:space="preserve"/>
      </w:r>
    </w:p>
    <w:p>
      <w:pPr>
        <w:pStyle w:val="Heading2"/>
      </w:pPr>
      <w:r>
        <w:rPr>
          <w:rFonts w:ascii="Arial" w:cs="Arial" w:eastAsia="Arial" w:hAnsi="Arial"/>
        </w:rPr>
        <w:t xml:space="preserve">4.2 Deserción por Variables Categóricas Clave</w:t>
      </w:r>
    </w:p>
    <w:p>
      <w:pPr>
        <w:spacing w:after="60" w:before="100"/>
        <w:jc w:val="center"/>
      </w:pPr>
      <w:r>
        <w:drawing>
          <wp:inline distT="0" distB="0" distL="0" distR="0">
            <wp:extent cx="5048250" cy="3219450"/>
            <wp:effectExtent t="0" r="0" b="0" l="0"/>
            <wp:docPr id="1" name="desercion_enums.png" descr="desercion_enums.png" title="desercion_enu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32194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3 — Deserción por variables Enum: sostenimiento, área, zona y jornada</w:t>
      </w:r>
    </w:p>
    <w:p>
      <w:r>
        <w:t xml:space="preserve"/>
      </w:r>
    </w:p>
    <w:p>
      <w:pPr>
        <w:pStyle w:val="Heading2"/>
      </w:pPr>
      <w:r>
        <w:rPr>
          <w:rFonts w:ascii="Arial" w:cs="Arial" w:eastAsia="Arial" w:hAnsi="Arial"/>
        </w:rPr>
        <w:t xml:space="preserve">4.3 Cobertura de Mapeo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 Enum</w:t>
            </w:r>
          </w:p>
        </w:tc>
        <w:tc>
          <w:tcPr>
            <w:tcW w:type="dxa" w:w="14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Cobertura</w:t>
            </w:r>
          </w:p>
        </w:tc>
        <w:tc>
          <w:tcPr>
            <w:tcW w:type="dxa" w:w="576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Valores Principales</w:t>
            </w:r>
          </w:p>
        </w:tc>
      </w:tr>
      <w:tr>
        <w:trPr>
          <w:tblHeader w:val="false"/>
        </w:trPr>
        <w:tc>
          <w:tcPr>
            <w:tcW w:type="dxa" w:w="2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zona</w:t>
            </w:r>
          </w:p>
        </w:tc>
        <w:tc>
          <w:tcPr>
            <w:tcW w:type="dxa" w:w="14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57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ZONA_4: 26,451 | ZONA_5: 26,128 | ZONA_3: 16,117</w:t>
            </w:r>
          </w:p>
        </w:tc>
      </w:tr>
      <w:tr>
        <w:trPr>
          <w:tblHeader w:val="false"/>
        </w:trPr>
        <w:tc>
          <w:tcPr>
            <w:tcW w:type="dxa" w:w="22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sostenimiento</w:t>
            </w:r>
          </w:p>
        </w:tc>
        <w:tc>
          <w:tcPr>
            <w:tcW w:type="dxa" w:w="14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57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FISCAL: 124,028 | PARTICULAR: 31,711 | FISCOMISIONAL: 6,505</w:t>
            </w:r>
          </w:p>
        </w:tc>
      </w:tr>
      <w:tr>
        <w:trPr>
          <w:tblHeader w:val="false"/>
        </w:trPr>
        <w:tc>
          <w:tcPr>
            <w:tcW w:type="dxa" w:w="2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area</w:t>
            </w:r>
          </w:p>
        </w:tc>
        <w:tc>
          <w:tcPr>
            <w:tcW w:type="dxa" w:w="14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57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URBANA: 89,570 | RURAL: 73,886</w:t>
            </w:r>
          </w:p>
        </w:tc>
      </w:tr>
      <w:tr>
        <w:trPr>
          <w:tblHeader w:val="false"/>
        </w:trPr>
        <w:tc>
          <w:tcPr>
            <w:tcW w:type="dxa" w:w="22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regimen</w:t>
            </w:r>
          </w:p>
        </w:tc>
        <w:tc>
          <w:tcPr>
            <w:tcW w:type="dxa" w:w="14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57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COSTA: 95,480 | SIERRA: 67,976</w:t>
            </w:r>
          </w:p>
        </w:tc>
      </w:tr>
      <w:tr>
        <w:trPr>
          <w:tblHeader w:val="false"/>
        </w:trPr>
        <w:tc>
          <w:tcPr>
            <w:tcW w:type="dxa" w:w="2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jurisdiccion</w:t>
            </w:r>
          </w:p>
        </w:tc>
        <w:tc>
          <w:tcPr>
            <w:tcW w:type="dxa" w:w="14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57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INTERCULTURAL: 146,254 | BILINGUE: 17,202</w:t>
            </w:r>
          </w:p>
        </w:tc>
      </w:tr>
      <w:tr>
        <w:trPr>
          <w:tblHeader w:val="false"/>
        </w:trPr>
        <w:tc>
          <w:tcPr>
            <w:tcW w:type="dxa" w:w="22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modalidad</w:t>
            </w:r>
          </w:p>
        </w:tc>
        <w:tc>
          <w:tcPr>
            <w:tcW w:type="dxa" w:w="14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57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PRESENCIAL: 159,742 | SEMIPRESENCIAL: 2,072</w:t>
            </w:r>
          </w:p>
        </w:tc>
      </w:tr>
      <w:tr>
        <w:trPr>
          <w:tblHeader w:val="false"/>
        </w:trPr>
        <w:tc>
          <w:tcPr>
            <w:tcW w:type="dxa" w:w="2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jornada</w:t>
            </w:r>
          </w:p>
        </w:tc>
        <w:tc>
          <w:tcPr>
            <w:tcW w:type="dxa" w:w="14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99.4%</w:t>
            </w:r>
          </w:p>
        </w:tc>
        <w:tc>
          <w:tcPr>
            <w:tcW w:type="dxa" w:w="57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MATUTINA: 159,190 | VESPERTINA: 2,379</w:t>
            </w:r>
          </w:p>
        </w:tc>
      </w:tr>
      <w:tr>
        <w:trPr>
          <w:tblHeader w:val="false"/>
        </w:trPr>
        <w:tc>
          <w:tcPr>
            <w:tcW w:type="dxa" w:w="22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nivel_educacion</w:t>
            </w:r>
          </w:p>
        </w:tc>
        <w:tc>
          <w:tcPr>
            <w:tcW w:type="dxa" w:w="14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99.5%</w:t>
            </w:r>
          </w:p>
        </w:tc>
        <w:tc>
          <w:tcPr>
            <w:tcW w:type="dxa" w:w="57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MULTI_NIVEL: 89,088 | BASICA: 65,434</w:t>
            </w:r>
          </w:p>
        </w:tc>
      </w:tr>
      <w:tr>
        <w:trPr>
          <w:tblHeader w:val="false"/>
        </w:trPr>
        <w:tc>
          <w:tcPr>
            <w:tcW w:type="dxa" w:w="2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tipo_educacion</w:t>
            </w:r>
          </w:p>
        </w:tc>
        <w:tc>
          <w:tcPr>
            <w:tcW w:type="dxa" w:w="14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88.1%</w:t>
            </w:r>
          </w:p>
        </w:tc>
        <w:tc>
          <w:tcPr>
            <w:tcW w:type="dxa" w:w="57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ORDINARIA: 142,199 | ESPECIAL: 1,389</w:t>
            </w:r>
          </w:p>
        </w:tc>
      </w:tr>
      <w:tr>
        <w:trPr>
          <w:tblHeader w:val="false"/>
        </w:trPr>
        <w:tc>
          <w:tcPr>
            <w:tcW w:type="dxa" w:w="22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acceso_edificio</w:t>
            </w:r>
          </w:p>
        </w:tc>
        <w:tc>
          <w:tcPr>
            <w:tcW w:type="dxa" w:w="14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57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TERRESTRE: 158,366 | FLUVIAL: 3,680</w:t>
            </w:r>
          </w:p>
        </w:tc>
      </w:tr>
      <w:tr>
        <w:trPr>
          <w:tblHeader w:val="false"/>
        </w:trPr>
        <w:tc>
          <w:tcPr>
            <w:tcW w:type="dxa" w:w="2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tenencia_edificio</w:t>
            </w:r>
          </w:p>
        </w:tc>
        <w:tc>
          <w:tcPr>
            <w:tcW w:type="dxa" w:w="14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98.1%</w:t>
            </w:r>
          </w:p>
        </w:tc>
        <w:tc>
          <w:tcPr>
            <w:tcW w:type="dxa" w:w="57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PROPIO: 142,395 | NO_PROPIO: 17,910</w:t>
            </w:r>
          </w:p>
        </w:tc>
      </w:tr>
    </w:tbl>
    <w:p>
      <w:r>
        <w:t xml:space="preserve"/>
      </w:r>
    </w:p>
    <w:p>
      <w:r>
        <w:br w:type="page"/>
      </w:r>
    </w:p>
    <w:p>
      <w:pPr>
        <w:pStyle w:val="Heading1"/>
      </w:pPr>
      <w:r>
        <w:rPr>
          <w:rFonts w:ascii="Arial" w:cs="Arial" w:eastAsia="Arial" w:hAnsi="Arial"/>
        </w:rPr>
        <w:t xml:space="preserve">5. Preprocesamiento y Selección de Features</w:t>
      </w:r>
    </w:p>
    <w:p>
      <w:pPr>
        <w:spacing w:after="120"/>
      </w:pPr>
      <w:r>
        <w:rPr>
          <w:rFonts w:ascii="Arial" w:cs="Arial" w:eastAsia="Arial" w:hAnsi="Arial"/>
          <w:sz w:val="22"/>
          <w:szCs w:val="22"/>
        </w:rPr>
        <w:t xml:space="preserve">Una de las ventajas del modelo OOP es que las variables categóricas ya están codificadas numéricamente a través de los Enums. No se requiere LabelEncoder ni OneHotEncoder para las 11 variables categóricas. Las 5 variables numéricas son escaladas con StandardScaler.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200"/>
        <w:gridCol w:w="4660"/>
      </w:tblGrid>
      <w:tr>
        <w:trPr>
          <w:tblHeader/>
        </w:trPr>
        <w:tc>
          <w:tcPr>
            <w:tcW w:type="dxa" w:w="5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22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466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rPr>
          <w:tblHeader w:val="false"/>
        </w:trPr>
        <w:tc>
          <w:tcPr>
            <w:tcW w:type="dxa" w:w="5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zona</w:t>
            </w:r>
          </w:p>
        </w:tc>
        <w:tc>
          <w:tcPr>
            <w:tcW w:type="dxa" w:w="2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Categórico (Enum)</w:t>
            </w:r>
          </w:p>
        </w:tc>
        <w:tc>
          <w:tcPr>
            <w:tcW w:type="dxa" w:w="46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Zona administrativa 1-9</w:t>
            </w:r>
          </w:p>
        </w:tc>
      </w:tr>
      <w:tr>
        <w:trPr>
          <w:tblHeader w:val="false"/>
        </w:trPr>
        <w:tc>
          <w:tcPr>
            <w:tcW w:type="dxa" w:w="5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sostenimiento</w:t>
            </w:r>
          </w:p>
        </w:tc>
        <w:tc>
          <w:tcPr>
            <w:tcW w:type="dxa" w:w="22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Categórico (Enum)</w:t>
            </w:r>
          </w:p>
        </w:tc>
        <w:tc>
          <w:tcPr>
            <w:tcW w:type="dxa" w:w="46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Fiscal, Particular, Fiscomisional, Municipal</w:t>
            </w:r>
          </w:p>
        </w:tc>
      </w:tr>
      <w:tr>
        <w:trPr>
          <w:tblHeader w:val="false"/>
        </w:trPr>
        <w:tc>
          <w:tcPr>
            <w:tcW w:type="dxa" w:w="5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area</w:t>
            </w:r>
          </w:p>
        </w:tc>
        <w:tc>
          <w:tcPr>
            <w:tcW w:type="dxa" w:w="2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Categórico (Enum)</w:t>
            </w:r>
          </w:p>
        </w:tc>
        <w:tc>
          <w:tcPr>
            <w:tcW w:type="dxa" w:w="46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Urbana o Rural</w:t>
            </w:r>
          </w:p>
        </w:tc>
      </w:tr>
      <w:tr>
        <w:trPr>
          <w:tblHeader w:val="false"/>
        </w:trPr>
        <w:tc>
          <w:tcPr>
            <w:tcW w:type="dxa" w:w="5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regimen</w:t>
            </w:r>
          </w:p>
        </w:tc>
        <w:tc>
          <w:tcPr>
            <w:tcW w:type="dxa" w:w="22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Categórico (Enum)</w:t>
            </w:r>
          </w:p>
        </w:tc>
        <w:tc>
          <w:tcPr>
            <w:tcW w:type="dxa" w:w="46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Costa o Sierra (calendario escolar)</w:t>
            </w:r>
          </w:p>
        </w:tc>
      </w:tr>
      <w:tr>
        <w:trPr>
          <w:tblHeader w:val="false"/>
        </w:trPr>
        <w:tc>
          <w:tcPr>
            <w:tcW w:type="dxa" w:w="5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jurisdiccion</w:t>
            </w:r>
          </w:p>
        </w:tc>
        <w:tc>
          <w:tcPr>
            <w:tcW w:type="dxa" w:w="2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Categórico (Enum)</w:t>
            </w:r>
          </w:p>
        </w:tc>
        <w:tc>
          <w:tcPr>
            <w:tcW w:type="dxa" w:w="46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Intercultural o Intercultural Bilingüe</w:t>
            </w:r>
          </w:p>
        </w:tc>
      </w:tr>
      <w:tr>
        <w:trPr>
          <w:tblHeader w:val="false"/>
        </w:trPr>
        <w:tc>
          <w:tcPr>
            <w:tcW w:type="dxa" w:w="5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20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modalidad</w:t>
            </w:r>
          </w:p>
        </w:tc>
        <w:tc>
          <w:tcPr>
            <w:tcW w:type="dxa" w:w="22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Categórico (Enum)</w:t>
            </w:r>
          </w:p>
        </w:tc>
        <w:tc>
          <w:tcPr>
            <w:tcW w:type="dxa" w:w="46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Presencial, Semipresencial, Distancia, Virtual</w:t>
            </w:r>
          </w:p>
        </w:tc>
      </w:tr>
      <w:tr>
        <w:trPr>
          <w:tblHeader w:val="false"/>
        </w:trPr>
        <w:tc>
          <w:tcPr>
            <w:tcW w:type="dxa" w:w="5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20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jornada</w:t>
            </w:r>
          </w:p>
        </w:tc>
        <w:tc>
          <w:tcPr>
            <w:tcW w:type="dxa" w:w="2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Categórico (Enum)</w:t>
            </w:r>
          </w:p>
        </w:tc>
        <w:tc>
          <w:tcPr>
            <w:tcW w:type="dxa" w:w="46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Matutina, Vespertina, Nocturna</w:t>
            </w:r>
          </w:p>
        </w:tc>
      </w:tr>
      <w:tr>
        <w:trPr>
          <w:tblHeader w:val="false"/>
        </w:trPr>
        <w:tc>
          <w:tcPr>
            <w:tcW w:type="dxa" w:w="5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20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nivel_educacion</w:t>
            </w:r>
          </w:p>
        </w:tc>
        <w:tc>
          <w:tcPr>
            <w:tcW w:type="dxa" w:w="22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Categórico (Enum)</w:t>
            </w:r>
          </w:p>
        </w:tc>
        <w:tc>
          <w:tcPr>
            <w:tcW w:type="dxa" w:w="46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Inicial, Básica, Bachillerato, Multi-nivel</w:t>
            </w:r>
          </w:p>
        </w:tc>
      </w:tr>
      <w:tr>
        <w:trPr>
          <w:tblHeader w:val="false"/>
        </w:trPr>
        <w:tc>
          <w:tcPr>
            <w:tcW w:type="dxa" w:w="5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w:t>
            </w:r>
          </w:p>
        </w:tc>
        <w:tc>
          <w:tcPr>
            <w:tcW w:type="dxa" w:w="20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tipo_educacion</w:t>
            </w:r>
          </w:p>
        </w:tc>
        <w:tc>
          <w:tcPr>
            <w:tcW w:type="dxa" w:w="2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Categórico (Enum)</w:t>
            </w:r>
          </w:p>
        </w:tc>
        <w:tc>
          <w:tcPr>
            <w:tcW w:type="dxa" w:w="46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Ordinaria, Especial, Escolaridad Inconclusa</w:t>
            </w:r>
          </w:p>
        </w:tc>
      </w:tr>
      <w:tr>
        <w:trPr>
          <w:tblHeader w:val="false"/>
        </w:trPr>
        <w:tc>
          <w:tcPr>
            <w:tcW w:type="dxa" w:w="5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acceso_edificio</w:t>
            </w:r>
          </w:p>
        </w:tc>
        <w:tc>
          <w:tcPr>
            <w:tcW w:type="dxa" w:w="22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Categórico (Enum)</w:t>
            </w:r>
          </w:p>
        </w:tc>
        <w:tc>
          <w:tcPr>
            <w:tcW w:type="dxa" w:w="46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Terrestre, Fluvial, Aéreo</w:t>
            </w:r>
          </w:p>
        </w:tc>
      </w:tr>
      <w:tr>
        <w:trPr>
          <w:tblHeader w:val="false"/>
        </w:trPr>
        <w:tc>
          <w:tcPr>
            <w:tcW w:type="dxa" w:w="5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w:t>
            </w:r>
          </w:p>
        </w:tc>
        <w:tc>
          <w:tcPr>
            <w:tcW w:type="dxa" w:w="20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tenencia_edificio</w:t>
            </w:r>
          </w:p>
        </w:tc>
        <w:tc>
          <w:tcPr>
            <w:tcW w:type="dxa" w:w="2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Categórico (Enum)</w:t>
            </w:r>
          </w:p>
        </w:tc>
        <w:tc>
          <w:tcPr>
            <w:tcW w:type="dxa" w:w="46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Propio o No Propio</w:t>
            </w:r>
          </w:p>
        </w:tc>
      </w:tr>
      <w:tr>
        <w:trPr>
          <w:tblHeader w:val="false"/>
        </w:trPr>
        <w:tc>
          <w:tcPr>
            <w:tcW w:type="dxa" w:w="5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w:t>
            </w:r>
          </w:p>
        </w:tc>
        <w:tc>
          <w:tcPr>
            <w:tcW w:type="dxa" w:w="20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total_docentes</w:t>
            </w:r>
          </w:p>
        </w:tc>
        <w:tc>
          <w:tcPr>
            <w:tcW w:type="dxa" w:w="22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Numérico (Scaled)</w:t>
            </w:r>
          </w:p>
        </w:tc>
        <w:tc>
          <w:tcPr>
            <w:tcW w:type="dxa" w:w="46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Número total de docentes activos</w:t>
            </w:r>
          </w:p>
        </w:tc>
      </w:tr>
      <w:tr>
        <w:trPr>
          <w:tblHeader w:val="false"/>
        </w:trPr>
        <w:tc>
          <w:tcPr>
            <w:tcW w:type="dxa" w:w="5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w:t>
            </w:r>
          </w:p>
        </w:tc>
        <w:tc>
          <w:tcPr>
            <w:tcW w:type="dxa" w:w="20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total_administrativos</w:t>
            </w:r>
          </w:p>
        </w:tc>
        <w:tc>
          <w:tcPr>
            <w:tcW w:type="dxa" w:w="2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Numérico (Scaled)</w:t>
            </w:r>
          </w:p>
        </w:tc>
        <w:tc>
          <w:tcPr>
            <w:tcW w:type="dxa" w:w="46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Personal administrativo de la institución</w:t>
            </w:r>
          </w:p>
        </w:tc>
      </w:tr>
      <w:tr>
        <w:trPr>
          <w:tblHeader w:val="false"/>
        </w:trPr>
        <w:tc>
          <w:tcPr>
            <w:tcW w:type="dxa" w:w="5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w:t>
            </w:r>
          </w:p>
        </w:tc>
        <w:tc>
          <w:tcPr>
            <w:tcW w:type="dxa" w:w="20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est_inicio</w:t>
            </w:r>
          </w:p>
        </w:tc>
        <w:tc>
          <w:tcPr>
            <w:tcW w:type="dxa" w:w="22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Numérico (Scaled)</w:t>
            </w:r>
          </w:p>
        </w:tc>
        <w:tc>
          <w:tcPr>
            <w:tcW w:type="dxa" w:w="46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Estudiantes matriculados al inicio del período</w:t>
            </w:r>
          </w:p>
        </w:tc>
      </w:tr>
      <w:tr>
        <w:trPr>
          <w:tblHeader w:val="false"/>
        </w:trPr>
        <w:tc>
          <w:tcPr>
            <w:tcW w:type="dxa" w:w="5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w:t>
            </w:r>
          </w:p>
        </w:tc>
        <w:tc>
          <w:tcPr>
            <w:tcW w:type="dxa" w:w="20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ratio_doc_est</w:t>
            </w:r>
          </w:p>
        </w:tc>
        <w:tc>
          <w:tcPr>
            <w:tcW w:type="dxa" w:w="2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Numérico (Scaled)</w:t>
            </w:r>
          </w:p>
        </w:tc>
        <w:tc>
          <w:tcPr>
            <w:tcW w:type="dxa" w:w="46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Ratio docentes por estudiante</w:t>
            </w:r>
          </w:p>
        </w:tc>
      </w:tr>
      <w:tr>
        <w:trPr>
          <w:tblHeader w:val="false"/>
        </w:trPr>
        <w:tc>
          <w:tcPr>
            <w:tcW w:type="dxa" w:w="5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w:t>
            </w:r>
          </w:p>
        </w:tc>
        <w:tc>
          <w:tcPr>
            <w:tcW w:type="dxa" w:w="20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ratio_genero_est</w:t>
            </w:r>
          </w:p>
        </w:tc>
        <w:tc>
          <w:tcPr>
            <w:tcW w:type="dxa" w:w="22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Numérico (Scaled)</w:t>
            </w:r>
          </w:p>
        </w:tc>
        <w:tc>
          <w:tcPr>
            <w:tcW w:type="dxa" w:w="46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Ratio de género (H/M) de la matrícula</w:t>
            </w:r>
          </w:p>
        </w:tc>
      </w:tr>
    </w:tbl>
    <w:p>
      <w:r>
        <w:t xml:space="preserve"/>
      </w:r>
    </w:p>
    <w:p>
      <w:pPr>
        <w:pStyle w:val="Heading1"/>
      </w:pPr>
      <w:r>
        <w:rPr>
          <w:rFonts w:ascii="Arial" w:cs="Arial" w:eastAsia="Arial" w:hAnsi="Arial"/>
        </w:rPr>
        <w:t xml:space="preserve">6. Modelado — Random Forest Classifier</w:t>
      </w:r>
    </w:p>
    <w:p>
      <w:pPr>
        <w:spacing w:after="120"/>
      </w:pPr>
      <w:r>
        <w:rPr>
          <w:rFonts w:ascii="Arial" w:cs="Arial" w:eastAsia="Arial" w:hAnsi="Arial"/>
          <w:sz w:val="22"/>
          <w:szCs w:val="22"/>
        </w:rPr>
        <w:t xml:space="preserve">Se seleccionó Random Forest como algoritmo principal por su robustez ante desequilibrio de clases, capacidad de manejar variables categóricas y numéricas, interpretabilidad mediante importancia de features, y alta resistencia al sobreajuste gracias al ensemble de múltiples árboles.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60"/>
      </w:tblGrid>
      <w:tr>
        <w:trPr>
          <w:tblHeader/>
        </w:trPr>
        <w:tc>
          <w:tcPr>
            <w:tcW w:type="dxa" w:w="27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Hiperparámetro</w:t>
            </w:r>
          </w:p>
        </w:tc>
        <w:tc>
          <w:tcPr>
            <w:tcW w:type="dxa" w:w="18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w:t>
            </w:r>
          </w:p>
        </w:tc>
        <w:tc>
          <w:tcPr>
            <w:tcW w:type="dxa" w:w="486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Justificación</w:t>
            </w:r>
          </w:p>
        </w:tc>
      </w:tr>
      <w:tr>
        <w:trPr>
          <w:tblHeader w:val="false"/>
        </w:trPr>
        <w:tc>
          <w:tcPr>
            <w:tcW w:type="dxa" w:w="27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n_estimators</w:t>
            </w:r>
          </w:p>
        </w:tc>
        <w:tc>
          <w:tcPr>
            <w:tcW w:type="dxa" w:w="18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200</w:t>
            </w:r>
          </w:p>
        </w:tc>
        <w:tc>
          <w:tcPr>
            <w:tcW w:type="dxa" w:w="48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Balance entre rendimiento y tiempo de entrenamiento</w:t>
            </w:r>
          </w:p>
        </w:tc>
      </w:tr>
      <w:tr>
        <w:trPr>
          <w:tblHeader w:val="false"/>
        </w:trPr>
        <w:tc>
          <w:tcPr>
            <w:tcW w:type="dxa" w:w="27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max_depth</w:t>
            </w:r>
          </w:p>
        </w:tc>
        <w:tc>
          <w:tcPr>
            <w:tcW w:type="dxa" w:w="18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w:t>
            </w:r>
          </w:p>
        </w:tc>
        <w:tc>
          <w:tcPr>
            <w:tcW w:type="dxa" w:w="48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Controla la complejidad; evita sobreajuste</w:t>
            </w:r>
          </w:p>
        </w:tc>
      </w:tr>
      <w:tr>
        <w:trPr>
          <w:tblHeader w:val="false"/>
        </w:trPr>
        <w:tc>
          <w:tcPr>
            <w:tcW w:type="dxa" w:w="27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min_samples_leaf</w:t>
            </w:r>
          </w:p>
        </w:tc>
        <w:tc>
          <w:tcPr>
            <w:tcW w:type="dxa" w:w="18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48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Garantiza hojas con suficiente soporte estadístico</w:t>
            </w:r>
          </w:p>
        </w:tc>
      </w:tr>
      <w:tr>
        <w:trPr>
          <w:tblHeader w:val="false"/>
        </w:trPr>
        <w:tc>
          <w:tcPr>
            <w:tcW w:type="dxa" w:w="27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class_weight</w:t>
            </w:r>
          </w:p>
        </w:tc>
        <w:tc>
          <w:tcPr>
            <w:tcW w:type="dxa" w:w="18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"balanced"</w:t>
            </w:r>
          </w:p>
        </w:tc>
        <w:tc>
          <w:tcPr>
            <w:tcW w:type="dxa" w:w="48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Compensa el desequilibrio 90%/6%/4% automáticamente</w:t>
            </w:r>
          </w:p>
        </w:tc>
      </w:tr>
      <w:tr>
        <w:trPr>
          <w:tblHeader w:val="false"/>
        </w:trPr>
        <w:tc>
          <w:tcPr>
            <w:tcW w:type="dxa" w:w="27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random_state</w:t>
            </w:r>
          </w:p>
        </w:tc>
        <w:tc>
          <w:tcPr>
            <w:tcW w:type="dxa" w:w="18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42</w:t>
            </w:r>
          </w:p>
        </w:tc>
        <w:tc>
          <w:tcPr>
            <w:tcW w:type="dxa" w:w="48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Reproducibilidad del experimento</w:t>
            </w:r>
          </w:p>
        </w:tc>
      </w:tr>
      <w:tr>
        <w:trPr>
          <w:tblHeader w:val="false"/>
        </w:trPr>
        <w:tc>
          <w:tcPr>
            <w:tcW w:type="dxa" w:w="27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test_size</w:t>
            </w:r>
          </w:p>
        </w:tc>
        <w:tc>
          <w:tcPr>
            <w:tcW w:type="dxa" w:w="18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0.20</w:t>
            </w:r>
          </w:p>
        </w:tc>
        <w:tc>
          <w:tcPr>
            <w:tcW w:type="dxa" w:w="48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División estándar 80/20 para entrenamiento/prueba</w:t>
            </w:r>
          </w:p>
        </w:tc>
      </w:tr>
    </w:tbl>
    <w:p>
      <w:r>
        <w:t xml:space="preserve"/>
      </w:r>
    </w:p>
    <w:p>
      <w:pPr>
        <w:pStyle w:val="Heading1"/>
      </w:pPr>
      <w:r>
        <w:rPr>
          <w:rFonts w:ascii="Arial" w:cs="Arial" w:eastAsia="Arial" w:hAnsi="Arial"/>
        </w:rPr>
        <w:t xml:space="preserve">7. Resultados y Evaluación del Modelo</w:t>
      </w:r>
    </w:p>
    <w:p>
      <w:pPr>
        <w:pStyle w:val="Heading2"/>
      </w:pPr>
      <w:r>
        <w:rPr>
          <w:rFonts w:ascii="Arial" w:cs="Arial" w:eastAsia="Arial" w:hAnsi="Arial"/>
        </w:rPr>
        <w:t xml:space="preserve">7.1 Métricas Globales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3900"/>
      </w:tblGrid>
      <w:tr>
        <w:trPr>
          <w:tblHeader/>
        </w:trPr>
        <w:tc>
          <w:tcPr>
            <w:tcW w:type="dxa" w:w="28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Métrica</w:t>
            </w:r>
          </w:p>
        </w:tc>
        <w:tc>
          <w:tcPr>
            <w:tcW w:type="dxa" w:w="256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w:t>
            </w:r>
          </w:p>
        </w:tc>
        <w:tc>
          <w:tcPr>
            <w:tcW w:type="dxa" w:w="39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Interpretación</w:t>
            </w:r>
          </w:p>
        </w:tc>
      </w:tr>
      <w:tr>
        <w:trPr>
          <w:tblHeader w:val="false"/>
        </w:trPr>
        <w:tc>
          <w:tcPr>
            <w:tcW w:type="dxa" w:w="28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Accuracy (Exactitud)</w:t>
            </w:r>
          </w:p>
        </w:tc>
        <w:tc>
          <w:tcPr>
            <w:tcW w:type="dxa" w:w="25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65.07% — 0.6507</w:t>
            </w:r>
          </w:p>
        </w:tc>
        <w:tc>
          <w:tcPr>
            <w:tcW w:type="dxa" w:w="39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 cada 100 predicciones, 65 son correctas</w:t>
            </w:r>
          </w:p>
        </w:tc>
      </w:tr>
      <w:tr>
        <w:trPr>
          <w:tblHeader w:val="false"/>
        </w:trPr>
        <w:tc>
          <w:tcPr>
            <w:tcW w:type="dxa" w:w="28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F1-Score Ponderado</w:t>
            </w:r>
          </w:p>
        </w:tc>
        <w:tc>
          <w:tcPr>
            <w:tcW w:type="dxa" w:w="25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72.35% — 0.7235</w:t>
            </w:r>
          </w:p>
        </w:tc>
        <w:tc>
          <w:tcPr>
            <w:tcW w:type="dxa" w:w="39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Balance precisión/recall ponderado por soporte de clase</w:t>
            </w:r>
          </w:p>
        </w:tc>
      </w:tr>
      <w:tr>
        <w:trPr>
          <w:tblHeader w:val="false"/>
        </w:trPr>
        <w:tc>
          <w:tcPr>
            <w:tcW w:type="dxa" w:w="28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CV F1 Media (5-fold)</w:t>
            </w:r>
          </w:p>
        </w:tc>
        <w:tc>
          <w:tcPr>
            <w:tcW w:type="dxa" w:w="25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71.73% ± 0.27%</w:t>
            </w:r>
          </w:p>
        </w:tc>
        <w:tc>
          <w:tcPr>
            <w:tcW w:type="dxa" w:w="39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Modelo estable y generalizable</w:t>
            </w:r>
          </w:p>
        </w:tc>
      </w:tr>
      <w:tr>
        <w:trPr>
          <w:tblHeader w:val="false"/>
        </w:trPr>
        <w:tc>
          <w:tcPr>
            <w:tcW w:type="dxa" w:w="28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Datos entrenamiento</w:t>
            </w:r>
          </w:p>
        </w:tc>
        <w:tc>
          <w:tcPr>
            <w:tcW w:type="dxa" w:w="25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130,764 registros</w:t>
            </w:r>
          </w:p>
        </w:tc>
        <w:tc>
          <w:tcPr>
            <w:tcW w:type="dxa" w:w="39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80% del dataset total</w:t>
            </w:r>
          </w:p>
        </w:tc>
      </w:tr>
      <w:tr>
        <w:trPr>
          <w:tblHeader w:val="false"/>
        </w:trPr>
        <w:tc>
          <w:tcPr>
            <w:tcW w:type="dxa" w:w="28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Datos prueba</w:t>
            </w:r>
          </w:p>
        </w:tc>
        <w:tc>
          <w:tcPr>
            <w:tcW w:type="dxa" w:w="25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32,692 registros</w:t>
            </w:r>
          </w:p>
        </w:tc>
        <w:tc>
          <w:tcPr>
            <w:tcW w:type="dxa" w:w="39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 del dataset, nunca visto por el modelo</w:t>
            </w:r>
          </w:p>
        </w:tc>
      </w:tr>
    </w:tbl>
    <w:p>
      <w:r>
        <w:t xml:space="preserve"/>
      </w:r>
    </w:p>
    <w:p>
      <w:pPr>
        <w:pStyle w:val="Heading2"/>
      </w:pPr>
      <w:r>
        <w:rPr>
          <w:rFonts w:ascii="Arial" w:cs="Arial" w:eastAsia="Arial" w:hAnsi="Arial"/>
        </w:rPr>
        <w:t xml:space="preserve">7.2 Métricas por Clase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500"/>
        <w:gridCol w:w="1700"/>
        <w:gridCol w:w="1760"/>
      </w:tblGrid>
      <w:tr>
        <w:trPr>
          <w:tblHeader/>
        </w:trPr>
        <w:tc>
          <w:tcPr>
            <w:tcW w:type="dxa" w:w="27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Clase</w:t>
            </w:r>
          </w:p>
        </w:tc>
        <w:tc>
          <w:tcPr>
            <w:tcW w:type="dxa" w:w="17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Precisión</w:t>
            </w:r>
          </w:p>
        </w:tc>
        <w:tc>
          <w:tcPr>
            <w:tcW w:type="dxa" w:w="15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7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c>
          <w:tcPr>
            <w:tcW w:type="dxa" w:w="176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Soporte (test)</w:t>
            </w:r>
          </w:p>
        </w:tc>
      </w:tr>
      <w:tr>
        <w:trPr>
          <w:tblHeader w:val="false"/>
        </w:trPr>
        <w:tc>
          <w:tcPr>
            <w:tcW w:type="dxa" w:w="27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Alto (Alto riesgo)</w:t>
            </w:r>
          </w:p>
        </w:tc>
        <w:tc>
          <w:tcPr>
            <w:tcW w:type="dxa" w:w="17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w:t>
            </w:r>
          </w:p>
        </w:tc>
        <w:tc>
          <w:tcPr>
            <w:tcW w:type="dxa" w:w="15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35%</w:t>
            </w:r>
          </w:p>
        </w:tc>
        <w:tc>
          <w:tcPr>
            <w:tcW w:type="dxa" w:w="17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0.15</w:t>
            </w:r>
          </w:p>
        </w:tc>
        <w:tc>
          <w:tcPr>
            <w:tcW w:type="dxa" w:w="17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1,228</w:t>
            </w:r>
          </w:p>
        </w:tc>
      </w:tr>
      <w:tr>
        <w:trPr>
          <w:tblHeader w:val="false"/>
        </w:trPr>
        <w:tc>
          <w:tcPr>
            <w:tcW w:type="dxa" w:w="27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Bajo (Bajo riesgo)</w:t>
            </w:r>
          </w:p>
        </w:tc>
        <w:tc>
          <w:tcPr>
            <w:tcW w:type="dxa" w:w="17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92%</w:t>
            </w:r>
          </w:p>
        </w:tc>
        <w:tc>
          <w:tcPr>
            <w:tcW w:type="dxa" w:w="15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69%</w:t>
            </w:r>
          </w:p>
        </w:tc>
        <w:tc>
          <w:tcPr>
            <w:tcW w:type="dxa" w:w="17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0.79</w:t>
            </w:r>
          </w:p>
        </w:tc>
        <w:tc>
          <w:tcPr>
            <w:tcW w:type="dxa" w:w="17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29,424</w:t>
            </w:r>
          </w:p>
        </w:tc>
      </w:tr>
      <w:tr>
        <w:trPr>
          <w:tblHeader w:val="false"/>
        </w:trPr>
        <w:tc>
          <w:tcPr>
            <w:tcW w:type="dxa" w:w="27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Medio (Riesgo medio)</w:t>
            </w:r>
          </w:p>
        </w:tc>
        <w:tc>
          <w:tcPr>
            <w:tcW w:type="dxa" w:w="17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15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31%</w:t>
            </w:r>
          </w:p>
        </w:tc>
        <w:tc>
          <w:tcPr>
            <w:tcW w:type="dxa" w:w="17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0.16</w:t>
            </w:r>
          </w:p>
        </w:tc>
        <w:tc>
          <w:tcPr>
            <w:tcW w:type="dxa" w:w="17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2,040</w:t>
            </w:r>
          </w:p>
        </w:tc>
      </w:tr>
      <w:tr>
        <w:trPr>
          <w:tblHeader w:val="false"/>
        </w:trPr>
        <w:tc>
          <w:tcPr>
            <w:tcW w:type="dxa" w:w="27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PROMEDIO PONDERADO</w:t>
            </w:r>
          </w:p>
        </w:tc>
        <w:tc>
          <w:tcPr>
            <w:tcW w:type="dxa" w:w="17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84%</w:t>
            </w:r>
          </w:p>
        </w:tc>
        <w:tc>
          <w:tcPr>
            <w:tcW w:type="dxa" w:w="15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65%</w:t>
            </w:r>
          </w:p>
        </w:tc>
        <w:tc>
          <w:tcPr>
            <w:tcW w:type="dxa" w:w="17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0.72</w:t>
            </w:r>
          </w:p>
        </w:tc>
        <w:tc>
          <w:tcPr>
            <w:tcW w:type="dxa" w:w="17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32,692</w:t>
            </w:r>
          </w:p>
        </w:tc>
      </w:tr>
    </w:tbl>
    <w:p>
      <w:r>
        <w:t xml:space="preserve"/>
      </w:r>
    </w:p>
    <w:p>
      <w:pPr>
        <w:spacing w:after="120"/>
      </w:pPr>
      <w:r>
        <w:rPr>
          <w:rFonts w:ascii="Arial" w:cs="Arial" w:eastAsia="Arial" w:hAnsi="Arial"/>
          <w:color w:val="444444"/>
          <w:sz w:val="22"/>
          <w:szCs w:val="22"/>
        </w:rPr>
        <w:t xml:space="preserve">Interpretación: La precisión baja en Alto y Medio se debe al fuerte desequilibrio (3.8% y 6.2% del dataset). Sin embargo, el recall del 35% en Alto indica que el modelo detecta 1 de cada 3 instituciones de alto riesgo real, siendo útil como herramienta de filtrado inicial.</w:t>
      </w:r>
    </w:p>
    <w:p>
      <w:r>
        <w:t xml:space="preserve"/>
      </w:r>
    </w:p>
    <w:p>
      <w:pPr>
        <w:pStyle w:val="Heading2"/>
      </w:pPr>
      <w:r>
        <w:rPr>
          <w:rFonts w:ascii="Arial" w:cs="Arial" w:eastAsia="Arial" w:hAnsi="Arial"/>
        </w:rPr>
        <w:t xml:space="preserve">7.3 Matriz de Confusión</w:t>
      </w:r>
    </w:p>
    <w:p>
      <w:pPr>
        <w:spacing w:after="60" w:before="100"/>
        <w:jc w:val="center"/>
      </w:pPr>
      <w:r>
        <w:drawing>
          <wp:inline distT="0" distB="0" distL="0" distR="0">
            <wp:extent cx="4572000" cy="3286125"/>
            <wp:effectExtent t="0" r="0" b="0" l="0"/>
            <wp:docPr id="1" name="confusion_matrix.png" descr="confusion_matrix.png" title="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2861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4 — Matriz de confusión: predicciones correctas vs. errores del modelo en el set de prueba</w:t>
      </w:r>
    </w:p>
    <w:p>
      <w:r>
        <w:t xml:space="preserve"/>
      </w:r>
    </w:p>
    <w:p>
      <w:pPr>
        <w:pStyle w:val="Heading2"/>
      </w:pPr>
      <w:r>
        <w:rPr>
          <w:rFonts w:ascii="Arial" w:cs="Arial" w:eastAsia="Arial" w:hAnsi="Arial"/>
        </w:rPr>
        <w:t xml:space="preserve">7.4 Validación Cruzada Estratificada (5-fold)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Partición</w:t>
            </w:r>
          </w:p>
        </w:tc>
        <w:tc>
          <w:tcPr>
            <w:tcW w:type="dxa" w:w="32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 Ponderado</w:t>
            </w:r>
          </w:p>
        </w:tc>
        <w:tc>
          <w:tcPr>
            <w:tcW w:type="dxa" w:w="396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Desviación vs. media</w:t>
            </w:r>
          </w:p>
        </w:tc>
      </w:tr>
      <w:tr>
        <w:trPr>
          <w:tblHeader w:val="false"/>
        </w:trPr>
        <w:tc>
          <w:tcPr>
            <w:tcW w:type="dxa" w:w="2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Fold 1</w:t>
            </w:r>
          </w:p>
        </w:tc>
        <w:tc>
          <w:tcPr>
            <w:tcW w:type="dxa" w:w="3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0.7157 — 71.57%</w:t>
            </w:r>
          </w:p>
        </w:tc>
        <w:tc>
          <w:tcPr>
            <w:tcW w:type="dxa" w:w="39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−0.16pp</w:t>
            </w:r>
          </w:p>
        </w:tc>
      </w:tr>
      <w:tr>
        <w:trPr>
          <w:tblHeader w:val="false"/>
        </w:trPr>
        <w:tc>
          <w:tcPr>
            <w:tcW w:type="dxa" w:w="22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Fold 2</w:t>
            </w:r>
          </w:p>
        </w:tc>
        <w:tc>
          <w:tcPr>
            <w:tcW w:type="dxa" w:w="32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0.7222 — 72.22%</w:t>
            </w:r>
          </w:p>
        </w:tc>
        <w:tc>
          <w:tcPr>
            <w:tcW w:type="dxa" w:w="39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+0.49pp</w:t>
            </w:r>
          </w:p>
        </w:tc>
      </w:tr>
      <w:tr>
        <w:trPr>
          <w:tblHeader w:val="false"/>
        </w:trPr>
        <w:tc>
          <w:tcPr>
            <w:tcW w:type="dxa" w:w="2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Fold 3</w:t>
            </w:r>
          </w:p>
        </w:tc>
        <w:tc>
          <w:tcPr>
            <w:tcW w:type="dxa" w:w="3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0.7183 — 71.83%</w:t>
            </w:r>
          </w:p>
        </w:tc>
        <w:tc>
          <w:tcPr>
            <w:tcW w:type="dxa" w:w="39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+0.10pp</w:t>
            </w:r>
          </w:p>
        </w:tc>
      </w:tr>
      <w:tr>
        <w:trPr>
          <w:tblHeader w:val="false"/>
        </w:trPr>
        <w:tc>
          <w:tcPr>
            <w:tcW w:type="dxa" w:w="22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Fold 4</w:t>
            </w:r>
          </w:p>
        </w:tc>
        <w:tc>
          <w:tcPr>
            <w:tcW w:type="dxa" w:w="32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0.7155 — 71.55%</w:t>
            </w:r>
          </w:p>
        </w:tc>
        <w:tc>
          <w:tcPr>
            <w:tcW w:type="dxa" w:w="39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−0.18pp</w:t>
            </w:r>
          </w:p>
        </w:tc>
      </w:tr>
      <w:tr>
        <w:trPr>
          <w:tblHeader w:val="false"/>
        </w:trPr>
        <w:tc>
          <w:tcPr>
            <w:tcW w:type="dxa" w:w="2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Fold 5</w:t>
            </w:r>
          </w:p>
        </w:tc>
        <w:tc>
          <w:tcPr>
            <w:tcW w:type="dxa" w:w="32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0.7148 — 71.48%</w:t>
            </w:r>
          </w:p>
        </w:tc>
        <w:tc>
          <w:tcPr>
            <w:tcW w:type="dxa" w:w="39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−0.25pp</w:t>
            </w:r>
          </w:p>
        </w:tc>
      </w:tr>
      <w:tr>
        <w:trPr>
          <w:tblHeader w:val="false"/>
        </w:trPr>
        <w:tc>
          <w:tcPr>
            <w:tcW w:type="dxa" w:w="22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MEDIA</w:t>
            </w:r>
          </w:p>
        </w:tc>
        <w:tc>
          <w:tcPr>
            <w:tcW w:type="dxa" w:w="32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0.7173 ± 0.0027 — 71.73%</w:t>
            </w:r>
          </w:p>
        </w:tc>
        <w:tc>
          <w:tcPr>
            <w:tcW w:type="dxa" w:w="39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Varianza muy baja: modelo robusto</w:t>
            </w:r>
          </w:p>
        </w:tc>
      </w:tr>
    </w:tbl>
    <w:p>
      <w:r>
        <w:t xml:space="preserve"/>
      </w:r>
    </w:p>
    <w:p>
      <w:pPr>
        <w:spacing w:after="120"/>
      </w:pPr>
      <w:r>
        <w:rPr>
          <w:rFonts w:ascii="Arial" w:cs="Arial" w:eastAsia="Arial" w:hAnsi="Arial"/>
          <w:sz w:val="22"/>
          <w:szCs w:val="22"/>
        </w:rPr>
        <w:t xml:space="preserve">La variación de apenas ±0.27% entre particiones confirma que el modelo es estable. No presenta sobreajuste (overfitting): el rendimiento en validación cruzada es consistente con el rendimiento en el set de prueba.</w:t>
      </w:r>
    </w:p>
    <w:p>
      <w:r>
        <w:t xml:space="preserve"/>
      </w:r>
    </w:p>
    <w:p>
      <w:r>
        <w:br w:type="page"/>
      </w:r>
    </w:p>
    <w:p>
      <w:pPr>
        <w:pStyle w:val="Heading1"/>
      </w:pPr>
      <w:r>
        <w:rPr>
          <w:rFonts w:ascii="Arial" w:cs="Arial" w:eastAsia="Arial" w:hAnsi="Arial"/>
        </w:rPr>
        <w:t xml:space="preserve">8. Importancia de Variables Predictoras</w:t>
      </w:r>
    </w:p>
    <w:p>
      <w:pPr>
        <w:spacing w:after="60" w:before="100"/>
        <w:jc w:val="center"/>
      </w:pPr>
      <w:r>
        <w:drawing>
          <wp:inline distT="0" distB="0" distL="0" distR="0">
            <wp:extent cx="5048250" cy="2990850"/>
            <wp:effectExtent t="0" r="0" b="0" l="0"/>
            <wp:docPr id="1" name="feature_importance.png" descr="feature_importance.png" title="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48250" cy="29908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5 — Importancia relativa de cada una de las 16 features en el modelo Random Forest</w:t>
      </w:r>
    </w:p>
    <w:p>
      <w:r>
        <w:t xml:space="preserve"/>
      </w:r>
    </w:p>
    <w:p>
      <w:pPr>
        <w:spacing w:after="120"/>
      </w:pPr>
      <w:r>
        <w:rPr>
          <w:rFonts w:ascii="Arial" w:cs="Arial" w:eastAsia="Arial" w:hAnsi="Arial"/>
          <w:sz w:val="22"/>
          <w:szCs w:val="22"/>
        </w:rPr>
        <w:t xml:space="preserve">El modelo identifica las variables más determinantes de la deserción. Las features de mayor peso son indicadores geográficos e institucionales que históricamente están correlacionados con la retención estudiantil.</w:t>
      </w:r>
    </w:p>
    <w:p>
      <w:pPr>
        <w:spacing w:after="120"/>
      </w:pPr>
      <w:r>
        <w:rPr>
          <w:rFonts w:ascii="Arial" w:cs="Arial" w:eastAsia="Arial" w:hAnsi="Arial"/>
          <w:sz w:val="22"/>
          <w:szCs w:val="22"/>
        </w:rPr>
        <w:t xml:space="preserve">El área geográfica (urbana/rural), la zona administrativa y el sostenimiento (fiscal/particular) son consistentemente los predictores más fuertes, validando el conocimiento experto del dominio educativo ecuatoriano.</w:t>
      </w:r>
    </w:p>
    <w:p>
      <w:r>
        <w:t xml:space="preserve"/>
      </w:r>
    </w:p>
    <w:p>
      <w:pPr>
        <w:pStyle w:val="Heading1"/>
      </w:pPr>
      <w:r>
        <w:rPr>
          <w:rFonts w:ascii="Arial" w:cs="Arial" w:eastAsia="Arial" w:hAnsi="Arial"/>
        </w:rPr>
        <w:t xml:space="preserve">9. Análisis Geográfico por Provincia y Año</w:t>
      </w:r>
    </w:p>
    <w:p>
      <w:pPr>
        <w:spacing w:after="60" w:before="100"/>
        <w:jc w:val="center"/>
      </w:pPr>
      <w:r>
        <w:drawing>
          <wp:inline distT="0" distB="0" distL="0" distR="0">
            <wp:extent cx="5048250" cy="3009900"/>
            <wp:effectExtent t="0" r="0" b="0" l="0"/>
            <wp:docPr id="1" name="heatmap_provincia_anio.png" descr="heatmap_provincia_anio.png" title="heatmap_provincia_an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48250" cy="30099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6 — Mapa de calor: tasa promedio de deserción por provincia y año lectivo (2015-2025)</w:t>
      </w:r>
    </w:p>
    <w:p>
      <w:r>
        <w:t xml:space="preserve"/>
      </w:r>
    </w:p>
    <w:p>
      <w:pPr>
        <w:spacing w:after="120"/>
      </w:pPr>
      <w:r>
        <w:rPr>
          <w:rFonts w:ascii="Arial" w:cs="Arial" w:eastAsia="Arial" w:hAnsi="Arial"/>
          <w:sz w:val="22"/>
          <w:szCs w:val="22"/>
        </w:rPr>
        <w:t xml:space="preserve">El análisis provincial revela patrones geográficos persistentes. Las provincias amazónicas y costeras de menor desarrollo económico muestran tasas de deserción históricamente más altas, mientras que provincias de la Sierra central mantienen niveles más bajos y estables.</w:t>
      </w:r>
    </w:p>
    <w:p>
      <w:pPr>
        <w:spacing w:after="120"/>
      </w:pPr>
      <w:r>
        <w:rPr>
          <w:rFonts w:ascii="Arial" w:cs="Arial" w:eastAsia="Arial" w:hAnsi="Arial"/>
          <w:sz w:val="22"/>
          <w:szCs w:val="22"/>
        </w:rPr>
        <w:t xml:space="preserve">El año 2020-2021 es visible en el mapa como un pico generalizado de deserción vinculado a la pandemia de COVID-19, con impacto diferencial por provincia según disponibilidad de conectividad.</w:t>
      </w:r>
    </w:p>
    <w:p>
      <w:r>
        <w:t xml:space="preserve"/>
      </w:r>
    </w:p>
    <w:p>
      <w:pPr>
        <w:pStyle w:val="Heading1"/>
      </w:pPr>
      <w:r>
        <w:rPr>
          <w:rFonts w:ascii="Arial" w:cs="Arial" w:eastAsia="Arial" w:hAnsi="Arial"/>
        </w:rPr>
        <w:t xml:space="preserve">10. Segmentación por PCA — Proyección 2D</w:t>
      </w:r>
    </w:p>
    <w:p>
      <w:pPr>
        <w:spacing w:after="60" w:before="100"/>
        <w:jc w:val="center"/>
      </w:pPr>
      <w:r>
        <w:drawing>
          <wp:inline distT="0" distB="0" distL="0" distR="0">
            <wp:extent cx="5048250" cy="3505200"/>
            <wp:effectExtent t="0" r="0" b="0" l="0"/>
            <wp:docPr id="1" name="pca_desercion.png" descr="pca_desercion.png" title="pca_deser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48250" cy="35052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7 — Proyección PCA de 163,456 instituciones en 2 componentes principales, coloreadas por nivel de deserción</w:t>
      </w:r>
    </w:p>
    <w:p>
      <w:r>
        <w:t xml:space="preserve"/>
      </w:r>
    </w:p>
    <w:p>
      <w:pPr>
        <w:spacing w:after="120"/>
      </w:pPr>
      <w:r>
        <w:rPr>
          <w:rFonts w:ascii="Arial" w:cs="Arial" w:eastAsia="Arial" w:hAnsi="Arial"/>
          <w:sz w:val="22"/>
          <w:szCs w:val="22"/>
        </w:rPr>
        <w:t xml:space="preserve">El análisis de componentes principales (PCA) reduce las 16 dimensiones del problema a 2 componentes visualizables. La separación parcial entre grupos confirma que las features seleccionadas tienen poder discriminativo real.</w:t>
      </w:r>
    </w:p>
    <w:p>
      <w:pPr>
        <w:spacing w:after="120"/>
      </w:pPr>
      <w:r>
        <w:rPr>
          <w:rFonts w:ascii="Arial" w:cs="Arial" w:eastAsia="Arial" w:hAnsi="Arial"/>
          <w:sz w:val="22"/>
          <w:szCs w:val="22"/>
        </w:rPr>
        <w:t xml:space="preserve">La superposición entre clases Medio y Alto refleja la dificultad intrínseca del problema de desequilibrio de clases: estas instituciones comparten muchas características con las de bajo riesgo, haciendo difícil su separación perfecta.</w:t>
      </w:r>
    </w:p>
    <w:p>
      <w:r>
        <w:t xml:space="preserve"/>
      </w:r>
    </w:p>
    <w:p>
      <w:pPr>
        <w:pStyle w:val="Heading1"/>
      </w:pPr>
      <w:r>
        <w:rPr>
          <w:rFonts w:ascii="Arial" w:cs="Arial" w:eastAsia="Arial" w:hAnsi="Arial"/>
        </w:rPr>
        <w:t xml:space="preserve">11. Correlaciones entre Variables Numéricas</w:t>
      </w:r>
    </w:p>
    <w:p>
      <w:pPr>
        <w:spacing w:after="60" w:before="100"/>
        <w:jc w:val="center"/>
      </w:pPr>
      <w:r>
        <w:drawing>
          <wp:inline distT="0" distB="0" distL="0" distR="0">
            <wp:extent cx="4000500" cy="3495675"/>
            <wp:effectExtent t="0" r="0" b="0" l="0"/>
            <wp:docPr id="1" name="correlacion.png" descr="correlacion.png" title="correl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34956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8 — Mapa de correlación de Pearson entre las 5 variables numéricas del modelo</w:t>
      </w:r>
    </w:p>
    <w:p>
      <w:r>
        <w:t xml:space="preserve"/>
      </w:r>
    </w:p>
    <w:p>
      <w:pPr>
        <w:spacing w:after="120"/>
      </w:pPr>
      <w:r>
        <w:rPr>
          <w:rFonts w:ascii="Arial" w:cs="Arial" w:eastAsia="Arial" w:hAnsi="Arial"/>
          <w:sz w:val="22"/>
          <w:szCs w:val="22"/>
        </w:rPr>
        <w:t xml:space="preserve">La correlación entre est_inicio y total_docentes es la más fuerte (positiva), confirmando que a mayor matrícula hay más docentes. La variable ratio_doc_est tiene correlación negativa con la deserción: instituciones con más docentes por estudiante retienen mejor.</w:t>
      </w:r>
    </w:p>
    <w:p>
      <w:r>
        <w:t xml:space="preserve"/>
      </w:r>
    </w:p>
    <w:p>
      <w:r>
        <w:br w:type="page"/>
      </w:r>
    </w:p>
    <w:p>
      <w:pPr>
        <w:pStyle w:val="Heading1"/>
      </w:pPr>
      <w:r>
        <w:rPr>
          <w:rFonts w:ascii="Arial" w:cs="Arial" w:eastAsia="Arial" w:hAnsi="Arial"/>
        </w:rPr>
        <w:t xml:space="preserve">12. Análisis Regional Extendido</w:t>
      </w:r>
    </w:p>
    <w:p>
      <w:pPr>
        <w:pStyle w:val="Heading2"/>
      </w:pPr>
      <w:r>
        <w:rPr>
          <w:rFonts w:ascii="Arial" w:cs="Arial" w:eastAsia="Arial" w:hAnsi="Arial"/>
        </w:rPr>
        <w:t xml:space="preserve">12.1 Evolución de la Deserción por Región</w:t>
      </w:r>
    </w:p>
    <w:p>
      <w:pPr>
        <w:spacing w:after="60" w:before="100"/>
        <w:jc w:val="center"/>
      </w:pPr>
      <w:r>
        <w:drawing>
          <wp:inline distT="0" distB="0" distL="0" distR="0">
            <wp:extent cx="5048250" cy="2476500"/>
            <wp:effectExtent t="0" r="0" b="0" l="0"/>
            <wp:docPr id="1" name="evolucion_regional.png" descr="evolucion_regional.png" title="evolucion_regi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48250" cy="24765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9 — Evolución de la tasa promedio de deserción por región escolar a lo largo de los 10 años</w:t>
      </w:r>
    </w:p>
    <w:p>
      <w:r>
        <w:t xml:space="preserve"/>
      </w:r>
    </w:p>
    <w:p>
      <w:pPr>
        <w:pStyle w:val="Heading2"/>
      </w:pPr>
      <w:r>
        <w:rPr>
          <w:rFonts w:ascii="Arial" w:cs="Arial" w:eastAsia="Arial" w:hAnsi="Arial"/>
        </w:rPr>
        <w:t xml:space="preserve">12.2 Brechas de Factores Asociados por Región</w:t>
      </w:r>
    </w:p>
    <w:p>
      <w:pPr>
        <w:spacing w:after="60" w:before="100"/>
        <w:jc w:val="center"/>
      </w:pPr>
      <w:r>
        <w:drawing>
          <wp:inline distT="0" distB="0" distL="0" distR="0">
            <wp:extent cx="5048250" cy="2857500"/>
            <wp:effectExtent t="0" r="0" b="0" l="0"/>
            <wp:docPr id="1" name="brechas_factores.png" descr="brechas_factores.png" title="brechas_facto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48250" cy="28575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10 — Brechas de factores institucionales (área, sostenimiento) por región educativa</w:t>
      </w:r>
    </w:p>
    <w:p>
      <w:r>
        <w:t xml:space="preserve"/>
      </w:r>
    </w:p>
    <w:p>
      <w:pPr>
        <w:spacing w:after="120"/>
      </w:pPr>
      <w:r>
        <w:rPr>
          <w:rFonts w:ascii="Arial" w:cs="Arial" w:eastAsia="Arial" w:hAnsi="Arial"/>
          <w:sz w:val="22"/>
          <w:szCs w:val="22"/>
        </w:rPr>
        <w:t xml:space="preserve">El análisis regional permite identificar patrones diferenciados entre Costa y Sierra, y dentro de cada región entre zonas urbanas y rurales. Las brechas en los factores asociados explican por qué estrategias genéricas nacionales tienen impacto limitado.</w:t>
      </w:r>
    </w:p>
    <w:p>
      <w:r>
        <w:t xml:space="preserve"/>
      </w:r>
    </w:p>
    <w:p>
      <w:pPr>
        <w:pStyle w:val="Heading1"/>
      </w:pPr>
      <w:r>
        <w:rPr>
          <w:rFonts w:ascii="Arial" w:cs="Arial" w:eastAsia="Arial" w:hAnsi="Arial"/>
        </w:rPr>
        <w:t xml:space="preserve">13. Resumen Ejecutivo del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Aspecto</w:t>
            </w:r>
          </w:p>
        </w:tc>
        <w:tc>
          <w:tcPr>
            <w:tcW w:type="dxa" w:w="5960"/>
            <w:tcBorders>
              <w:top w:val="single" w:color="CCCCCC" w:sz="1"/>
              <w:left w:val="single" w:color="CCCCCC" w:sz="1"/>
              <w:bottom w:val="single" w:color="CCCCCC" w:sz="1"/>
              <w:right w:val="single" w:color="CCCCCC" w:sz="1"/>
            </w:tcBorders>
            <w:shd w:fill="1F3864" w:color="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w:t>
            </w:r>
          </w:p>
        </w:tc>
      </w:tr>
      <w:tr>
        <w:trPr>
          <w:tblHeader w:val="false"/>
        </w:trPr>
        <w:tc>
          <w:tcPr>
            <w:tcW w:type="dxa" w:w="34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Fuente</w:t>
            </w:r>
          </w:p>
        </w:tc>
        <w:tc>
          <w:tcPr>
            <w:tcW w:type="dxa" w:w="59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Ministerio de Educación del Ecuador (AMIE)</w:t>
            </w:r>
          </w:p>
        </w:tc>
      </w:tr>
      <w:tr>
        <w:trPr>
          <w:tblHeader w:val="false"/>
        </w:trPr>
        <w:tc>
          <w:tcPr>
            <w:tcW w:type="dxa" w:w="34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Período</w:t>
            </w:r>
          </w:p>
        </w:tc>
        <w:tc>
          <w:tcPr>
            <w:tcW w:type="dxa" w:w="59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2015-2016 al 2024-2025 — 10 años lectivos</w:t>
            </w:r>
          </w:p>
        </w:tc>
      </w:tr>
      <w:tr>
        <w:trPr>
          <w:tblHeader w:val="false"/>
        </w:trPr>
        <w:tc>
          <w:tcPr>
            <w:tcW w:type="dxa" w:w="34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Registros totales</w:t>
            </w:r>
          </w:p>
        </w:tc>
        <w:tc>
          <w:tcPr>
            <w:tcW w:type="dxa" w:w="59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163,456 instituciones-año (349 advertencias descartadas)</w:t>
            </w:r>
          </w:p>
        </w:tc>
      </w:tr>
      <w:tr>
        <w:trPr>
          <w:tblHeader w:val="false"/>
        </w:trPr>
        <w:tc>
          <w:tcPr>
            <w:tcW w:type="dxa" w:w="34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Features finales</w:t>
            </w:r>
          </w:p>
        </w:tc>
        <w:tc>
          <w:tcPr>
            <w:tcW w:type="dxa" w:w="59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 (de 74 originales — reducción del 78%)</w:t>
            </w:r>
          </w:p>
        </w:tc>
      </w:tr>
      <w:tr>
        <w:trPr>
          <w:tblHeader w:val="false"/>
        </w:trPr>
        <w:tc>
          <w:tcPr>
            <w:tcW w:type="dxa" w:w="34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Modelo</w:t>
            </w:r>
          </w:p>
        </w:tc>
        <w:tc>
          <w:tcPr>
            <w:tcW w:type="dxa" w:w="59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Random Forest Classifier (200 árboles, depth=15)</w:t>
            </w:r>
          </w:p>
        </w:tc>
      </w:tr>
      <w:tr>
        <w:trPr>
          <w:tblHeader w:val="false"/>
        </w:trPr>
        <w:tc>
          <w:tcPr>
            <w:tcW w:type="dxa" w:w="34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Corrección de sesgo</w:t>
            </w:r>
          </w:p>
        </w:tc>
        <w:tc>
          <w:tcPr>
            <w:tcW w:type="dxa" w:w="59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class_weight="balanced" — combate desequilibrio 90/6/4%</w:t>
            </w:r>
          </w:p>
        </w:tc>
      </w:tr>
      <w:tr>
        <w:trPr>
          <w:tblHeader w:val="false"/>
        </w:trPr>
        <w:tc>
          <w:tcPr>
            <w:tcW w:type="dxa" w:w="34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Accuracy (test)</w:t>
            </w:r>
          </w:p>
        </w:tc>
        <w:tc>
          <w:tcPr>
            <w:tcW w:type="dxa" w:w="59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65.07%</w:t>
            </w:r>
          </w:p>
        </w:tc>
      </w:tr>
      <w:tr>
        <w:trPr>
          <w:tblHeader w:val="false"/>
        </w:trPr>
        <w:tc>
          <w:tcPr>
            <w:tcW w:type="dxa" w:w="34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F1-Score Ponderado</w:t>
            </w:r>
          </w:p>
        </w:tc>
        <w:tc>
          <w:tcPr>
            <w:tcW w:type="dxa" w:w="59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72.35%</w:t>
            </w:r>
          </w:p>
        </w:tc>
      </w:tr>
      <w:tr>
        <w:trPr>
          <w:tblHeader w:val="false"/>
        </w:trPr>
        <w:tc>
          <w:tcPr>
            <w:tcW w:type="dxa" w:w="34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CV F1 Media (5-fold)</w:t>
            </w:r>
          </w:p>
        </w:tc>
        <w:tc>
          <w:tcPr>
            <w:tcW w:type="dxa" w:w="59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71.73% ± 0.27%</w:t>
            </w:r>
          </w:p>
        </w:tc>
      </w:tr>
      <w:tr>
        <w:trPr>
          <w:tblHeader w:val="false"/>
        </w:trPr>
        <w:tc>
          <w:tcPr>
            <w:tcW w:type="dxa" w:w="34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Predictor #1</w:t>
            </w:r>
          </w:p>
        </w:tc>
        <w:tc>
          <w:tcPr>
            <w:tcW w:type="dxa" w:w="59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Área geográfica (urbana/rural)</w:t>
            </w:r>
          </w:p>
        </w:tc>
      </w:tr>
      <w:tr>
        <w:trPr>
          <w:tblHeader w:val="false"/>
        </w:trPr>
        <w:tc>
          <w:tcPr>
            <w:tcW w:type="dxa" w:w="34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Hallazgo clave</w:t>
            </w:r>
          </w:p>
        </w:tc>
        <w:tc>
          <w:tcPr>
            <w:tcW w:type="dxa" w:w="59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2020-2021 (COVID) = pico histórico de deserción</w:t>
            </w:r>
          </w:p>
        </w:tc>
      </w:tr>
      <w:tr>
        <w:trPr>
          <w:tblHeader w:val="false"/>
        </w:trPr>
        <w:tc>
          <w:tcPr>
            <w:tcW w:type="dxa" w:w="34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Recomendación 1</w:t>
            </w:r>
          </w:p>
        </w:tc>
        <w:tc>
          <w:tcPr>
            <w:tcW w:type="dxa" w:w="59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Focalizar programas de retención en instituciones Alto riesgo</w:t>
            </w:r>
          </w:p>
        </w:tc>
      </w:tr>
      <w:tr>
        <w:trPr>
          <w:tblHeader w:val="false"/>
        </w:trPr>
        <w:tc>
          <w:tcPr>
            <w:tcW w:type="dxa" w:w="340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Recomendación 2</w:t>
            </w:r>
          </w:p>
        </w:tc>
        <w:tc>
          <w:tcPr>
            <w:tcW w:type="dxa" w:w="5960"/>
            <w:tcBorders>
              <w:top w:val="single" w:color="CCCCCC" w:sz="1"/>
              <w:left w:val="single" w:color="CCCCCC" w:sz="1"/>
              <w:bottom w:val="single" w:color="CCCCCC" w:sz="1"/>
              <w:right w:val="single" w:color="CCCCCC" w:sz="1"/>
            </w:tcBorders>
            <w:shd w:fill="FFFFFF"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Priorizar zonas rurales con bajo ratio docente/estudiante</w:t>
            </w:r>
          </w:p>
        </w:tc>
      </w:tr>
      <w:tr>
        <w:trPr>
          <w:tblHeader w:val="false"/>
        </w:trPr>
        <w:tc>
          <w:tcPr>
            <w:tcW w:type="dxa" w:w="340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Recomendación 3</w:t>
            </w:r>
          </w:p>
        </w:tc>
        <w:tc>
          <w:tcPr>
            <w:tcW w:type="dxa" w:w="5960"/>
            <w:tcBorders>
              <w:top w:val="single" w:color="CCCCCC" w:sz="1"/>
              <w:left w:val="single" w:color="CCCCCC" w:sz="1"/>
              <w:bottom w:val="single" w:color="CCCCCC" w:sz="1"/>
              <w:right w:val="single" w:color="CCCCCC" w:sz="1"/>
            </w:tcBorders>
            <w:shd w:fill="EBF0FA" w:color="00000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Ampliar dataset con indicadores socioeconómicos del INEC</w:t>
            </w:r>
          </w:p>
        </w:tc>
      </w:tr>
    </w:tbl>
    <w:p>
      <w:r>
        <w:t xml:space="preserve"/>
      </w:r>
    </w:p>
    <w:p>
      <w:r>
        <w:t xml:space="preserve"/>
      </w:r>
    </w:p>
    <w:p>
      <w:pPr>
        <w:jc w:val="center"/>
      </w:pPr>
      <w:r>
        <w:rPr>
          <w:rFonts w:ascii="Arial" w:cs="Arial" w:eastAsia="Arial" w:hAnsi="Arial"/>
          <w:color w:val="2E74B5"/>
          <w:sz w:val="22"/>
          <w:szCs w:val="22"/>
        </w:rPr>
        <w:t xml:space="preserve">─────────────────────────────────────────────────────</w:t>
      </w:r>
    </w:p>
    <w:p>
      <w:pPr>
        <w:spacing w:after="60"/>
        <w:jc w:val="center"/>
      </w:pPr>
      <w:r>
        <w:rPr>
          <w:rFonts w:ascii="Arial" w:cs="Arial" w:eastAsia="Arial" w:hAnsi="Arial"/>
          <w:i/>
          <w:iCs/>
          <w:color w:val="555555"/>
          <w:sz w:val="18"/>
          <w:szCs w:val="18"/>
        </w:rPr>
        <w:t xml:space="preserve">Informe generado automáticamente desde el notebook desercion_escolar_ML.ipynb</w:t>
      </w:r>
    </w:p>
    <w:p>
      <w:pPr>
        <w:jc w:val="center"/>
      </w:pPr>
      <w:r>
        <w:rPr>
          <w:rFonts w:ascii="Arial" w:cs="Arial" w:eastAsia="Arial" w:hAnsi="Arial"/>
          <w:i/>
          <w:iCs/>
          <w:color w:val="555555"/>
          <w:sz w:val="18"/>
          <w:szCs w:val="18"/>
        </w:rPr>
        <w:t xml:space="preserve">Ministerio de Educación del Ecuador — Unidad de Análisis de Datos — Abril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1"/>
      </w:pBdr>
      <w:jc w:val="right"/>
    </w:pPr>
    <w:r>
      <w:rPr>
        <w:rFonts w:ascii="Arial" w:cs="Arial" w:eastAsia="Arial" w:hAnsi="Arial"/>
        <w:color w:val="555555"/>
        <w:sz w:val="18"/>
        <w:szCs w:val="18"/>
      </w:rPr>
      <w:t xml:space="preserve">Página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de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pPr>
    <w:r>
      <w:rPr>
        <w:rFonts w:ascii="Arial" w:cs="Arial" w:eastAsia="Arial" w:hAnsi="Arial"/>
        <w:color w:val="555555"/>
        <w:sz w:val="18"/>
        <w:szCs w:val="18"/>
      </w:rPr>
      <w:t xml:space="preserve">Ministerio de Educación del Ecuador — Predicción de Deserción Escolar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7057aef5332716a4bd43d4b9468a4cadcd1243d.png"/><Relationship Id="rId10" Type="http://schemas.openxmlformats.org/officeDocument/2006/relationships/image" Target="media/a183a9b8c80282689d0fad74ef33ebea44e07051.png"/><Relationship Id="rId11" Type="http://schemas.openxmlformats.org/officeDocument/2006/relationships/image" Target="media/4fb1845b9d6bb142d010cac2cff7c8db564d4d88.png"/><Relationship Id="rId12" Type="http://schemas.openxmlformats.org/officeDocument/2006/relationships/image" Target="media/43cb313e8b20ac5cc4321258b2c940942eab0405.png"/><Relationship Id="rId13" Type="http://schemas.openxmlformats.org/officeDocument/2006/relationships/image" Target="media/32f33d158715d076607b2444780f10199e235b4a.png"/><Relationship Id="rId14" Type="http://schemas.openxmlformats.org/officeDocument/2006/relationships/image" Target="media/2cd7e7cbaebd14ee5b1e165e04e59b50048fa442.png"/><Relationship Id="rId15" Type="http://schemas.openxmlformats.org/officeDocument/2006/relationships/image" Target="media/d5e0c06e1e05c947bc24f65e1845a48ff9d1b8e9.png"/><Relationship Id="rId16" Type="http://schemas.openxmlformats.org/officeDocument/2006/relationships/image" Target="media/2aaece1a954fba9b405f3efc21740c434c556b64.png"/><Relationship Id="rId17" Type="http://schemas.openxmlformats.org/officeDocument/2006/relationships/image" Target="media/9b15901d458ff9c14a96cc1cd23795f645d7354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Detallado — Deserción Escolar Ecuador</dc:title>
  <dc:creator>Análisis Educativo ML</dc:creator>
  <cp:lastModifiedBy>Un-named</cp:lastModifiedBy>
  <cp:revision>1</cp:revision>
  <dcterms:created xsi:type="dcterms:W3CDTF">2026-04-05T21:11:46.150Z</dcterms:created>
  <dcterms:modified xsi:type="dcterms:W3CDTF">2026-04-05T21:11:46.150Z</dcterms:modified>
</cp:coreProperties>
</file>

<file path=docProps/custom.xml><?xml version="1.0" encoding="utf-8"?>
<Properties xmlns="http://schemas.openxmlformats.org/officeDocument/2006/custom-properties" xmlns:vt="http://schemas.openxmlformats.org/officeDocument/2006/docPropsVTypes"/>
</file>