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>
      <w:r>
        <w:rPr>
          <w:rFonts w:ascii="Times New Roman" w:hAnsi="Times New Roman"/>
          <w:b/>
          <w:sz w:val="22"/>
        </w:rPr>
        <w:t>Reference No: DFY/HR/2026/118                                                                                 Dated: 01 April 2025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Rohan Sharma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Suresh Sharma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Flat 102, Green Park Apartments,</w:t>
        <w:br/>
        <w:t>Sector 15, Rohini,</w:t>
        <w:br/>
        <w:t>Delhi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Rohan Sharma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Data Entry Operator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2025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₹28,000</w:t>
      </w:r>
      <w:r w:rsidR="00CE70A8">
        <w:rPr>
          <w:spacing w:val="-13"/>
        </w:rPr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₹32,000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25 March 2024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