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DFY/HR/2026/074                                                                                 Dated: 01 April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Rohan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Suresh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102, Green Park Apartments,</w:t>
        <w:br/>
        <w:t>Sector 15, Rohini,</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Rohan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Operations</w:t>
      </w:r>
      <w:r w:rsidR="003E56C9" w:rsidRPr="00B242CF"/>
      <w:r w:rsidR="00126264" w:rsidRPr="00B242CF"/>
      <w:r w:rsidRPr="00B242CF">
        <w:t xml:space="preserve">, </w:t>
      </w:r>
      <w:r w:rsidR="00A04101" w:rsidRPr="00B242CF">
        <w:t>New 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April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31 March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₹28,000</w:t>
      </w:r>
      <w:r w:rsidR="00E65A1D" w:rsidRPr="00B242CF">
        <w:rPr>
          <w:sz w:val="22"/>
          <w:szCs w:val="22"/>
        </w:rPr>
        <w:t xml:space="preserve"> (Twenty-Eight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