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50DEEB" w14:textId="77777777" w:rsidR="008471E1" w:rsidRDefault="00B41F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6A50DEEC" w14:textId="77777777" w:rsidR="008471E1" w:rsidRDefault="008471E1">
      <w:pPr>
        <w:rPr>
          <w:rFonts w:ascii="Times New Roman" w:eastAsia="Times New Roman" w:hAnsi="Times New Roman" w:cs="Times New Roman"/>
          <w:b/>
          <w:sz w:val="24"/>
          <w:szCs w:val="24"/>
        </w:rPr>
      </w:pPr>
    </w:p>
    <w:p w14:paraId="6A50DEED" w14:textId="22496671"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Tables 1.1, Table 1.2: Definition of Financial Crises, Thresholds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pp.1-2</w:t>
      </w:r>
    </w:p>
    <w:p w14:paraId="505EA7F8" w14:textId="3223EB75" w:rsidR="00227F80" w:rsidRDefault="00227F8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Impact of Crises on Media Scores</w:t>
      </w:r>
    </w:p>
    <w:p w14:paraId="14058731" w14:textId="3D5F3BD7" w:rsidR="00227F80" w:rsidRDefault="00227F80" w:rsidP="00227F8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Testing the Causal Mechanism: Mediation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4</w:t>
      </w:r>
    </w:p>
    <w:p w14:paraId="55592C01" w14:textId="09878CC9" w:rsidR="00227F80" w:rsidRDefault="00227F80" w:rsidP="00227F80">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4: Distance Between Proxied Base Locations and Disaster: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w:t>
      </w:r>
      <w:r w:rsidR="00100E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100E5A">
        <w:rPr>
          <w:rFonts w:ascii="Times New Roman" w:eastAsia="Times New Roman" w:hAnsi="Times New Roman" w:cs="Times New Roman"/>
          <w:sz w:val="24"/>
          <w:szCs w:val="24"/>
        </w:rPr>
        <w:t>5</w:t>
      </w:r>
    </w:p>
    <w:p w14:paraId="58FA086A" w14:textId="77777777" w:rsidR="00227F80" w:rsidRDefault="00227F80" w:rsidP="00227F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Utilizing Geo-Referenced Data</w:t>
      </w:r>
    </w:p>
    <w:p w14:paraId="0CA007CF" w14:textId="3030C127" w:rsidR="00E95303" w:rsidRDefault="00E95303" w:rsidP="00E9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5: Additional Control Variables: Alliances, Regime type, </w:t>
      </w:r>
      <w:r w:rsidR="00100E5A">
        <w:rPr>
          <w:rFonts w:ascii="Times New Roman" w:eastAsia="Times New Roman" w:hAnsi="Times New Roman" w:cs="Times New Roman"/>
          <w:sz w:val="24"/>
          <w:szCs w:val="24"/>
        </w:rPr>
        <w:tab/>
      </w:r>
      <w:r w:rsidR="00100E5A">
        <w:rPr>
          <w:rFonts w:ascii="Times New Roman" w:eastAsia="Times New Roman" w:hAnsi="Times New Roman" w:cs="Times New Roman"/>
          <w:sz w:val="24"/>
          <w:szCs w:val="24"/>
        </w:rPr>
        <w:tab/>
      </w:r>
      <w:r w:rsidR="00100E5A">
        <w:rPr>
          <w:rFonts w:ascii="Times New Roman" w:eastAsia="Times New Roman" w:hAnsi="Times New Roman" w:cs="Times New Roman"/>
          <w:sz w:val="24"/>
          <w:szCs w:val="24"/>
        </w:rPr>
        <w:tab/>
        <w:t>p. 6</w:t>
      </w:r>
    </w:p>
    <w:p w14:paraId="72585A60" w14:textId="2EA70A1A" w:rsidR="00E95303" w:rsidRDefault="00E95303" w:rsidP="00E95303">
      <w:pPr>
        <w:rPr>
          <w:rFonts w:ascii="Times New Roman" w:eastAsia="Times New Roman" w:hAnsi="Times New Roman" w:cs="Times New Roman"/>
          <w:sz w:val="24"/>
          <w:szCs w:val="24"/>
        </w:rPr>
      </w:pPr>
      <w:r>
        <w:rPr>
          <w:rFonts w:ascii="Times New Roman" w:eastAsia="Times New Roman" w:hAnsi="Times New Roman" w:cs="Times New Roman"/>
          <w:sz w:val="24"/>
          <w:szCs w:val="24"/>
        </w:rPr>
        <w:t>GDP per capita, Repression, Mountainous Terrain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A50DEEE" w14:textId="596ECF9B"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95303">
        <w:rPr>
          <w:rFonts w:ascii="Times New Roman" w:eastAsia="Times New Roman" w:hAnsi="Times New Roman" w:cs="Times New Roman"/>
          <w:sz w:val="24"/>
          <w:szCs w:val="24"/>
        </w:rPr>
        <w:t>6</w:t>
      </w:r>
      <w:r>
        <w:rPr>
          <w:rFonts w:ascii="Times New Roman" w:eastAsia="Times New Roman" w:hAnsi="Times New Roman" w:cs="Times New Roman"/>
          <w:sz w:val="24"/>
          <w:szCs w:val="24"/>
        </w:rPr>
        <w:t>.1 Alternative Crisis Operationalizations: Sec. and Fin. Crises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7</w:t>
      </w:r>
    </w:p>
    <w:p w14:paraId="6A50DEEF" w14:textId="0B1F505E"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95303">
        <w:rPr>
          <w:rFonts w:ascii="Times New Roman" w:eastAsia="Times New Roman" w:hAnsi="Times New Roman" w:cs="Times New Roman"/>
          <w:sz w:val="24"/>
          <w:szCs w:val="24"/>
        </w:rPr>
        <w:t>6</w:t>
      </w:r>
      <w:r>
        <w:rPr>
          <w:rFonts w:ascii="Times New Roman" w:eastAsia="Times New Roman" w:hAnsi="Times New Roman" w:cs="Times New Roman"/>
          <w:sz w:val="24"/>
          <w:szCs w:val="24"/>
        </w:rPr>
        <w:t>.2 Alternative Crisis Operationalizations: Humanitarian Crises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8</w:t>
      </w:r>
    </w:p>
    <w:p w14:paraId="7897F301" w14:textId="7BAF77B7" w:rsidR="00D846B1" w:rsidRDefault="00D846B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Predicted Attacks at High-Low Values with all crises measures as </w:t>
      </w:r>
      <w:r>
        <w:rPr>
          <w:rFonts w:ascii="Times New Roman" w:eastAsia="Times New Roman" w:hAnsi="Times New Roman" w:cs="Times New Roman"/>
          <w:sz w:val="24"/>
          <w:szCs w:val="24"/>
        </w:rPr>
        <w:tab/>
        <w:t>p</w:t>
      </w:r>
      <w:r w:rsidR="00CB1675">
        <w:rPr>
          <w:rFonts w:ascii="Times New Roman" w:eastAsia="Times New Roman" w:hAnsi="Times New Roman" w:cs="Times New Roman"/>
          <w:sz w:val="24"/>
          <w:szCs w:val="24"/>
        </w:rPr>
        <w:t>. 9</w:t>
      </w:r>
    </w:p>
    <w:p w14:paraId="76071221" w14:textId="2AE91679" w:rsidR="00D846B1" w:rsidRDefault="00D846B1">
      <w:pPr>
        <w:rPr>
          <w:rFonts w:ascii="Times New Roman" w:eastAsia="Times New Roman" w:hAnsi="Times New Roman" w:cs="Times New Roman"/>
          <w:sz w:val="24"/>
          <w:szCs w:val="24"/>
        </w:rPr>
      </w:pPr>
      <w:r>
        <w:rPr>
          <w:rFonts w:ascii="Times New Roman" w:eastAsia="Times New Roman" w:hAnsi="Times New Roman" w:cs="Times New Roman"/>
          <w:sz w:val="24"/>
          <w:szCs w:val="24"/>
        </w:rPr>
        <w:t>non-binary</w:t>
      </w:r>
    </w:p>
    <w:p w14:paraId="6A50DEF0" w14:textId="78195842"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95303">
        <w:rPr>
          <w:rFonts w:ascii="Times New Roman" w:eastAsia="Times New Roman" w:hAnsi="Times New Roman" w:cs="Times New Roman"/>
          <w:sz w:val="24"/>
          <w:szCs w:val="24"/>
        </w:rPr>
        <w:t>7</w:t>
      </w:r>
      <w:r>
        <w:rPr>
          <w:rFonts w:ascii="Times New Roman" w:eastAsia="Times New Roman" w:hAnsi="Times New Roman" w:cs="Times New Roman"/>
          <w:sz w:val="24"/>
          <w:szCs w:val="24"/>
        </w:rPr>
        <w:t>: Financial Crisis data disaggregated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10</w:t>
      </w:r>
    </w:p>
    <w:p w14:paraId="6A50DEF3" w14:textId="7F5BD847"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E95303">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Lagged Financial and Security Crises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11</w:t>
      </w:r>
    </w:p>
    <w:p w14:paraId="6A50DEF4" w14:textId="159098B3"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CE09D0">
        <w:rPr>
          <w:rFonts w:ascii="Times New Roman" w:eastAsia="Times New Roman" w:hAnsi="Times New Roman" w:cs="Times New Roman"/>
          <w:sz w:val="24"/>
          <w:szCs w:val="24"/>
        </w:rPr>
        <w:t>9</w:t>
      </w:r>
      <w:r>
        <w:rPr>
          <w:rFonts w:ascii="Times New Roman" w:eastAsia="Times New Roman" w:hAnsi="Times New Roman" w:cs="Times New Roman"/>
          <w:sz w:val="24"/>
          <w:szCs w:val="24"/>
        </w:rPr>
        <w:t>: Domestic versus Transnational Attacks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100E5A">
        <w:rPr>
          <w:rFonts w:ascii="Times New Roman" w:eastAsia="Times New Roman" w:hAnsi="Times New Roman" w:cs="Times New Roman"/>
          <w:sz w:val="24"/>
          <w:szCs w:val="24"/>
        </w:rPr>
        <w:t>12</w:t>
      </w:r>
    </w:p>
    <w:p w14:paraId="6A50DEF5" w14:textId="673ED02F"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CE09D0">
        <w:rPr>
          <w:rFonts w:ascii="Times New Roman" w:eastAsia="Times New Roman" w:hAnsi="Times New Roman" w:cs="Times New Roman"/>
          <w:sz w:val="24"/>
          <w:szCs w:val="24"/>
        </w:rPr>
        <w:t>10</w:t>
      </w:r>
      <w:r>
        <w:rPr>
          <w:rFonts w:ascii="Times New Roman" w:eastAsia="Times New Roman" w:hAnsi="Times New Roman" w:cs="Times New Roman"/>
          <w:sz w:val="24"/>
          <w:szCs w:val="24"/>
        </w:rPr>
        <w:t>.1: Alternative Model: Hurdle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 </w:t>
      </w:r>
      <w:r w:rsidR="00D846B1">
        <w:rPr>
          <w:rFonts w:ascii="Times New Roman" w:eastAsia="Times New Roman" w:hAnsi="Times New Roman" w:cs="Times New Roman"/>
          <w:sz w:val="24"/>
          <w:szCs w:val="24"/>
        </w:rPr>
        <w:t>1</w:t>
      </w:r>
      <w:r w:rsidR="00100E5A">
        <w:rPr>
          <w:rFonts w:ascii="Times New Roman" w:eastAsia="Times New Roman" w:hAnsi="Times New Roman" w:cs="Times New Roman"/>
          <w:sz w:val="24"/>
          <w:szCs w:val="24"/>
        </w:rPr>
        <w:t>3</w:t>
      </w:r>
    </w:p>
    <w:p w14:paraId="6A50DEF6" w14:textId="6FC58E03"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CE09D0">
        <w:rPr>
          <w:rFonts w:ascii="Times New Roman" w:eastAsia="Times New Roman" w:hAnsi="Times New Roman" w:cs="Times New Roman"/>
          <w:sz w:val="24"/>
          <w:szCs w:val="24"/>
        </w:rPr>
        <w:t>10</w:t>
      </w:r>
      <w:r>
        <w:rPr>
          <w:rFonts w:ascii="Times New Roman" w:eastAsia="Times New Roman" w:hAnsi="Times New Roman" w:cs="Times New Roman"/>
          <w:sz w:val="24"/>
          <w:szCs w:val="24"/>
        </w:rPr>
        <w:t>.2: Alternative Model: Negative Binomial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 1</w:t>
      </w:r>
      <w:r w:rsidR="00100E5A">
        <w:rPr>
          <w:rFonts w:ascii="Times New Roman" w:eastAsia="Times New Roman" w:hAnsi="Times New Roman" w:cs="Times New Roman"/>
          <w:sz w:val="24"/>
          <w:szCs w:val="24"/>
        </w:rPr>
        <w:t>4</w:t>
      </w:r>
    </w:p>
    <w:p w14:paraId="6A50DEF7" w14:textId="08E5FB5C"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CE09D0">
        <w:rPr>
          <w:rFonts w:ascii="Times New Roman" w:eastAsia="Times New Roman" w:hAnsi="Times New Roman" w:cs="Times New Roman"/>
          <w:sz w:val="24"/>
          <w:szCs w:val="24"/>
        </w:rPr>
        <w:t>11</w:t>
      </w:r>
      <w:r>
        <w:rPr>
          <w:rFonts w:ascii="Times New Roman" w:eastAsia="Times New Roman" w:hAnsi="Times New Roman" w:cs="Times New Roman"/>
          <w:sz w:val="24"/>
          <w:szCs w:val="24"/>
        </w:rPr>
        <w:t>: Clustered Standard Errors: Country Effects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w:t>
      </w:r>
      <w:r w:rsidR="00100E5A">
        <w:rPr>
          <w:rFonts w:ascii="Times New Roman" w:eastAsia="Times New Roman" w:hAnsi="Times New Roman" w:cs="Times New Roman"/>
          <w:sz w:val="24"/>
          <w:szCs w:val="24"/>
        </w:rPr>
        <w:t xml:space="preserve"> 15</w:t>
      </w:r>
    </w:p>
    <w:p w14:paraId="6A50DEFB" w14:textId="79E8AC0B"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w:t>
      </w:r>
      <w:r w:rsidR="00CE09D0">
        <w:rPr>
          <w:rFonts w:ascii="Times New Roman" w:eastAsia="Times New Roman" w:hAnsi="Times New Roman" w:cs="Times New Roman"/>
          <w:sz w:val="24"/>
          <w:szCs w:val="24"/>
        </w:rPr>
        <w:t>2</w:t>
      </w:r>
      <w:r>
        <w:rPr>
          <w:rFonts w:ascii="Times New Roman" w:eastAsia="Times New Roman" w:hAnsi="Times New Roman" w:cs="Times New Roman"/>
          <w:sz w:val="24"/>
          <w:szCs w:val="24"/>
        </w:rPr>
        <w:t>: Testing Reputational Costs with Group Level Data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p. 1</w:t>
      </w:r>
      <w:r w:rsidR="00100E5A">
        <w:rPr>
          <w:rFonts w:ascii="Times New Roman" w:eastAsia="Times New Roman" w:hAnsi="Times New Roman" w:cs="Times New Roman"/>
          <w:sz w:val="24"/>
          <w:szCs w:val="24"/>
        </w:rPr>
        <w:t>6</w:t>
      </w:r>
    </w:p>
    <w:p w14:paraId="6A50DEFC" w14:textId="6E1D27F7"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D846B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Group-Level Interaction Effect of Reputation and Humanitarian Crisis </w:t>
      </w:r>
      <w:r>
        <w:rPr>
          <w:rFonts w:ascii="Times New Roman" w:eastAsia="Times New Roman" w:hAnsi="Times New Roman" w:cs="Times New Roman"/>
          <w:sz w:val="24"/>
          <w:szCs w:val="24"/>
        </w:rPr>
        <w:tab/>
        <w:t>p. 1</w:t>
      </w:r>
      <w:r w:rsidR="00100E5A">
        <w:rPr>
          <w:rFonts w:ascii="Times New Roman" w:eastAsia="Times New Roman" w:hAnsi="Times New Roman" w:cs="Times New Roman"/>
          <w:sz w:val="24"/>
          <w:szCs w:val="24"/>
        </w:rPr>
        <w:t>7</w:t>
      </w:r>
    </w:p>
    <w:p w14:paraId="6A50DEFD" w14:textId="53C84F57" w:rsidR="008471E1" w:rsidRDefault="00063792">
      <w:pPr>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Explanations for V</w:t>
      </w:r>
      <w:r w:rsidR="00B41F7C">
        <w:rPr>
          <w:rFonts w:ascii="Times New Roman" w:eastAsia="Times New Roman" w:hAnsi="Times New Roman" w:cs="Times New Roman"/>
          <w:sz w:val="24"/>
          <w:szCs w:val="24"/>
        </w:rPr>
        <w:t xml:space="preserve">ariables </w:t>
      </w:r>
      <w:r w:rsidR="00CE09D0">
        <w:rPr>
          <w:rFonts w:ascii="Times New Roman" w:eastAsia="Times New Roman" w:hAnsi="Times New Roman" w:cs="Times New Roman"/>
          <w:sz w:val="24"/>
          <w:szCs w:val="24"/>
        </w:rPr>
        <w:t xml:space="preserve">included </w:t>
      </w:r>
      <w:r w:rsidR="00D9585C">
        <w:rPr>
          <w:rFonts w:ascii="Times New Roman" w:eastAsia="Times New Roman" w:hAnsi="Times New Roman" w:cs="Times New Roman"/>
          <w:sz w:val="24"/>
          <w:szCs w:val="24"/>
        </w:rPr>
        <w:t>in</w:t>
      </w:r>
      <w:r w:rsidR="00B41F7C">
        <w:rPr>
          <w:rFonts w:ascii="Times New Roman" w:eastAsia="Times New Roman" w:hAnsi="Times New Roman" w:cs="Times New Roman"/>
          <w:sz w:val="24"/>
          <w:szCs w:val="24"/>
        </w:rPr>
        <w:t xml:space="preserve"> Table 1</w:t>
      </w:r>
      <w:r w:rsidR="00CE09D0">
        <w:rPr>
          <w:rFonts w:ascii="Times New Roman" w:eastAsia="Times New Roman" w:hAnsi="Times New Roman" w:cs="Times New Roman"/>
          <w:sz w:val="24"/>
          <w:szCs w:val="24"/>
        </w:rPr>
        <w:t>2</w:t>
      </w:r>
      <w:r w:rsidR="00B41F7C">
        <w:rPr>
          <w:rFonts w:ascii="Times New Roman" w:eastAsia="Times New Roman" w:hAnsi="Times New Roman" w:cs="Times New Roman"/>
          <w:sz w:val="24"/>
          <w:szCs w:val="24"/>
        </w:rPr>
        <w:tab/>
      </w:r>
      <w:r w:rsidR="00CE09D0">
        <w:rPr>
          <w:rFonts w:ascii="Times New Roman" w:eastAsia="Times New Roman" w:hAnsi="Times New Roman" w:cs="Times New Roman"/>
          <w:sz w:val="24"/>
          <w:szCs w:val="24"/>
        </w:rPr>
        <w:tab/>
      </w:r>
      <w:r w:rsidR="00CE09D0">
        <w:rPr>
          <w:rFonts w:ascii="Times New Roman" w:eastAsia="Times New Roman" w:hAnsi="Times New Roman" w:cs="Times New Roman"/>
          <w:sz w:val="24"/>
          <w:szCs w:val="24"/>
        </w:rPr>
        <w:tab/>
      </w:r>
      <w:r w:rsidR="00CE09D0">
        <w:rPr>
          <w:rFonts w:ascii="Times New Roman" w:eastAsia="Times New Roman" w:hAnsi="Times New Roman" w:cs="Times New Roman"/>
          <w:sz w:val="24"/>
          <w:szCs w:val="24"/>
        </w:rPr>
        <w:tab/>
      </w:r>
      <w:r w:rsidR="00CE09D0">
        <w:rPr>
          <w:rFonts w:ascii="Times New Roman" w:eastAsia="Times New Roman" w:hAnsi="Times New Roman" w:cs="Times New Roman"/>
          <w:sz w:val="24"/>
          <w:szCs w:val="24"/>
        </w:rPr>
        <w:tab/>
      </w:r>
      <w:r w:rsidR="00B41F7C">
        <w:rPr>
          <w:rFonts w:ascii="Times New Roman" w:eastAsia="Times New Roman" w:hAnsi="Times New Roman" w:cs="Times New Roman"/>
          <w:sz w:val="24"/>
          <w:szCs w:val="24"/>
        </w:rPr>
        <w:t>p. 1</w:t>
      </w:r>
      <w:r w:rsidR="00100E5A">
        <w:rPr>
          <w:rFonts w:ascii="Times New Roman" w:eastAsia="Times New Roman" w:hAnsi="Times New Roman" w:cs="Times New Roman"/>
          <w:sz w:val="24"/>
          <w:szCs w:val="24"/>
        </w:rPr>
        <w:t>8</w:t>
      </w:r>
    </w:p>
    <w:p w14:paraId="6D5072CE" w14:textId="24EF4F9E" w:rsidR="00063792" w:rsidRDefault="006C4016">
      <w:pPr>
        <w:rPr>
          <w:rFonts w:ascii="Times New Roman" w:eastAsia="Times New Roman" w:hAnsi="Times New Roman" w:cs="Times New Roman"/>
          <w:sz w:val="24"/>
          <w:szCs w:val="24"/>
        </w:rPr>
      </w:pPr>
      <w:r w:rsidRPr="006C4016">
        <w:rPr>
          <w:rFonts w:ascii="Times New Roman" w:eastAsia="Times New Roman" w:hAnsi="Times New Roman" w:cs="Times New Roman"/>
          <w:sz w:val="24"/>
          <w:szCs w:val="24"/>
        </w:rPr>
        <w:t>Explanations for Including Control Variables in Table 5</w:t>
      </w:r>
      <w:r w:rsidR="00063792">
        <w:rPr>
          <w:rFonts w:ascii="Times New Roman" w:eastAsia="Times New Roman" w:hAnsi="Times New Roman" w:cs="Times New Roman"/>
          <w:sz w:val="24"/>
          <w:szCs w:val="24"/>
        </w:rPr>
        <w:tab/>
      </w:r>
      <w:r w:rsidR="00063792">
        <w:rPr>
          <w:rFonts w:ascii="Times New Roman" w:eastAsia="Times New Roman" w:hAnsi="Times New Roman" w:cs="Times New Roman"/>
          <w:sz w:val="24"/>
          <w:szCs w:val="24"/>
        </w:rPr>
        <w:tab/>
      </w:r>
      <w:r w:rsidR="00063792">
        <w:rPr>
          <w:rFonts w:ascii="Times New Roman" w:eastAsia="Times New Roman" w:hAnsi="Times New Roman" w:cs="Times New Roman"/>
          <w:sz w:val="24"/>
          <w:szCs w:val="24"/>
        </w:rPr>
        <w:tab/>
      </w:r>
      <w:r w:rsidR="00063792">
        <w:rPr>
          <w:rFonts w:ascii="Times New Roman" w:eastAsia="Times New Roman" w:hAnsi="Times New Roman" w:cs="Times New Roman"/>
          <w:sz w:val="24"/>
          <w:szCs w:val="24"/>
        </w:rPr>
        <w:tab/>
        <w:t>p</w:t>
      </w:r>
      <w:r w:rsidR="00803993">
        <w:rPr>
          <w:rFonts w:ascii="Times New Roman" w:eastAsia="Times New Roman" w:hAnsi="Times New Roman" w:cs="Times New Roman"/>
          <w:sz w:val="24"/>
          <w:szCs w:val="24"/>
        </w:rPr>
        <w:t>p</w:t>
      </w:r>
      <w:r w:rsidR="00063792">
        <w:rPr>
          <w:rFonts w:ascii="Times New Roman" w:eastAsia="Times New Roman" w:hAnsi="Times New Roman" w:cs="Times New Roman"/>
          <w:sz w:val="24"/>
          <w:szCs w:val="24"/>
        </w:rPr>
        <w:t>. 19</w:t>
      </w:r>
      <w:r w:rsidR="00803993">
        <w:rPr>
          <w:rFonts w:ascii="Times New Roman" w:eastAsia="Times New Roman" w:hAnsi="Times New Roman" w:cs="Times New Roman"/>
          <w:sz w:val="24"/>
          <w:szCs w:val="24"/>
        </w:rPr>
        <w:t>, 20</w:t>
      </w:r>
    </w:p>
    <w:p w14:paraId="6A50DEFE" w14:textId="77777777" w:rsidR="008471E1" w:rsidRDefault="00B41F7C">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A50DEFF" w14:textId="77777777" w:rsidR="008471E1" w:rsidRDefault="008471E1">
      <w:pPr>
        <w:rPr>
          <w:rFonts w:ascii="Times New Roman" w:eastAsia="Times New Roman" w:hAnsi="Times New Roman" w:cs="Times New Roman"/>
          <w:sz w:val="24"/>
          <w:szCs w:val="24"/>
        </w:rPr>
      </w:pPr>
    </w:p>
    <w:p w14:paraId="6A50DF00" w14:textId="77777777" w:rsidR="008471E1" w:rsidRDefault="008471E1"/>
    <w:p w14:paraId="6A50DF01" w14:textId="77777777" w:rsidR="008471E1" w:rsidRDefault="008471E1"/>
    <w:p w14:paraId="6A50DF02" w14:textId="77777777" w:rsidR="008471E1" w:rsidRDefault="008471E1"/>
    <w:p w14:paraId="6A50DF03" w14:textId="77777777" w:rsidR="008471E1" w:rsidRDefault="008471E1"/>
    <w:p w14:paraId="6A50DF09" w14:textId="77777777" w:rsidR="008471E1" w:rsidRPr="00B41F7C" w:rsidRDefault="00B41F7C">
      <w:pPr>
        <w:rPr>
          <w:rFonts w:ascii="Times New Roman" w:eastAsia="Roboto" w:hAnsi="Times New Roman" w:cs="Times New Roman"/>
          <w:b/>
          <w:bCs/>
          <w:color w:val="0D0D0D"/>
          <w:sz w:val="24"/>
          <w:szCs w:val="24"/>
          <w:highlight w:val="white"/>
        </w:rPr>
      </w:pPr>
      <w:r w:rsidRPr="00B41F7C">
        <w:rPr>
          <w:rFonts w:ascii="Times New Roman" w:eastAsia="Roboto" w:hAnsi="Times New Roman" w:cs="Times New Roman"/>
          <w:b/>
          <w:bCs/>
          <w:color w:val="0D0D0D"/>
          <w:sz w:val="24"/>
          <w:szCs w:val="24"/>
          <w:highlight w:val="white"/>
        </w:rPr>
        <w:t xml:space="preserve">Coding of Economic Crises: </w:t>
      </w:r>
    </w:p>
    <w:p w14:paraId="6A50DF0A" w14:textId="1593FD2A" w:rsidR="008471E1" w:rsidRPr="00B41F7C" w:rsidRDefault="00B41F7C">
      <w:pPr>
        <w:rPr>
          <w:rFonts w:ascii="Times New Roman" w:eastAsia="Roboto" w:hAnsi="Times New Roman" w:cs="Times New Roman"/>
          <w:color w:val="0D0D0D"/>
          <w:sz w:val="24"/>
          <w:szCs w:val="24"/>
          <w:highlight w:val="white"/>
        </w:rPr>
      </w:pPr>
      <w:r w:rsidRPr="00B41F7C">
        <w:rPr>
          <w:rFonts w:ascii="Times New Roman" w:eastAsia="Roboto" w:hAnsi="Times New Roman" w:cs="Times New Roman"/>
          <w:color w:val="0D0D0D"/>
          <w:sz w:val="24"/>
          <w:szCs w:val="24"/>
          <w:highlight w:val="white"/>
        </w:rPr>
        <w:t>The following tables are taken from https://carmenreinhart.com/this-time-is-different/</w:t>
      </w:r>
    </w:p>
    <w:p w14:paraId="6A50DF0B" w14:textId="77777777" w:rsidR="008471E1" w:rsidRDefault="008471E1"/>
    <w:p w14:paraId="6A50DF0C" w14:textId="77777777" w:rsidR="008471E1" w:rsidRDefault="00B41F7C">
      <w:r>
        <w:rPr>
          <w:noProof/>
        </w:rPr>
        <w:drawing>
          <wp:inline distT="114300" distB="114300" distL="114300" distR="114300" wp14:anchorId="6A50DFA9" wp14:editId="6A50DFAA">
            <wp:extent cx="5943600" cy="3987800"/>
            <wp:effectExtent l="0" t="0" r="0" b="0"/>
            <wp:docPr id="19108667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3987800"/>
                    </a:xfrm>
                    <a:prstGeom prst="rect">
                      <a:avLst/>
                    </a:prstGeom>
                    <a:ln/>
                  </pic:spPr>
                </pic:pic>
              </a:graphicData>
            </a:graphic>
          </wp:inline>
        </w:drawing>
      </w:r>
    </w:p>
    <w:p w14:paraId="6A50DF0D" w14:textId="77777777" w:rsidR="008471E1" w:rsidRDefault="008471E1"/>
    <w:p w14:paraId="6A50DF0E" w14:textId="77777777" w:rsidR="008471E1" w:rsidRDefault="008471E1"/>
    <w:p w14:paraId="6A50DF0F" w14:textId="77777777" w:rsidR="008471E1" w:rsidRDefault="00B41F7C">
      <w:r>
        <w:rPr>
          <w:noProof/>
        </w:rPr>
        <w:drawing>
          <wp:inline distT="114300" distB="114300" distL="114300" distR="114300" wp14:anchorId="6A50DFAB" wp14:editId="6A50DFAC">
            <wp:extent cx="5943600" cy="6197600"/>
            <wp:effectExtent l="0" t="0" r="0" b="0"/>
            <wp:docPr id="19108667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6197600"/>
                    </a:xfrm>
                    <a:prstGeom prst="rect">
                      <a:avLst/>
                    </a:prstGeom>
                    <a:ln/>
                  </pic:spPr>
                </pic:pic>
              </a:graphicData>
            </a:graphic>
          </wp:inline>
        </w:drawing>
      </w:r>
    </w:p>
    <w:p w14:paraId="6A50DF10" w14:textId="77777777" w:rsidR="008471E1" w:rsidRDefault="008471E1"/>
    <w:p w14:paraId="6A50DF11" w14:textId="77777777" w:rsidR="008471E1" w:rsidRDefault="008471E1"/>
    <w:p w14:paraId="6A50DF12" w14:textId="77777777" w:rsidR="008471E1" w:rsidRDefault="008471E1"/>
    <w:p w14:paraId="6A50DF13" w14:textId="77777777" w:rsidR="008471E1" w:rsidRDefault="008471E1"/>
    <w:p w14:paraId="6A50DF14" w14:textId="2684A638" w:rsidR="008471E1" w:rsidRDefault="00227F80">
      <w:r w:rsidRPr="00227F80">
        <w:rPr>
          <w:noProof/>
        </w:rPr>
        <w:drawing>
          <wp:inline distT="0" distB="0" distL="0" distR="0" wp14:anchorId="447D072A" wp14:editId="19697A76">
            <wp:extent cx="5943600" cy="3369310"/>
            <wp:effectExtent l="0" t="0" r="0" b="2540"/>
            <wp:docPr id="208658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6A50DF15" w14:textId="77777777" w:rsidR="008471E1" w:rsidRDefault="008471E1"/>
    <w:p w14:paraId="6A50DF16" w14:textId="77777777" w:rsidR="008471E1" w:rsidRDefault="008471E1"/>
    <w:p w14:paraId="2C56B660" w14:textId="77777777" w:rsidR="00227F80" w:rsidRDefault="00227F80"/>
    <w:p w14:paraId="19F577DC" w14:textId="77777777" w:rsidR="00227F80" w:rsidRDefault="00227F80"/>
    <w:p w14:paraId="4C6AB8E5" w14:textId="77777777" w:rsidR="00227F80" w:rsidRDefault="00227F80" w:rsidP="00227F80"/>
    <w:p w14:paraId="58C13CA1" w14:textId="77777777" w:rsidR="00227F80" w:rsidRDefault="00227F80" w:rsidP="00227F80"/>
    <w:p w14:paraId="10D39FC3" w14:textId="77777777" w:rsidR="00227F80" w:rsidRDefault="00227F80" w:rsidP="00227F80"/>
    <w:p w14:paraId="458A8C3C" w14:textId="77777777" w:rsidR="00227F80" w:rsidRDefault="00227F80" w:rsidP="00227F80"/>
    <w:p w14:paraId="0994E9B3" w14:textId="77777777" w:rsidR="00227F80" w:rsidRDefault="00227F80" w:rsidP="00227F80"/>
    <w:p w14:paraId="20D761FD" w14:textId="77777777" w:rsidR="00227F80" w:rsidRDefault="00227F80" w:rsidP="00227F80"/>
    <w:p w14:paraId="2E16F083" w14:textId="77777777" w:rsidR="00227F80" w:rsidRDefault="00227F80" w:rsidP="00227F80"/>
    <w:p w14:paraId="76618F03" w14:textId="77777777" w:rsidR="00227F80" w:rsidRDefault="00227F80" w:rsidP="00227F80"/>
    <w:p w14:paraId="1966EF57" w14:textId="77777777" w:rsidR="00227F80" w:rsidRDefault="00227F80" w:rsidP="00227F80"/>
    <w:p w14:paraId="0ACFB85C" w14:textId="77777777" w:rsidR="00227F80" w:rsidRDefault="00227F80" w:rsidP="00227F80"/>
    <w:p w14:paraId="021D2D9E" w14:textId="77777777" w:rsidR="00227F80" w:rsidRDefault="00227F80" w:rsidP="00227F80"/>
    <w:p w14:paraId="258FA37D" w14:textId="77777777" w:rsidR="00227F80" w:rsidRDefault="00227F80" w:rsidP="00227F80"/>
    <w:p w14:paraId="48F72583" w14:textId="77777777" w:rsidR="00227F80" w:rsidRDefault="00227F80" w:rsidP="00227F80"/>
    <w:p w14:paraId="3543F804" w14:textId="77777777" w:rsidR="00227F80" w:rsidRPr="00227F80" w:rsidRDefault="00227F80" w:rsidP="00227F80">
      <w:pPr>
        <w:rPr>
          <w:rFonts w:ascii="Times New Roman" w:hAnsi="Times New Roman" w:cs="Times New Roman"/>
          <w:sz w:val="24"/>
          <w:szCs w:val="24"/>
        </w:rPr>
      </w:pPr>
      <w:r w:rsidRPr="00227F80">
        <w:rPr>
          <w:rFonts w:ascii="Times New Roman" w:hAnsi="Times New Roman" w:cs="Times New Roman"/>
          <w:sz w:val="24"/>
          <w:szCs w:val="24"/>
        </w:rPr>
        <w:t>Table 3: Mediation Analysis, Indirect Effects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375"/>
        <w:gridCol w:w="2076"/>
        <w:gridCol w:w="1646"/>
        <w:gridCol w:w="1890"/>
        <w:gridCol w:w="1373"/>
      </w:tblGrid>
      <w:tr w:rsidR="00227F80" w:rsidRPr="00227F80" w14:paraId="5674C715" w14:textId="77777777" w:rsidTr="00DC0A7A">
        <w:trPr>
          <w:trHeight w:val="285"/>
        </w:trPr>
        <w:tc>
          <w:tcPr>
            <w:tcW w:w="2375" w:type="dxa"/>
            <w:tcBorders>
              <w:top w:val="nil"/>
              <w:left w:val="nil"/>
              <w:bottom w:val="single" w:sz="6" w:space="0" w:color="000000"/>
              <w:right w:val="nil"/>
            </w:tcBorders>
            <w:tcMar>
              <w:top w:w="0" w:type="dxa"/>
              <w:left w:w="100" w:type="dxa"/>
              <w:bottom w:w="0" w:type="dxa"/>
              <w:right w:w="100" w:type="dxa"/>
            </w:tcMar>
            <w:vAlign w:val="bottom"/>
          </w:tcPr>
          <w:p w14:paraId="0B8E8E98"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Financial Crisis</w:t>
            </w:r>
          </w:p>
        </w:tc>
        <w:tc>
          <w:tcPr>
            <w:tcW w:w="2076" w:type="dxa"/>
            <w:tcBorders>
              <w:top w:val="nil"/>
              <w:left w:val="nil"/>
              <w:bottom w:val="single" w:sz="6" w:space="0" w:color="000000"/>
              <w:right w:val="nil"/>
            </w:tcBorders>
            <w:tcMar>
              <w:top w:w="0" w:type="dxa"/>
              <w:left w:w="100" w:type="dxa"/>
              <w:bottom w:w="0" w:type="dxa"/>
              <w:right w:w="100" w:type="dxa"/>
            </w:tcMar>
            <w:vAlign w:val="bottom"/>
          </w:tcPr>
          <w:p w14:paraId="77010839"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NIE</w:t>
            </w:r>
          </w:p>
        </w:tc>
        <w:tc>
          <w:tcPr>
            <w:tcW w:w="1646" w:type="dxa"/>
            <w:tcBorders>
              <w:top w:val="nil"/>
              <w:left w:val="nil"/>
              <w:bottom w:val="single" w:sz="6" w:space="0" w:color="000000"/>
              <w:right w:val="nil"/>
            </w:tcBorders>
            <w:tcMar>
              <w:top w:w="0" w:type="dxa"/>
              <w:left w:w="100" w:type="dxa"/>
              <w:bottom w:w="0" w:type="dxa"/>
              <w:right w:w="100" w:type="dxa"/>
            </w:tcMar>
            <w:vAlign w:val="bottom"/>
          </w:tcPr>
          <w:p w14:paraId="7DA57CF2"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NDE</w:t>
            </w:r>
          </w:p>
        </w:tc>
        <w:tc>
          <w:tcPr>
            <w:tcW w:w="1890" w:type="dxa"/>
            <w:tcBorders>
              <w:top w:val="nil"/>
              <w:left w:val="nil"/>
              <w:bottom w:val="single" w:sz="6" w:space="0" w:color="000000"/>
              <w:right w:val="nil"/>
            </w:tcBorders>
            <w:tcMar>
              <w:top w:w="0" w:type="dxa"/>
              <w:left w:w="100" w:type="dxa"/>
              <w:bottom w:w="0" w:type="dxa"/>
              <w:right w:w="100" w:type="dxa"/>
            </w:tcMar>
            <w:vAlign w:val="bottom"/>
          </w:tcPr>
          <w:p w14:paraId="50B75510"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TE</w:t>
            </w:r>
          </w:p>
        </w:tc>
        <w:tc>
          <w:tcPr>
            <w:tcW w:w="1373" w:type="dxa"/>
            <w:tcBorders>
              <w:top w:val="nil"/>
              <w:left w:val="nil"/>
              <w:bottom w:val="single" w:sz="6" w:space="0" w:color="000000"/>
              <w:right w:val="nil"/>
            </w:tcBorders>
            <w:tcMar>
              <w:top w:w="0" w:type="dxa"/>
              <w:left w:w="100" w:type="dxa"/>
              <w:bottom w:w="0" w:type="dxa"/>
              <w:right w:w="100" w:type="dxa"/>
            </w:tcMar>
            <w:vAlign w:val="bottom"/>
          </w:tcPr>
          <w:p w14:paraId="2447181D"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Proportion</w:t>
            </w:r>
          </w:p>
        </w:tc>
      </w:tr>
      <w:tr w:rsidR="00227F80" w:rsidRPr="00227F80" w14:paraId="6C5E62DE" w14:textId="77777777" w:rsidTr="00DC0A7A">
        <w:trPr>
          <w:trHeight w:val="285"/>
        </w:trPr>
        <w:tc>
          <w:tcPr>
            <w:tcW w:w="2375" w:type="dxa"/>
            <w:tcBorders>
              <w:top w:val="nil"/>
              <w:left w:val="nil"/>
              <w:bottom w:val="nil"/>
              <w:right w:val="nil"/>
            </w:tcBorders>
            <w:tcMar>
              <w:top w:w="0" w:type="dxa"/>
              <w:left w:w="100" w:type="dxa"/>
              <w:bottom w:w="0" w:type="dxa"/>
              <w:right w:w="100" w:type="dxa"/>
            </w:tcMar>
            <w:vAlign w:val="bottom"/>
          </w:tcPr>
          <w:p w14:paraId="59065375"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State Capacity</w:t>
            </w:r>
          </w:p>
        </w:tc>
        <w:tc>
          <w:tcPr>
            <w:tcW w:w="2076" w:type="dxa"/>
            <w:tcBorders>
              <w:top w:val="nil"/>
              <w:left w:val="nil"/>
              <w:bottom w:val="nil"/>
              <w:right w:val="nil"/>
            </w:tcBorders>
            <w:tcMar>
              <w:top w:w="0" w:type="dxa"/>
              <w:left w:w="100" w:type="dxa"/>
              <w:bottom w:w="0" w:type="dxa"/>
              <w:right w:w="100" w:type="dxa"/>
            </w:tcMar>
            <w:vAlign w:val="bottom"/>
          </w:tcPr>
          <w:p w14:paraId="62BC9FBF"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3.01(0.99)***</w:t>
            </w:r>
          </w:p>
        </w:tc>
        <w:tc>
          <w:tcPr>
            <w:tcW w:w="1646" w:type="dxa"/>
            <w:tcBorders>
              <w:top w:val="nil"/>
              <w:left w:val="nil"/>
              <w:bottom w:val="nil"/>
              <w:right w:val="nil"/>
            </w:tcBorders>
            <w:tcMar>
              <w:top w:w="0" w:type="dxa"/>
              <w:left w:w="100" w:type="dxa"/>
              <w:bottom w:w="0" w:type="dxa"/>
              <w:right w:w="100" w:type="dxa"/>
            </w:tcMar>
            <w:vAlign w:val="bottom"/>
          </w:tcPr>
          <w:p w14:paraId="79493FF8"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1.40(3.03)</w:t>
            </w:r>
          </w:p>
        </w:tc>
        <w:tc>
          <w:tcPr>
            <w:tcW w:w="1890" w:type="dxa"/>
            <w:tcBorders>
              <w:top w:val="nil"/>
              <w:left w:val="nil"/>
              <w:bottom w:val="nil"/>
              <w:right w:val="nil"/>
            </w:tcBorders>
            <w:tcMar>
              <w:top w:w="0" w:type="dxa"/>
              <w:left w:w="100" w:type="dxa"/>
              <w:bottom w:w="0" w:type="dxa"/>
              <w:right w:w="100" w:type="dxa"/>
            </w:tcMar>
            <w:vAlign w:val="bottom"/>
          </w:tcPr>
          <w:p w14:paraId="0A280848"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4.39 (3.23)</w:t>
            </w:r>
          </w:p>
        </w:tc>
        <w:tc>
          <w:tcPr>
            <w:tcW w:w="1373" w:type="dxa"/>
            <w:tcBorders>
              <w:top w:val="nil"/>
              <w:left w:val="nil"/>
              <w:bottom w:val="nil"/>
              <w:right w:val="nil"/>
            </w:tcBorders>
            <w:tcMar>
              <w:top w:w="0" w:type="dxa"/>
              <w:left w:w="100" w:type="dxa"/>
              <w:bottom w:w="0" w:type="dxa"/>
              <w:right w:w="100" w:type="dxa"/>
            </w:tcMar>
            <w:vAlign w:val="bottom"/>
          </w:tcPr>
          <w:p w14:paraId="3CD256F2"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69*</w:t>
            </w:r>
          </w:p>
        </w:tc>
      </w:tr>
      <w:tr w:rsidR="00227F80" w:rsidRPr="00227F80" w14:paraId="197C4457" w14:textId="77777777" w:rsidTr="00DC0A7A">
        <w:trPr>
          <w:trHeight w:val="285"/>
        </w:trPr>
        <w:tc>
          <w:tcPr>
            <w:tcW w:w="2375" w:type="dxa"/>
            <w:tcBorders>
              <w:top w:val="nil"/>
              <w:left w:val="nil"/>
              <w:bottom w:val="nil"/>
              <w:right w:val="nil"/>
            </w:tcBorders>
            <w:tcMar>
              <w:top w:w="0" w:type="dxa"/>
              <w:left w:w="100" w:type="dxa"/>
              <w:bottom w:w="0" w:type="dxa"/>
              <w:right w:w="100" w:type="dxa"/>
            </w:tcMar>
            <w:vAlign w:val="bottom"/>
          </w:tcPr>
          <w:p w14:paraId="7C03E07F"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Media Score</w:t>
            </w:r>
          </w:p>
        </w:tc>
        <w:tc>
          <w:tcPr>
            <w:tcW w:w="2076" w:type="dxa"/>
            <w:tcBorders>
              <w:top w:val="nil"/>
              <w:left w:val="nil"/>
              <w:bottom w:val="nil"/>
              <w:right w:val="nil"/>
            </w:tcBorders>
            <w:tcMar>
              <w:top w:w="0" w:type="dxa"/>
              <w:left w:w="100" w:type="dxa"/>
              <w:bottom w:w="0" w:type="dxa"/>
              <w:right w:w="100" w:type="dxa"/>
            </w:tcMar>
            <w:vAlign w:val="bottom"/>
          </w:tcPr>
          <w:p w14:paraId="3BC86019" w14:textId="7AD938F1"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-0.50*(0.</w:t>
            </w:r>
            <w:r w:rsidR="00540C2B">
              <w:rPr>
                <w:rFonts w:ascii="Times New Roman" w:hAnsi="Times New Roman" w:cs="Times New Roman"/>
              </w:rPr>
              <w:t>56</w:t>
            </w:r>
            <w:r w:rsidRPr="00227F80">
              <w:rPr>
                <w:rFonts w:ascii="Times New Roman" w:hAnsi="Times New Roman" w:cs="Times New Roman"/>
              </w:rPr>
              <w:t>)</w:t>
            </w:r>
          </w:p>
        </w:tc>
        <w:tc>
          <w:tcPr>
            <w:tcW w:w="1646" w:type="dxa"/>
            <w:tcBorders>
              <w:top w:val="nil"/>
              <w:left w:val="nil"/>
              <w:bottom w:val="nil"/>
              <w:right w:val="nil"/>
            </w:tcBorders>
            <w:tcMar>
              <w:top w:w="0" w:type="dxa"/>
              <w:left w:w="100" w:type="dxa"/>
              <w:bottom w:w="0" w:type="dxa"/>
              <w:right w:w="100" w:type="dxa"/>
            </w:tcMar>
            <w:vAlign w:val="bottom"/>
          </w:tcPr>
          <w:p w14:paraId="111B7195"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8.74(3.54)**</w:t>
            </w:r>
          </w:p>
        </w:tc>
        <w:tc>
          <w:tcPr>
            <w:tcW w:w="1890" w:type="dxa"/>
            <w:tcBorders>
              <w:top w:val="nil"/>
              <w:left w:val="nil"/>
              <w:bottom w:val="nil"/>
              <w:right w:val="nil"/>
            </w:tcBorders>
            <w:tcMar>
              <w:top w:w="0" w:type="dxa"/>
              <w:left w:w="100" w:type="dxa"/>
              <w:bottom w:w="0" w:type="dxa"/>
              <w:right w:w="100" w:type="dxa"/>
            </w:tcMar>
            <w:vAlign w:val="bottom"/>
          </w:tcPr>
          <w:p w14:paraId="64E11414"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8.23(3.38)**</w:t>
            </w:r>
          </w:p>
        </w:tc>
        <w:tc>
          <w:tcPr>
            <w:tcW w:w="1373" w:type="dxa"/>
            <w:tcBorders>
              <w:top w:val="nil"/>
              <w:left w:val="nil"/>
              <w:bottom w:val="nil"/>
              <w:right w:val="nil"/>
            </w:tcBorders>
            <w:tcMar>
              <w:top w:w="0" w:type="dxa"/>
              <w:left w:w="100" w:type="dxa"/>
              <w:bottom w:w="0" w:type="dxa"/>
              <w:right w:w="100" w:type="dxa"/>
            </w:tcMar>
            <w:vAlign w:val="bottom"/>
          </w:tcPr>
          <w:p w14:paraId="29CC30E3"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-6</w:t>
            </w:r>
          </w:p>
        </w:tc>
      </w:tr>
      <w:tr w:rsidR="00227F80" w:rsidRPr="00227F80" w14:paraId="0D59F911" w14:textId="77777777" w:rsidTr="00DC0A7A">
        <w:trPr>
          <w:trHeight w:val="285"/>
        </w:trPr>
        <w:tc>
          <w:tcPr>
            <w:tcW w:w="2375" w:type="dxa"/>
            <w:tcBorders>
              <w:top w:val="nil"/>
              <w:left w:val="nil"/>
              <w:bottom w:val="single" w:sz="6" w:space="0" w:color="000000"/>
              <w:right w:val="nil"/>
            </w:tcBorders>
            <w:tcMar>
              <w:top w:w="0" w:type="dxa"/>
              <w:left w:w="100" w:type="dxa"/>
              <w:bottom w:w="0" w:type="dxa"/>
              <w:right w:w="100" w:type="dxa"/>
            </w:tcMar>
            <w:vAlign w:val="bottom"/>
          </w:tcPr>
          <w:p w14:paraId="4F568935"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Humanitarian Crisis</w:t>
            </w:r>
          </w:p>
        </w:tc>
        <w:tc>
          <w:tcPr>
            <w:tcW w:w="2076" w:type="dxa"/>
            <w:tcBorders>
              <w:top w:val="nil"/>
              <w:left w:val="nil"/>
              <w:bottom w:val="single" w:sz="6" w:space="0" w:color="000000"/>
              <w:right w:val="nil"/>
            </w:tcBorders>
            <w:tcMar>
              <w:top w:w="0" w:type="dxa"/>
              <w:left w:w="100" w:type="dxa"/>
              <w:bottom w:w="0" w:type="dxa"/>
              <w:right w:w="100" w:type="dxa"/>
            </w:tcMar>
            <w:vAlign w:val="bottom"/>
          </w:tcPr>
          <w:p w14:paraId="45DA9AA8"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NIE</w:t>
            </w:r>
          </w:p>
        </w:tc>
        <w:tc>
          <w:tcPr>
            <w:tcW w:w="1646" w:type="dxa"/>
            <w:tcBorders>
              <w:top w:val="nil"/>
              <w:left w:val="nil"/>
              <w:bottom w:val="single" w:sz="6" w:space="0" w:color="000000"/>
              <w:right w:val="nil"/>
            </w:tcBorders>
            <w:tcMar>
              <w:top w:w="0" w:type="dxa"/>
              <w:left w:w="100" w:type="dxa"/>
              <w:bottom w:w="0" w:type="dxa"/>
              <w:right w:w="100" w:type="dxa"/>
            </w:tcMar>
            <w:vAlign w:val="bottom"/>
          </w:tcPr>
          <w:p w14:paraId="6E6C0827"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NDE</w:t>
            </w:r>
          </w:p>
        </w:tc>
        <w:tc>
          <w:tcPr>
            <w:tcW w:w="1890" w:type="dxa"/>
            <w:tcBorders>
              <w:top w:val="nil"/>
              <w:left w:val="nil"/>
              <w:bottom w:val="single" w:sz="6" w:space="0" w:color="000000"/>
              <w:right w:val="nil"/>
            </w:tcBorders>
            <w:tcMar>
              <w:top w:w="0" w:type="dxa"/>
              <w:left w:w="100" w:type="dxa"/>
              <w:bottom w:w="0" w:type="dxa"/>
              <w:right w:w="100" w:type="dxa"/>
            </w:tcMar>
            <w:vAlign w:val="bottom"/>
          </w:tcPr>
          <w:p w14:paraId="4181BA4D"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TE</w:t>
            </w:r>
          </w:p>
        </w:tc>
        <w:tc>
          <w:tcPr>
            <w:tcW w:w="1373" w:type="dxa"/>
            <w:tcBorders>
              <w:top w:val="nil"/>
              <w:left w:val="nil"/>
              <w:bottom w:val="single" w:sz="6" w:space="0" w:color="000000"/>
              <w:right w:val="nil"/>
            </w:tcBorders>
            <w:tcMar>
              <w:top w:w="0" w:type="dxa"/>
              <w:left w:w="100" w:type="dxa"/>
              <w:bottom w:w="0" w:type="dxa"/>
              <w:right w:w="100" w:type="dxa"/>
            </w:tcMar>
            <w:vAlign w:val="bottom"/>
          </w:tcPr>
          <w:p w14:paraId="28D4F8D0"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 xml:space="preserve"> </w:t>
            </w:r>
          </w:p>
        </w:tc>
      </w:tr>
      <w:tr w:rsidR="00227F80" w:rsidRPr="00227F80" w14:paraId="5DB68C64" w14:textId="77777777" w:rsidTr="00DC0A7A">
        <w:trPr>
          <w:trHeight w:val="285"/>
        </w:trPr>
        <w:tc>
          <w:tcPr>
            <w:tcW w:w="2375" w:type="dxa"/>
            <w:tcBorders>
              <w:top w:val="nil"/>
              <w:left w:val="nil"/>
              <w:bottom w:val="nil"/>
              <w:right w:val="nil"/>
            </w:tcBorders>
            <w:tcMar>
              <w:top w:w="0" w:type="dxa"/>
              <w:left w:w="100" w:type="dxa"/>
              <w:bottom w:w="0" w:type="dxa"/>
              <w:right w:w="100" w:type="dxa"/>
            </w:tcMar>
            <w:vAlign w:val="bottom"/>
          </w:tcPr>
          <w:p w14:paraId="4FB4A8D0"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State Capacity</w:t>
            </w:r>
          </w:p>
        </w:tc>
        <w:tc>
          <w:tcPr>
            <w:tcW w:w="2076" w:type="dxa"/>
            <w:tcBorders>
              <w:top w:val="nil"/>
              <w:left w:val="nil"/>
              <w:bottom w:val="nil"/>
              <w:right w:val="nil"/>
            </w:tcBorders>
            <w:tcMar>
              <w:top w:w="0" w:type="dxa"/>
              <w:left w:w="100" w:type="dxa"/>
              <w:bottom w:w="0" w:type="dxa"/>
              <w:right w:w="100" w:type="dxa"/>
            </w:tcMar>
            <w:vAlign w:val="bottom"/>
          </w:tcPr>
          <w:p w14:paraId="60BD10C6"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14.69(41.73)</w:t>
            </w:r>
          </w:p>
        </w:tc>
        <w:tc>
          <w:tcPr>
            <w:tcW w:w="1646" w:type="dxa"/>
            <w:tcBorders>
              <w:top w:val="nil"/>
              <w:left w:val="nil"/>
              <w:bottom w:val="nil"/>
              <w:right w:val="nil"/>
            </w:tcBorders>
            <w:tcMar>
              <w:top w:w="0" w:type="dxa"/>
              <w:left w:w="100" w:type="dxa"/>
              <w:bottom w:w="0" w:type="dxa"/>
              <w:right w:w="100" w:type="dxa"/>
            </w:tcMar>
            <w:vAlign w:val="bottom"/>
          </w:tcPr>
          <w:p w14:paraId="50395445"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-50.96(37.52)</w:t>
            </w:r>
          </w:p>
        </w:tc>
        <w:tc>
          <w:tcPr>
            <w:tcW w:w="1890" w:type="dxa"/>
            <w:tcBorders>
              <w:top w:val="nil"/>
              <w:left w:val="nil"/>
              <w:bottom w:val="nil"/>
              <w:right w:val="nil"/>
            </w:tcBorders>
            <w:tcMar>
              <w:top w:w="0" w:type="dxa"/>
              <w:left w:w="100" w:type="dxa"/>
              <w:bottom w:w="0" w:type="dxa"/>
              <w:right w:w="100" w:type="dxa"/>
            </w:tcMar>
            <w:vAlign w:val="bottom"/>
          </w:tcPr>
          <w:p w14:paraId="4262BAD3" w14:textId="4086B0E5"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-36.27(61.5</w:t>
            </w:r>
            <w:r w:rsidR="00133F57">
              <w:rPr>
                <w:rFonts w:ascii="Times New Roman" w:hAnsi="Times New Roman" w:cs="Times New Roman"/>
              </w:rPr>
              <w:t>0</w:t>
            </w:r>
            <w:r w:rsidRPr="00227F80">
              <w:rPr>
                <w:rFonts w:ascii="Times New Roman" w:hAnsi="Times New Roman" w:cs="Times New Roman"/>
              </w:rPr>
              <w:t>)</w:t>
            </w:r>
          </w:p>
        </w:tc>
        <w:tc>
          <w:tcPr>
            <w:tcW w:w="1373" w:type="dxa"/>
            <w:tcBorders>
              <w:top w:val="nil"/>
              <w:left w:val="nil"/>
              <w:bottom w:val="nil"/>
              <w:right w:val="nil"/>
            </w:tcBorders>
            <w:tcMar>
              <w:top w:w="0" w:type="dxa"/>
              <w:left w:w="100" w:type="dxa"/>
              <w:bottom w:w="0" w:type="dxa"/>
              <w:right w:w="100" w:type="dxa"/>
            </w:tcMar>
            <w:vAlign w:val="bottom"/>
          </w:tcPr>
          <w:p w14:paraId="60A60FBC"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-41</w:t>
            </w:r>
          </w:p>
        </w:tc>
      </w:tr>
      <w:tr w:rsidR="00227F80" w:rsidRPr="00227F80" w14:paraId="7815345B" w14:textId="77777777" w:rsidTr="00DC0A7A">
        <w:trPr>
          <w:trHeight w:val="285"/>
        </w:trPr>
        <w:tc>
          <w:tcPr>
            <w:tcW w:w="2375" w:type="dxa"/>
            <w:tcBorders>
              <w:top w:val="nil"/>
              <w:left w:val="nil"/>
              <w:bottom w:val="nil"/>
              <w:right w:val="nil"/>
            </w:tcBorders>
            <w:tcMar>
              <w:top w:w="0" w:type="dxa"/>
              <w:left w:w="100" w:type="dxa"/>
              <w:bottom w:w="0" w:type="dxa"/>
              <w:right w:w="100" w:type="dxa"/>
            </w:tcMar>
            <w:vAlign w:val="bottom"/>
          </w:tcPr>
          <w:p w14:paraId="3F34C426"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Media Score</w:t>
            </w:r>
          </w:p>
        </w:tc>
        <w:tc>
          <w:tcPr>
            <w:tcW w:w="2076" w:type="dxa"/>
            <w:tcBorders>
              <w:top w:val="nil"/>
              <w:left w:val="nil"/>
              <w:bottom w:val="nil"/>
              <w:right w:val="nil"/>
            </w:tcBorders>
            <w:tcMar>
              <w:top w:w="0" w:type="dxa"/>
              <w:left w:w="100" w:type="dxa"/>
              <w:bottom w:w="0" w:type="dxa"/>
              <w:right w:w="100" w:type="dxa"/>
            </w:tcMar>
            <w:vAlign w:val="bottom"/>
          </w:tcPr>
          <w:p w14:paraId="6655CE41"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-227.06(108.43)**</w:t>
            </w:r>
          </w:p>
        </w:tc>
        <w:tc>
          <w:tcPr>
            <w:tcW w:w="1646" w:type="dxa"/>
            <w:tcBorders>
              <w:top w:val="nil"/>
              <w:left w:val="nil"/>
              <w:bottom w:val="nil"/>
              <w:right w:val="nil"/>
            </w:tcBorders>
            <w:tcMar>
              <w:top w:w="0" w:type="dxa"/>
              <w:left w:w="100" w:type="dxa"/>
              <w:bottom w:w="0" w:type="dxa"/>
              <w:right w:w="100" w:type="dxa"/>
            </w:tcMar>
            <w:vAlign w:val="bottom"/>
          </w:tcPr>
          <w:p w14:paraId="04D67566"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34.13 (47.22)</w:t>
            </w:r>
          </w:p>
        </w:tc>
        <w:tc>
          <w:tcPr>
            <w:tcW w:w="1890" w:type="dxa"/>
            <w:tcBorders>
              <w:top w:val="nil"/>
              <w:left w:val="nil"/>
              <w:bottom w:val="nil"/>
              <w:right w:val="nil"/>
            </w:tcBorders>
            <w:tcMar>
              <w:top w:w="0" w:type="dxa"/>
              <w:left w:w="100" w:type="dxa"/>
              <w:bottom w:w="0" w:type="dxa"/>
              <w:right w:w="100" w:type="dxa"/>
            </w:tcMar>
            <w:vAlign w:val="bottom"/>
          </w:tcPr>
          <w:p w14:paraId="32627F1B"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-192.93(75.73)**</w:t>
            </w:r>
          </w:p>
        </w:tc>
        <w:tc>
          <w:tcPr>
            <w:tcW w:w="1373" w:type="dxa"/>
            <w:tcBorders>
              <w:top w:val="nil"/>
              <w:left w:val="nil"/>
              <w:bottom w:val="nil"/>
              <w:right w:val="nil"/>
            </w:tcBorders>
            <w:tcMar>
              <w:top w:w="0" w:type="dxa"/>
              <w:left w:w="100" w:type="dxa"/>
              <w:bottom w:w="0" w:type="dxa"/>
              <w:right w:w="100" w:type="dxa"/>
            </w:tcMar>
            <w:vAlign w:val="bottom"/>
          </w:tcPr>
          <w:p w14:paraId="07B2F95E"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118***</w:t>
            </w:r>
          </w:p>
        </w:tc>
      </w:tr>
      <w:tr w:rsidR="00227F80" w:rsidRPr="00227F80" w14:paraId="5A6E2814" w14:textId="77777777" w:rsidTr="00DC0A7A">
        <w:trPr>
          <w:trHeight w:val="285"/>
        </w:trPr>
        <w:tc>
          <w:tcPr>
            <w:tcW w:w="2375" w:type="dxa"/>
            <w:tcBorders>
              <w:top w:val="nil"/>
              <w:left w:val="nil"/>
              <w:bottom w:val="single" w:sz="6" w:space="0" w:color="000000"/>
              <w:right w:val="nil"/>
            </w:tcBorders>
            <w:tcMar>
              <w:top w:w="0" w:type="dxa"/>
              <w:left w:w="100" w:type="dxa"/>
              <w:bottom w:w="0" w:type="dxa"/>
              <w:right w:w="100" w:type="dxa"/>
            </w:tcMar>
            <w:vAlign w:val="bottom"/>
          </w:tcPr>
          <w:p w14:paraId="60868383"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Security Crisis</w:t>
            </w:r>
          </w:p>
        </w:tc>
        <w:tc>
          <w:tcPr>
            <w:tcW w:w="2076" w:type="dxa"/>
            <w:tcBorders>
              <w:top w:val="nil"/>
              <w:left w:val="nil"/>
              <w:bottom w:val="single" w:sz="6" w:space="0" w:color="000000"/>
              <w:right w:val="nil"/>
            </w:tcBorders>
            <w:tcMar>
              <w:top w:w="0" w:type="dxa"/>
              <w:left w:w="100" w:type="dxa"/>
              <w:bottom w:w="0" w:type="dxa"/>
              <w:right w:w="100" w:type="dxa"/>
            </w:tcMar>
            <w:vAlign w:val="bottom"/>
          </w:tcPr>
          <w:p w14:paraId="23702D8E"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NIE</w:t>
            </w:r>
          </w:p>
        </w:tc>
        <w:tc>
          <w:tcPr>
            <w:tcW w:w="1646" w:type="dxa"/>
            <w:tcBorders>
              <w:top w:val="nil"/>
              <w:left w:val="nil"/>
              <w:bottom w:val="single" w:sz="6" w:space="0" w:color="000000"/>
              <w:right w:val="nil"/>
            </w:tcBorders>
            <w:tcMar>
              <w:top w:w="0" w:type="dxa"/>
              <w:left w:w="100" w:type="dxa"/>
              <w:bottom w:w="0" w:type="dxa"/>
              <w:right w:w="100" w:type="dxa"/>
            </w:tcMar>
            <w:vAlign w:val="bottom"/>
          </w:tcPr>
          <w:p w14:paraId="219068D2"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NDE</w:t>
            </w:r>
          </w:p>
        </w:tc>
        <w:tc>
          <w:tcPr>
            <w:tcW w:w="1890" w:type="dxa"/>
            <w:tcBorders>
              <w:top w:val="nil"/>
              <w:left w:val="nil"/>
              <w:bottom w:val="single" w:sz="6" w:space="0" w:color="000000"/>
              <w:right w:val="nil"/>
            </w:tcBorders>
            <w:tcMar>
              <w:top w:w="0" w:type="dxa"/>
              <w:left w:w="100" w:type="dxa"/>
              <w:bottom w:w="0" w:type="dxa"/>
              <w:right w:w="100" w:type="dxa"/>
            </w:tcMar>
            <w:vAlign w:val="bottom"/>
          </w:tcPr>
          <w:p w14:paraId="3C11F7A9" w14:textId="77777777" w:rsidR="00227F80" w:rsidRPr="00227F80" w:rsidRDefault="00227F80" w:rsidP="00DC0A7A">
            <w:pPr>
              <w:spacing w:before="240" w:after="0" w:line="276" w:lineRule="auto"/>
              <w:rPr>
                <w:rFonts w:ascii="Times New Roman" w:eastAsia="Arial" w:hAnsi="Times New Roman" w:cs="Times New Roman"/>
                <w:b/>
              </w:rPr>
            </w:pPr>
            <w:r w:rsidRPr="00227F80">
              <w:rPr>
                <w:rFonts w:ascii="Times New Roman" w:eastAsia="Arial" w:hAnsi="Times New Roman" w:cs="Times New Roman"/>
                <w:b/>
              </w:rPr>
              <w:t>TE</w:t>
            </w:r>
          </w:p>
        </w:tc>
        <w:tc>
          <w:tcPr>
            <w:tcW w:w="1373" w:type="dxa"/>
            <w:tcBorders>
              <w:top w:val="nil"/>
              <w:left w:val="nil"/>
              <w:bottom w:val="single" w:sz="6" w:space="0" w:color="000000"/>
              <w:right w:val="nil"/>
            </w:tcBorders>
            <w:tcMar>
              <w:top w:w="0" w:type="dxa"/>
              <w:left w:w="100" w:type="dxa"/>
              <w:bottom w:w="0" w:type="dxa"/>
              <w:right w:w="100" w:type="dxa"/>
            </w:tcMar>
            <w:vAlign w:val="bottom"/>
          </w:tcPr>
          <w:p w14:paraId="1856F127"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 xml:space="preserve"> </w:t>
            </w:r>
          </w:p>
        </w:tc>
      </w:tr>
      <w:tr w:rsidR="00227F80" w:rsidRPr="00227F80" w14:paraId="2591F41C" w14:textId="77777777" w:rsidTr="00DC0A7A">
        <w:trPr>
          <w:trHeight w:val="285"/>
        </w:trPr>
        <w:tc>
          <w:tcPr>
            <w:tcW w:w="2375" w:type="dxa"/>
            <w:tcBorders>
              <w:top w:val="nil"/>
              <w:left w:val="nil"/>
              <w:bottom w:val="nil"/>
              <w:right w:val="nil"/>
            </w:tcBorders>
            <w:tcMar>
              <w:top w:w="0" w:type="dxa"/>
              <w:left w:w="100" w:type="dxa"/>
              <w:bottom w:w="0" w:type="dxa"/>
              <w:right w:w="100" w:type="dxa"/>
            </w:tcMar>
            <w:vAlign w:val="bottom"/>
          </w:tcPr>
          <w:p w14:paraId="4F0468F9"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State Capacity</w:t>
            </w:r>
          </w:p>
        </w:tc>
        <w:tc>
          <w:tcPr>
            <w:tcW w:w="2076" w:type="dxa"/>
            <w:tcBorders>
              <w:top w:val="nil"/>
              <w:left w:val="nil"/>
              <w:bottom w:val="nil"/>
              <w:right w:val="nil"/>
            </w:tcBorders>
            <w:tcMar>
              <w:top w:w="0" w:type="dxa"/>
              <w:left w:w="100" w:type="dxa"/>
              <w:bottom w:w="0" w:type="dxa"/>
              <w:right w:w="100" w:type="dxa"/>
            </w:tcMar>
            <w:vAlign w:val="bottom"/>
          </w:tcPr>
          <w:p w14:paraId="773BECE6"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3.67(1.93)*</w:t>
            </w:r>
          </w:p>
        </w:tc>
        <w:tc>
          <w:tcPr>
            <w:tcW w:w="1646" w:type="dxa"/>
            <w:tcBorders>
              <w:top w:val="nil"/>
              <w:left w:val="nil"/>
              <w:bottom w:val="nil"/>
              <w:right w:val="nil"/>
            </w:tcBorders>
            <w:tcMar>
              <w:top w:w="0" w:type="dxa"/>
              <w:left w:w="100" w:type="dxa"/>
              <w:bottom w:w="0" w:type="dxa"/>
              <w:right w:w="100" w:type="dxa"/>
            </w:tcMar>
            <w:vAlign w:val="bottom"/>
          </w:tcPr>
          <w:p w14:paraId="50FC2898"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16.07(3.64)***</w:t>
            </w:r>
          </w:p>
        </w:tc>
        <w:tc>
          <w:tcPr>
            <w:tcW w:w="1890" w:type="dxa"/>
            <w:tcBorders>
              <w:top w:val="nil"/>
              <w:left w:val="nil"/>
              <w:bottom w:val="nil"/>
              <w:right w:val="nil"/>
            </w:tcBorders>
            <w:tcMar>
              <w:top w:w="0" w:type="dxa"/>
              <w:left w:w="100" w:type="dxa"/>
              <w:bottom w:w="0" w:type="dxa"/>
              <w:right w:w="100" w:type="dxa"/>
            </w:tcMar>
            <w:vAlign w:val="bottom"/>
          </w:tcPr>
          <w:p w14:paraId="74AE1E91"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19.74(4.68)***</w:t>
            </w:r>
          </w:p>
        </w:tc>
        <w:tc>
          <w:tcPr>
            <w:tcW w:w="1373" w:type="dxa"/>
            <w:tcBorders>
              <w:top w:val="nil"/>
              <w:left w:val="nil"/>
              <w:bottom w:val="nil"/>
              <w:right w:val="nil"/>
            </w:tcBorders>
            <w:tcMar>
              <w:top w:w="0" w:type="dxa"/>
              <w:left w:w="100" w:type="dxa"/>
              <w:bottom w:w="0" w:type="dxa"/>
              <w:right w:w="100" w:type="dxa"/>
            </w:tcMar>
            <w:vAlign w:val="bottom"/>
          </w:tcPr>
          <w:p w14:paraId="56D7883A"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19**</w:t>
            </w:r>
          </w:p>
        </w:tc>
      </w:tr>
      <w:tr w:rsidR="00227F80" w:rsidRPr="00227F80" w14:paraId="001663AE" w14:textId="77777777" w:rsidTr="00227F80">
        <w:trPr>
          <w:trHeight w:val="68"/>
        </w:trPr>
        <w:tc>
          <w:tcPr>
            <w:tcW w:w="2375" w:type="dxa"/>
            <w:tcBorders>
              <w:top w:val="nil"/>
              <w:left w:val="nil"/>
              <w:bottom w:val="nil"/>
              <w:right w:val="nil"/>
            </w:tcBorders>
            <w:tcMar>
              <w:top w:w="0" w:type="dxa"/>
              <w:left w:w="100" w:type="dxa"/>
              <w:bottom w:w="0" w:type="dxa"/>
              <w:right w:w="100" w:type="dxa"/>
            </w:tcMar>
            <w:vAlign w:val="bottom"/>
          </w:tcPr>
          <w:p w14:paraId="6B4EA43F"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Media Score</w:t>
            </w:r>
          </w:p>
        </w:tc>
        <w:tc>
          <w:tcPr>
            <w:tcW w:w="2076" w:type="dxa"/>
            <w:tcBorders>
              <w:top w:val="nil"/>
              <w:left w:val="nil"/>
              <w:bottom w:val="nil"/>
              <w:right w:val="nil"/>
            </w:tcBorders>
            <w:tcMar>
              <w:top w:w="0" w:type="dxa"/>
              <w:left w:w="100" w:type="dxa"/>
              <w:bottom w:w="0" w:type="dxa"/>
              <w:right w:w="100" w:type="dxa"/>
            </w:tcMar>
            <w:vAlign w:val="bottom"/>
          </w:tcPr>
          <w:p w14:paraId="42FFE911"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0.62(0.90)</w:t>
            </w:r>
          </w:p>
        </w:tc>
        <w:tc>
          <w:tcPr>
            <w:tcW w:w="1646" w:type="dxa"/>
            <w:tcBorders>
              <w:top w:val="nil"/>
              <w:left w:val="nil"/>
              <w:bottom w:val="nil"/>
              <w:right w:val="nil"/>
            </w:tcBorders>
            <w:tcMar>
              <w:top w:w="0" w:type="dxa"/>
              <w:left w:w="100" w:type="dxa"/>
              <w:bottom w:w="0" w:type="dxa"/>
              <w:right w:w="100" w:type="dxa"/>
            </w:tcMar>
            <w:vAlign w:val="bottom"/>
          </w:tcPr>
          <w:p w14:paraId="6E9D0578"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16.13(4.17)***</w:t>
            </w:r>
          </w:p>
        </w:tc>
        <w:tc>
          <w:tcPr>
            <w:tcW w:w="1890" w:type="dxa"/>
            <w:tcBorders>
              <w:top w:val="nil"/>
              <w:left w:val="nil"/>
              <w:bottom w:val="nil"/>
              <w:right w:val="nil"/>
            </w:tcBorders>
            <w:tcMar>
              <w:top w:w="0" w:type="dxa"/>
              <w:left w:w="100" w:type="dxa"/>
              <w:bottom w:w="0" w:type="dxa"/>
              <w:right w:w="100" w:type="dxa"/>
            </w:tcMar>
            <w:vAlign w:val="bottom"/>
          </w:tcPr>
          <w:p w14:paraId="18E7B3B3"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16.76(4.60)***</w:t>
            </w:r>
          </w:p>
        </w:tc>
        <w:tc>
          <w:tcPr>
            <w:tcW w:w="1373" w:type="dxa"/>
            <w:tcBorders>
              <w:top w:val="nil"/>
              <w:left w:val="nil"/>
              <w:bottom w:val="nil"/>
              <w:right w:val="nil"/>
            </w:tcBorders>
            <w:tcMar>
              <w:top w:w="0" w:type="dxa"/>
              <w:left w:w="100" w:type="dxa"/>
              <w:bottom w:w="0" w:type="dxa"/>
              <w:right w:w="100" w:type="dxa"/>
            </w:tcMar>
            <w:vAlign w:val="bottom"/>
          </w:tcPr>
          <w:p w14:paraId="0BE58B1C" w14:textId="77777777" w:rsidR="00227F80" w:rsidRPr="00227F80" w:rsidRDefault="00227F80" w:rsidP="00DC0A7A">
            <w:pPr>
              <w:spacing w:before="240" w:after="0" w:line="276" w:lineRule="auto"/>
              <w:rPr>
                <w:rFonts w:ascii="Times New Roman" w:hAnsi="Times New Roman" w:cs="Times New Roman"/>
              </w:rPr>
            </w:pPr>
            <w:r w:rsidRPr="00227F80">
              <w:rPr>
                <w:rFonts w:ascii="Times New Roman" w:hAnsi="Times New Roman" w:cs="Times New Roman"/>
              </w:rPr>
              <w:t>4</w:t>
            </w:r>
          </w:p>
        </w:tc>
      </w:tr>
    </w:tbl>
    <w:p w14:paraId="75FAA7A8" w14:textId="77777777" w:rsidR="00227F80" w:rsidRPr="00227F80" w:rsidRDefault="00227F80" w:rsidP="00227F80">
      <w:pPr>
        <w:rPr>
          <w:rFonts w:ascii="Times New Roman" w:hAnsi="Times New Roman" w:cs="Times New Roman"/>
          <w:sz w:val="24"/>
          <w:szCs w:val="24"/>
        </w:rPr>
      </w:pPr>
    </w:p>
    <w:p w14:paraId="2BFEC0A2" w14:textId="033151EC" w:rsidR="00227F80" w:rsidRDefault="00227F80" w:rsidP="00227F80">
      <w:pPr>
        <w:rPr>
          <w:rFonts w:ascii="Times New Roman" w:hAnsi="Times New Roman" w:cs="Times New Roman"/>
          <w:sz w:val="24"/>
          <w:szCs w:val="24"/>
        </w:rPr>
      </w:pPr>
      <w:r w:rsidRPr="00227F80">
        <w:rPr>
          <w:rFonts w:ascii="Times New Roman" w:hAnsi="Times New Roman" w:cs="Times New Roman"/>
          <w:sz w:val="24"/>
          <w:szCs w:val="24"/>
        </w:rPr>
        <w:t xml:space="preserve">Note: Because some of the models did not converge with ethnic diversity, we excluded it from all models for consistency. </w:t>
      </w:r>
    </w:p>
    <w:p w14:paraId="5A6290AC" w14:textId="77777777" w:rsidR="00227F80" w:rsidRDefault="00227F80" w:rsidP="00227F80">
      <w:pPr>
        <w:rPr>
          <w:rFonts w:ascii="Times New Roman" w:hAnsi="Times New Roman" w:cs="Times New Roman"/>
          <w:sz w:val="24"/>
          <w:szCs w:val="24"/>
        </w:rPr>
      </w:pPr>
    </w:p>
    <w:p w14:paraId="5ECE1ABF" w14:textId="77777777" w:rsidR="00227F80" w:rsidRDefault="00227F80" w:rsidP="00227F80">
      <w:pPr>
        <w:rPr>
          <w:rFonts w:ascii="Times New Roman" w:hAnsi="Times New Roman" w:cs="Times New Roman"/>
          <w:sz w:val="24"/>
          <w:szCs w:val="24"/>
        </w:rPr>
      </w:pPr>
    </w:p>
    <w:p w14:paraId="226E273C" w14:textId="77777777" w:rsidR="00227F80" w:rsidRDefault="00227F80" w:rsidP="00227F80">
      <w:pPr>
        <w:rPr>
          <w:rFonts w:ascii="Times New Roman" w:hAnsi="Times New Roman" w:cs="Times New Roman"/>
          <w:sz w:val="24"/>
          <w:szCs w:val="24"/>
        </w:rPr>
      </w:pPr>
    </w:p>
    <w:p w14:paraId="1E555D4D" w14:textId="77777777" w:rsidR="00227F80" w:rsidRDefault="00227F80" w:rsidP="00227F80">
      <w:pPr>
        <w:rPr>
          <w:rFonts w:ascii="Times New Roman" w:hAnsi="Times New Roman" w:cs="Times New Roman"/>
          <w:sz w:val="24"/>
          <w:szCs w:val="24"/>
        </w:rPr>
      </w:pPr>
    </w:p>
    <w:p w14:paraId="4A5AC564" w14:textId="77777777" w:rsidR="00227F80" w:rsidRDefault="00227F80" w:rsidP="00227F80">
      <w:pPr>
        <w:rPr>
          <w:rFonts w:ascii="Times New Roman" w:hAnsi="Times New Roman" w:cs="Times New Roman"/>
          <w:sz w:val="24"/>
          <w:szCs w:val="24"/>
        </w:rPr>
      </w:pPr>
    </w:p>
    <w:p w14:paraId="7628289A" w14:textId="77777777" w:rsidR="00227F80" w:rsidRDefault="00227F80" w:rsidP="00227F80">
      <w:pPr>
        <w:rPr>
          <w:rFonts w:ascii="Times New Roman" w:hAnsi="Times New Roman" w:cs="Times New Roman"/>
          <w:sz w:val="24"/>
          <w:szCs w:val="24"/>
        </w:rPr>
      </w:pPr>
    </w:p>
    <w:p w14:paraId="10F6A071" w14:textId="77777777" w:rsidR="00227F80" w:rsidRDefault="00227F80" w:rsidP="00227F80">
      <w:pPr>
        <w:rPr>
          <w:rFonts w:ascii="Times New Roman" w:hAnsi="Times New Roman" w:cs="Times New Roman"/>
          <w:sz w:val="24"/>
          <w:szCs w:val="24"/>
        </w:rPr>
      </w:pPr>
    </w:p>
    <w:p w14:paraId="1F6CD576" w14:textId="77777777" w:rsidR="00227F80" w:rsidRDefault="00227F80" w:rsidP="00227F80">
      <w:pPr>
        <w:rPr>
          <w:rFonts w:ascii="Times New Roman" w:hAnsi="Times New Roman" w:cs="Times New Roman"/>
          <w:sz w:val="24"/>
          <w:szCs w:val="24"/>
        </w:rPr>
      </w:pPr>
    </w:p>
    <w:p w14:paraId="69BCC91F" w14:textId="77777777" w:rsidR="00227F80" w:rsidRDefault="00227F80" w:rsidP="00227F80">
      <w:pPr>
        <w:rPr>
          <w:rFonts w:ascii="Times New Roman" w:hAnsi="Times New Roman" w:cs="Times New Roman"/>
          <w:sz w:val="24"/>
          <w:szCs w:val="24"/>
        </w:rPr>
      </w:pPr>
    </w:p>
    <w:p w14:paraId="667464A6" w14:textId="77777777" w:rsidR="00227F80" w:rsidRDefault="00227F80" w:rsidP="00227F80">
      <w:pPr>
        <w:rPr>
          <w:rFonts w:ascii="Times New Roman" w:hAnsi="Times New Roman" w:cs="Times New Roman"/>
          <w:sz w:val="24"/>
          <w:szCs w:val="24"/>
        </w:rPr>
      </w:pPr>
    </w:p>
    <w:p w14:paraId="1025CA40" w14:textId="77777777" w:rsidR="00227F80" w:rsidRDefault="00227F80" w:rsidP="00227F80">
      <w:pPr>
        <w:rPr>
          <w:rFonts w:ascii="Times New Roman" w:hAnsi="Times New Roman" w:cs="Times New Roman"/>
          <w:sz w:val="24"/>
          <w:szCs w:val="24"/>
        </w:rPr>
      </w:pPr>
    </w:p>
    <w:p w14:paraId="0B4A6A67" w14:textId="77777777" w:rsidR="00227F80" w:rsidRDefault="00227F80" w:rsidP="00227F80">
      <w:pPr>
        <w:rPr>
          <w:rFonts w:ascii="Times New Roman" w:hAnsi="Times New Roman" w:cs="Times New Roman"/>
          <w:sz w:val="24"/>
          <w:szCs w:val="24"/>
        </w:rPr>
      </w:pPr>
    </w:p>
    <w:p w14:paraId="02FACFB3" w14:textId="77777777" w:rsidR="00227F80" w:rsidRDefault="00227F80" w:rsidP="00227F80">
      <w:pPr>
        <w:rPr>
          <w:rFonts w:ascii="Times New Roman" w:hAnsi="Times New Roman" w:cs="Times New Roman"/>
          <w:sz w:val="24"/>
          <w:szCs w:val="24"/>
        </w:rPr>
      </w:pPr>
    </w:p>
    <w:p w14:paraId="46E63525" w14:textId="77777777" w:rsidR="00227F80" w:rsidRDefault="00227F80" w:rsidP="00227F80">
      <w:pPr>
        <w:rPr>
          <w:rFonts w:ascii="Times New Roman" w:hAnsi="Times New Roman" w:cs="Times New Roman"/>
          <w:sz w:val="24"/>
          <w:szCs w:val="24"/>
        </w:rPr>
      </w:pPr>
    </w:p>
    <w:p w14:paraId="04410424" w14:textId="73D89A22" w:rsidR="00227F80" w:rsidRDefault="00227F80">
      <w:pPr>
        <w:rPr>
          <w:rFonts w:ascii="Times New Roman" w:hAnsi="Times New Roman" w:cs="Times New Roman"/>
          <w:sz w:val="24"/>
          <w:szCs w:val="24"/>
        </w:rPr>
      </w:pPr>
      <w:r w:rsidRPr="00227F80">
        <w:rPr>
          <w:rFonts w:ascii="Times New Roman" w:hAnsi="Times New Roman" w:cs="Times New Roman"/>
          <w:noProof/>
          <w:sz w:val="24"/>
          <w:szCs w:val="24"/>
        </w:rPr>
        <w:drawing>
          <wp:inline distT="0" distB="0" distL="0" distR="0" wp14:anchorId="12756BA1" wp14:editId="549AFEEC">
            <wp:extent cx="5943600" cy="3185160"/>
            <wp:effectExtent l="0" t="0" r="0" b="0"/>
            <wp:docPr id="1020740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7EB8BA27" w14:textId="77777777" w:rsidR="00227F80" w:rsidRDefault="00227F80">
      <w:pPr>
        <w:rPr>
          <w:rFonts w:ascii="Times New Roman" w:hAnsi="Times New Roman" w:cs="Times New Roman"/>
          <w:sz w:val="24"/>
          <w:szCs w:val="24"/>
        </w:rPr>
      </w:pPr>
    </w:p>
    <w:p w14:paraId="2139D4EA" w14:textId="77777777" w:rsidR="00227F80" w:rsidRDefault="00227F80">
      <w:pPr>
        <w:rPr>
          <w:rFonts w:ascii="Times New Roman" w:hAnsi="Times New Roman" w:cs="Times New Roman"/>
          <w:sz w:val="24"/>
          <w:szCs w:val="24"/>
        </w:rPr>
      </w:pPr>
    </w:p>
    <w:p w14:paraId="0B905444" w14:textId="77777777" w:rsidR="00227F80" w:rsidRDefault="00227F80">
      <w:pPr>
        <w:rPr>
          <w:rFonts w:ascii="Times New Roman" w:hAnsi="Times New Roman" w:cs="Times New Roman"/>
          <w:sz w:val="24"/>
          <w:szCs w:val="24"/>
        </w:rPr>
      </w:pPr>
    </w:p>
    <w:p w14:paraId="2910A1AD" w14:textId="77777777" w:rsidR="00227F80" w:rsidRDefault="00227F80">
      <w:pPr>
        <w:rPr>
          <w:rFonts w:ascii="Times New Roman" w:hAnsi="Times New Roman" w:cs="Times New Roman"/>
          <w:sz w:val="24"/>
          <w:szCs w:val="24"/>
        </w:rPr>
      </w:pPr>
    </w:p>
    <w:p w14:paraId="589BC183" w14:textId="77777777" w:rsidR="00227F80" w:rsidRDefault="00227F80">
      <w:pPr>
        <w:rPr>
          <w:rFonts w:ascii="Times New Roman" w:hAnsi="Times New Roman" w:cs="Times New Roman"/>
          <w:sz w:val="24"/>
          <w:szCs w:val="24"/>
        </w:rPr>
      </w:pPr>
    </w:p>
    <w:p w14:paraId="586EF490" w14:textId="77777777" w:rsidR="00227F80" w:rsidRDefault="00227F80">
      <w:pPr>
        <w:rPr>
          <w:rFonts w:ascii="Times New Roman" w:hAnsi="Times New Roman" w:cs="Times New Roman"/>
          <w:sz w:val="24"/>
          <w:szCs w:val="24"/>
        </w:rPr>
      </w:pPr>
    </w:p>
    <w:p w14:paraId="77108083" w14:textId="77777777" w:rsidR="00227F80" w:rsidRDefault="00227F80">
      <w:pPr>
        <w:rPr>
          <w:rFonts w:ascii="Times New Roman" w:hAnsi="Times New Roman" w:cs="Times New Roman"/>
          <w:sz w:val="24"/>
          <w:szCs w:val="24"/>
        </w:rPr>
      </w:pPr>
    </w:p>
    <w:p w14:paraId="75975A90" w14:textId="77777777" w:rsidR="00227F80" w:rsidRDefault="00227F80">
      <w:pPr>
        <w:rPr>
          <w:rFonts w:ascii="Times New Roman" w:hAnsi="Times New Roman" w:cs="Times New Roman"/>
          <w:sz w:val="24"/>
          <w:szCs w:val="24"/>
        </w:rPr>
      </w:pPr>
    </w:p>
    <w:p w14:paraId="4ED93452" w14:textId="77777777" w:rsidR="00227F80" w:rsidRDefault="00227F80">
      <w:pPr>
        <w:rPr>
          <w:rFonts w:ascii="Times New Roman" w:hAnsi="Times New Roman" w:cs="Times New Roman"/>
          <w:sz w:val="24"/>
          <w:szCs w:val="24"/>
        </w:rPr>
      </w:pPr>
    </w:p>
    <w:p w14:paraId="3D162C4B" w14:textId="77777777" w:rsidR="00227F80" w:rsidRDefault="00227F80">
      <w:pPr>
        <w:rPr>
          <w:rFonts w:ascii="Times New Roman" w:hAnsi="Times New Roman" w:cs="Times New Roman"/>
          <w:sz w:val="24"/>
          <w:szCs w:val="24"/>
        </w:rPr>
      </w:pPr>
    </w:p>
    <w:p w14:paraId="2C9561E5" w14:textId="77777777" w:rsidR="00227F80" w:rsidRDefault="00227F80">
      <w:pPr>
        <w:rPr>
          <w:rFonts w:ascii="Times New Roman" w:hAnsi="Times New Roman" w:cs="Times New Roman"/>
          <w:sz w:val="24"/>
          <w:szCs w:val="24"/>
        </w:rPr>
      </w:pPr>
    </w:p>
    <w:p w14:paraId="203FFD35" w14:textId="77777777" w:rsidR="00227F80" w:rsidRDefault="00227F80">
      <w:pPr>
        <w:rPr>
          <w:rFonts w:ascii="Times New Roman" w:hAnsi="Times New Roman" w:cs="Times New Roman"/>
          <w:sz w:val="24"/>
          <w:szCs w:val="24"/>
        </w:rPr>
      </w:pPr>
    </w:p>
    <w:p w14:paraId="573A7742" w14:textId="77777777" w:rsidR="00227F80" w:rsidRDefault="00227F80">
      <w:pPr>
        <w:rPr>
          <w:rFonts w:ascii="Times New Roman" w:hAnsi="Times New Roman" w:cs="Times New Roman"/>
          <w:sz w:val="24"/>
          <w:szCs w:val="24"/>
        </w:rPr>
      </w:pPr>
    </w:p>
    <w:p w14:paraId="41DD7FFF" w14:textId="77777777" w:rsidR="00227F80" w:rsidRDefault="00227F80">
      <w:pPr>
        <w:rPr>
          <w:rFonts w:ascii="Times New Roman" w:hAnsi="Times New Roman" w:cs="Times New Roman"/>
          <w:sz w:val="24"/>
          <w:szCs w:val="24"/>
        </w:rPr>
      </w:pPr>
    </w:p>
    <w:p w14:paraId="0DA6B8CB" w14:textId="77777777" w:rsidR="00227F80" w:rsidRDefault="00227F80">
      <w:pPr>
        <w:rPr>
          <w:rFonts w:ascii="Times New Roman" w:hAnsi="Times New Roman" w:cs="Times New Roman"/>
          <w:sz w:val="24"/>
          <w:szCs w:val="24"/>
        </w:rPr>
      </w:pPr>
    </w:p>
    <w:p w14:paraId="74ADE7AC" w14:textId="77777777" w:rsidR="00227F80" w:rsidRDefault="00227F80">
      <w:pPr>
        <w:rPr>
          <w:rFonts w:ascii="Times New Roman" w:hAnsi="Times New Roman" w:cs="Times New Roman"/>
          <w:sz w:val="24"/>
          <w:szCs w:val="24"/>
        </w:rPr>
      </w:pPr>
    </w:p>
    <w:p w14:paraId="0FF91E3E" w14:textId="77777777" w:rsidR="00227F80" w:rsidRDefault="00227F80">
      <w:pPr>
        <w:rPr>
          <w:rFonts w:ascii="Times New Roman" w:hAnsi="Times New Roman" w:cs="Times New Roman"/>
          <w:sz w:val="24"/>
          <w:szCs w:val="24"/>
        </w:rPr>
      </w:pPr>
    </w:p>
    <w:p w14:paraId="6E9FC723" w14:textId="0488DC28" w:rsidR="00227F80" w:rsidRDefault="00227F80">
      <w:pPr>
        <w:rPr>
          <w:rFonts w:ascii="Times New Roman" w:hAnsi="Times New Roman" w:cs="Times New Roman"/>
          <w:sz w:val="24"/>
          <w:szCs w:val="24"/>
        </w:rPr>
      </w:pPr>
      <w:r w:rsidRPr="00227F80">
        <w:rPr>
          <w:rFonts w:ascii="Times New Roman" w:hAnsi="Times New Roman" w:cs="Times New Roman"/>
          <w:noProof/>
          <w:sz w:val="24"/>
          <w:szCs w:val="24"/>
        </w:rPr>
        <w:drawing>
          <wp:inline distT="0" distB="0" distL="0" distR="0" wp14:anchorId="51155620" wp14:editId="2076FB99">
            <wp:extent cx="5943600" cy="8106410"/>
            <wp:effectExtent l="0" t="0" r="0" b="8890"/>
            <wp:docPr id="1623977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106410"/>
                    </a:xfrm>
                    <a:prstGeom prst="rect">
                      <a:avLst/>
                    </a:prstGeom>
                    <a:noFill/>
                    <a:ln>
                      <a:noFill/>
                    </a:ln>
                  </pic:spPr>
                </pic:pic>
              </a:graphicData>
            </a:graphic>
          </wp:inline>
        </w:drawing>
      </w:r>
    </w:p>
    <w:p w14:paraId="6ED90B4C" w14:textId="7A32C0DE" w:rsidR="00227F80" w:rsidRDefault="00E95303">
      <w:pPr>
        <w:rPr>
          <w:rFonts w:ascii="Times New Roman" w:hAnsi="Times New Roman" w:cs="Times New Roman"/>
          <w:sz w:val="24"/>
          <w:szCs w:val="24"/>
        </w:rPr>
      </w:pPr>
      <w:r w:rsidRPr="00E95303">
        <w:rPr>
          <w:rFonts w:ascii="Times New Roman" w:hAnsi="Times New Roman" w:cs="Times New Roman"/>
          <w:noProof/>
          <w:sz w:val="24"/>
          <w:szCs w:val="24"/>
        </w:rPr>
        <w:drawing>
          <wp:inline distT="0" distB="0" distL="0" distR="0" wp14:anchorId="16871003" wp14:editId="05F431A2">
            <wp:extent cx="5943600" cy="4843145"/>
            <wp:effectExtent l="0" t="0" r="0" b="0"/>
            <wp:docPr id="1252900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43145"/>
                    </a:xfrm>
                    <a:prstGeom prst="rect">
                      <a:avLst/>
                    </a:prstGeom>
                    <a:noFill/>
                    <a:ln>
                      <a:noFill/>
                    </a:ln>
                  </pic:spPr>
                </pic:pic>
              </a:graphicData>
            </a:graphic>
          </wp:inline>
        </w:drawing>
      </w:r>
    </w:p>
    <w:p w14:paraId="0A6863A8" w14:textId="77777777" w:rsidR="00227F80" w:rsidRDefault="00227F80">
      <w:pPr>
        <w:rPr>
          <w:rFonts w:ascii="Times New Roman" w:hAnsi="Times New Roman" w:cs="Times New Roman"/>
          <w:sz w:val="24"/>
          <w:szCs w:val="24"/>
        </w:rPr>
      </w:pPr>
    </w:p>
    <w:p w14:paraId="2F385E88" w14:textId="77777777" w:rsidR="00227F80" w:rsidRDefault="00227F80">
      <w:pPr>
        <w:rPr>
          <w:rFonts w:ascii="Times New Roman" w:hAnsi="Times New Roman" w:cs="Times New Roman"/>
          <w:sz w:val="24"/>
          <w:szCs w:val="24"/>
        </w:rPr>
      </w:pPr>
    </w:p>
    <w:p w14:paraId="6874165C" w14:textId="77777777" w:rsidR="00E95303" w:rsidRDefault="00E95303">
      <w:pPr>
        <w:rPr>
          <w:rFonts w:ascii="Times New Roman" w:hAnsi="Times New Roman" w:cs="Times New Roman"/>
          <w:sz w:val="24"/>
          <w:szCs w:val="24"/>
        </w:rPr>
      </w:pPr>
    </w:p>
    <w:p w14:paraId="0A228FF6" w14:textId="77777777" w:rsidR="00E95303" w:rsidRDefault="00E95303">
      <w:pPr>
        <w:rPr>
          <w:rFonts w:ascii="Times New Roman" w:hAnsi="Times New Roman" w:cs="Times New Roman"/>
          <w:sz w:val="24"/>
          <w:szCs w:val="24"/>
        </w:rPr>
      </w:pPr>
    </w:p>
    <w:p w14:paraId="03F5A81B" w14:textId="77777777" w:rsidR="00E95303" w:rsidRDefault="00E95303">
      <w:pPr>
        <w:rPr>
          <w:rFonts w:ascii="Times New Roman" w:hAnsi="Times New Roman" w:cs="Times New Roman"/>
          <w:sz w:val="24"/>
          <w:szCs w:val="24"/>
        </w:rPr>
      </w:pPr>
    </w:p>
    <w:p w14:paraId="3EA67F39" w14:textId="77777777" w:rsidR="00E95303" w:rsidRDefault="00E95303">
      <w:pPr>
        <w:rPr>
          <w:rFonts w:ascii="Times New Roman" w:hAnsi="Times New Roman" w:cs="Times New Roman"/>
          <w:sz w:val="24"/>
          <w:szCs w:val="24"/>
        </w:rPr>
      </w:pPr>
    </w:p>
    <w:p w14:paraId="7E7514ED" w14:textId="77777777" w:rsidR="00E95303" w:rsidRDefault="00E95303">
      <w:pPr>
        <w:rPr>
          <w:rFonts w:ascii="Times New Roman" w:hAnsi="Times New Roman" w:cs="Times New Roman"/>
          <w:sz w:val="24"/>
          <w:szCs w:val="24"/>
        </w:rPr>
      </w:pPr>
    </w:p>
    <w:p w14:paraId="52074611" w14:textId="77777777" w:rsidR="00E95303" w:rsidRDefault="00E95303">
      <w:pPr>
        <w:rPr>
          <w:rFonts w:ascii="Times New Roman" w:hAnsi="Times New Roman" w:cs="Times New Roman"/>
          <w:sz w:val="24"/>
          <w:szCs w:val="24"/>
        </w:rPr>
      </w:pPr>
    </w:p>
    <w:p w14:paraId="3824FB06" w14:textId="77777777" w:rsidR="00E95303" w:rsidRDefault="00E95303">
      <w:pPr>
        <w:rPr>
          <w:rFonts w:ascii="Times New Roman" w:hAnsi="Times New Roman" w:cs="Times New Roman"/>
          <w:sz w:val="24"/>
          <w:szCs w:val="24"/>
        </w:rPr>
      </w:pPr>
    </w:p>
    <w:p w14:paraId="202C6CC4" w14:textId="77777777" w:rsidR="00E95303" w:rsidRDefault="00E95303">
      <w:pPr>
        <w:rPr>
          <w:rFonts w:ascii="Times New Roman" w:hAnsi="Times New Roman" w:cs="Times New Roman"/>
          <w:sz w:val="24"/>
          <w:szCs w:val="24"/>
        </w:rPr>
      </w:pPr>
    </w:p>
    <w:p w14:paraId="5FB48176" w14:textId="77777777" w:rsidR="00E95303" w:rsidRDefault="00E95303">
      <w:pPr>
        <w:rPr>
          <w:rFonts w:ascii="Times New Roman" w:hAnsi="Times New Roman" w:cs="Times New Roman"/>
          <w:sz w:val="24"/>
          <w:szCs w:val="24"/>
        </w:rPr>
      </w:pPr>
    </w:p>
    <w:p w14:paraId="2614CF07" w14:textId="20BBF9C2" w:rsidR="00E95303" w:rsidRDefault="00E95303">
      <w:pPr>
        <w:rPr>
          <w:rFonts w:ascii="Times New Roman" w:hAnsi="Times New Roman" w:cs="Times New Roman"/>
          <w:sz w:val="24"/>
          <w:szCs w:val="24"/>
        </w:rPr>
      </w:pPr>
      <w:r w:rsidRPr="00E95303">
        <w:rPr>
          <w:rFonts w:ascii="Times New Roman" w:hAnsi="Times New Roman" w:cs="Times New Roman"/>
          <w:noProof/>
          <w:sz w:val="24"/>
          <w:szCs w:val="24"/>
        </w:rPr>
        <w:drawing>
          <wp:inline distT="0" distB="0" distL="0" distR="0" wp14:anchorId="73FF455D" wp14:editId="35A19449">
            <wp:extent cx="5943600" cy="5264150"/>
            <wp:effectExtent l="0" t="0" r="0" b="0"/>
            <wp:docPr id="1270686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264150"/>
                    </a:xfrm>
                    <a:prstGeom prst="rect">
                      <a:avLst/>
                    </a:prstGeom>
                    <a:noFill/>
                    <a:ln>
                      <a:noFill/>
                    </a:ln>
                  </pic:spPr>
                </pic:pic>
              </a:graphicData>
            </a:graphic>
          </wp:inline>
        </w:drawing>
      </w:r>
    </w:p>
    <w:p w14:paraId="32BD9E8D" w14:textId="77777777" w:rsidR="00E95303" w:rsidRDefault="00E95303">
      <w:pPr>
        <w:rPr>
          <w:rFonts w:ascii="Times New Roman" w:hAnsi="Times New Roman" w:cs="Times New Roman"/>
          <w:sz w:val="24"/>
          <w:szCs w:val="24"/>
        </w:rPr>
      </w:pPr>
    </w:p>
    <w:p w14:paraId="37673D8A" w14:textId="77777777" w:rsidR="00E95303" w:rsidRDefault="00E95303">
      <w:pPr>
        <w:rPr>
          <w:rFonts w:ascii="Times New Roman" w:hAnsi="Times New Roman" w:cs="Times New Roman"/>
          <w:sz w:val="24"/>
          <w:szCs w:val="24"/>
        </w:rPr>
      </w:pPr>
    </w:p>
    <w:p w14:paraId="36592DA8" w14:textId="77777777" w:rsidR="00227F80" w:rsidRDefault="00227F80">
      <w:pPr>
        <w:rPr>
          <w:rFonts w:ascii="Times New Roman" w:hAnsi="Times New Roman" w:cs="Times New Roman"/>
          <w:sz w:val="24"/>
          <w:szCs w:val="24"/>
        </w:rPr>
      </w:pPr>
    </w:p>
    <w:p w14:paraId="306233BB" w14:textId="77777777" w:rsidR="00227F80" w:rsidRDefault="00227F80">
      <w:pPr>
        <w:rPr>
          <w:rFonts w:ascii="Times New Roman" w:hAnsi="Times New Roman" w:cs="Times New Roman"/>
          <w:sz w:val="24"/>
          <w:szCs w:val="24"/>
        </w:rPr>
      </w:pPr>
    </w:p>
    <w:p w14:paraId="11CAC388" w14:textId="77777777" w:rsidR="00227F80" w:rsidRPr="00227F80" w:rsidRDefault="00227F80">
      <w:pPr>
        <w:rPr>
          <w:rFonts w:ascii="Times New Roman" w:hAnsi="Times New Roman" w:cs="Times New Roman"/>
          <w:sz w:val="24"/>
          <w:szCs w:val="24"/>
        </w:rPr>
      </w:pPr>
    </w:p>
    <w:p w14:paraId="3F067850" w14:textId="08E774EA" w:rsidR="00CA60C6" w:rsidRDefault="0077182C">
      <w:r w:rsidRPr="0077182C">
        <w:t xml:space="preserve"> </w:t>
      </w:r>
    </w:p>
    <w:p w14:paraId="79EFF528" w14:textId="77777777" w:rsidR="00E95303" w:rsidRDefault="00E95303"/>
    <w:p w14:paraId="6CD94EC5" w14:textId="002ADB62" w:rsidR="00CA60C6" w:rsidRDefault="00D846B1">
      <w:r w:rsidRPr="00D846B1">
        <w:rPr>
          <w:noProof/>
        </w:rPr>
        <w:drawing>
          <wp:inline distT="0" distB="0" distL="0" distR="0" wp14:anchorId="647AC30F" wp14:editId="15F63095">
            <wp:extent cx="5943600" cy="3566160"/>
            <wp:effectExtent l="0" t="0" r="0" b="0"/>
            <wp:docPr id="1975562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584F6D4" w14:textId="7A4F441E" w:rsidR="00B76B8A" w:rsidRDefault="00B76B8A">
      <w:r w:rsidRPr="00B76B8A">
        <w:t>This graph replicates Figure 1 from the main manuscript and presents non-binary measures for all crisis variables. It maintains consistency with the security and humanitarian crisis measures shown in Table 1 of the manuscript, while using the Number of Financial Crises</w:t>
      </w:r>
      <w:r>
        <w:t xml:space="preserve"> (Table 2.1)</w:t>
      </w:r>
      <w:r w:rsidRPr="00B76B8A">
        <w:t xml:space="preserve"> as a non-binary measure.</w:t>
      </w:r>
    </w:p>
    <w:p w14:paraId="6A50DF18" w14:textId="75B5628E" w:rsidR="008471E1" w:rsidRDefault="00E95303">
      <w:r w:rsidRPr="00E95303">
        <w:rPr>
          <w:noProof/>
        </w:rPr>
        <w:drawing>
          <wp:inline distT="0" distB="0" distL="0" distR="0" wp14:anchorId="60C24310" wp14:editId="7832C3EB">
            <wp:extent cx="5943600" cy="5053330"/>
            <wp:effectExtent l="0" t="0" r="0" b="0"/>
            <wp:docPr id="2109548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6A50DF19" w14:textId="77777777" w:rsidR="008471E1" w:rsidRDefault="008471E1"/>
    <w:p w14:paraId="6A50DF1A" w14:textId="77777777" w:rsidR="008471E1" w:rsidRDefault="008471E1"/>
    <w:p w14:paraId="6A50DF1B" w14:textId="77777777" w:rsidR="008471E1" w:rsidRDefault="008471E1"/>
    <w:p w14:paraId="6A50DF1C" w14:textId="3903D0B2" w:rsidR="008471E1" w:rsidRDefault="00E95303">
      <w:r w:rsidRPr="00E95303">
        <w:rPr>
          <w:noProof/>
        </w:rPr>
        <w:drawing>
          <wp:inline distT="0" distB="0" distL="0" distR="0" wp14:anchorId="294CDC87" wp14:editId="1BF7C2AA">
            <wp:extent cx="5943600" cy="4526915"/>
            <wp:effectExtent l="0" t="0" r="0" b="6985"/>
            <wp:docPr id="1060307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inline>
        </w:drawing>
      </w:r>
    </w:p>
    <w:p w14:paraId="6A50DF1D" w14:textId="77777777" w:rsidR="008471E1" w:rsidRDefault="008471E1"/>
    <w:p w14:paraId="6A50DF1E" w14:textId="77777777" w:rsidR="008471E1" w:rsidRDefault="008471E1">
      <w:pPr>
        <w:rPr>
          <w:sz w:val="20"/>
          <w:szCs w:val="20"/>
        </w:rPr>
      </w:pPr>
    </w:p>
    <w:p w14:paraId="6A50DF1F" w14:textId="754CCFDF" w:rsidR="008471E1" w:rsidRDefault="008471E1"/>
    <w:p w14:paraId="1B401D41" w14:textId="30633C62" w:rsidR="00100E5A" w:rsidRDefault="00100E5A">
      <w:r w:rsidRPr="00100E5A">
        <w:rPr>
          <w:noProof/>
        </w:rPr>
        <w:drawing>
          <wp:inline distT="0" distB="0" distL="0" distR="0" wp14:anchorId="15561078" wp14:editId="5AE8E6AD">
            <wp:extent cx="5943600" cy="4632325"/>
            <wp:effectExtent l="0" t="0" r="0" b="0"/>
            <wp:docPr id="1786493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p>
    <w:p w14:paraId="2B2E1905" w14:textId="73DD8EBB" w:rsidR="007D473A" w:rsidRDefault="00CE09D0">
      <w:r w:rsidRPr="00CE09D0">
        <w:rPr>
          <w:noProof/>
        </w:rPr>
        <w:drawing>
          <wp:inline distT="0" distB="0" distL="0" distR="0" wp14:anchorId="6015FCC6" wp14:editId="546376BF">
            <wp:extent cx="5943600" cy="4632325"/>
            <wp:effectExtent l="0" t="0" r="0" b="0"/>
            <wp:docPr id="493965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p>
    <w:p w14:paraId="055D4FC2" w14:textId="77777777" w:rsidR="007D473A" w:rsidRDefault="007D473A"/>
    <w:p w14:paraId="36C1DF5B" w14:textId="77777777" w:rsidR="007D473A" w:rsidRDefault="007D473A"/>
    <w:p w14:paraId="64170075" w14:textId="77777777" w:rsidR="007D473A" w:rsidRDefault="007D473A"/>
    <w:p w14:paraId="09F7ED8C" w14:textId="04664F82" w:rsidR="007D473A" w:rsidRDefault="007D473A"/>
    <w:p w14:paraId="6A50DF20" w14:textId="77777777" w:rsidR="008471E1" w:rsidRDefault="008471E1"/>
    <w:p w14:paraId="6A50DF21" w14:textId="7C1B7E47" w:rsidR="008471E1" w:rsidRDefault="008471E1"/>
    <w:p w14:paraId="6A50DF22" w14:textId="45C874B6" w:rsidR="008471E1" w:rsidRDefault="008471E1"/>
    <w:p w14:paraId="6A50DF23" w14:textId="77777777" w:rsidR="008471E1" w:rsidRDefault="008471E1"/>
    <w:p w14:paraId="6A50DF24" w14:textId="77777777" w:rsidR="008471E1" w:rsidRDefault="008471E1"/>
    <w:p w14:paraId="6A50DF25" w14:textId="77777777" w:rsidR="008471E1" w:rsidRDefault="008471E1"/>
    <w:p w14:paraId="6A50DF26" w14:textId="77777777" w:rsidR="008471E1" w:rsidRDefault="008471E1"/>
    <w:p w14:paraId="6A50DF27" w14:textId="77777777" w:rsidR="008471E1" w:rsidRDefault="008471E1"/>
    <w:p w14:paraId="6A50DF28" w14:textId="31AD6443" w:rsidR="008471E1" w:rsidRDefault="00CE09D0">
      <w:r w:rsidRPr="00CE09D0">
        <w:rPr>
          <w:noProof/>
        </w:rPr>
        <w:drawing>
          <wp:inline distT="0" distB="0" distL="0" distR="0" wp14:anchorId="3EB96AAA" wp14:editId="14F29989">
            <wp:extent cx="5943600" cy="3263900"/>
            <wp:effectExtent l="0" t="0" r="0" b="0"/>
            <wp:docPr id="1501448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6A50DF29" w14:textId="77777777" w:rsidR="008471E1" w:rsidRDefault="008471E1"/>
    <w:p w14:paraId="6A50DF2A" w14:textId="77777777" w:rsidR="008471E1" w:rsidRDefault="008471E1"/>
    <w:p w14:paraId="6A50DF2B" w14:textId="36323AF7" w:rsidR="008471E1" w:rsidRDefault="008471E1"/>
    <w:p w14:paraId="6A50DF2C" w14:textId="77777777" w:rsidR="008471E1" w:rsidRDefault="008471E1"/>
    <w:p w14:paraId="6A50DF2D" w14:textId="400CEF32" w:rsidR="008471E1" w:rsidRDefault="008471E1"/>
    <w:p w14:paraId="6A50DF2E" w14:textId="77777777" w:rsidR="008471E1" w:rsidRDefault="008471E1"/>
    <w:p w14:paraId="6A50DF2F" w14:textId="4B41265B" w:rsidR="008471E1" w:rsidRDefault="008471E1"/>
    <w:p w14:paraId="6A50DF30" w14:textId="77777777" w:rsidR="008471E1" w:rsidRDefault="008471E1"/>
    <w:p w14:paraId="6BFA7F16" w14:textId="77777777" w:rsidR="00F9037C" w:rsidRDefault="00F9037C"/>
    <w:p w14:paraId="5311EA69" w14:textId="77777777" w:rsidR="00F9037C" w:rsidRDefault="00F9037C"/>
    <w:p w14:paraId="3DD2B5B5" w14:textId="77777777" w:rsidR="00F9037C" w:rsidRDefault="00F9037C"/>
    <w:p w14:paraId="0C822CF7" w14:textId="77777777" w:rsidR="00F9037C" w:rsidRDefault="00F9037C"/>
    <w:p w14:paraId="1C4F9D54" w14:textId="77777777" w:rsidR="00F9037C" w:rsidRDefault="00F9037C"/>
    <w:p w14:paraId="59392538" w14:textId="77777777" w:rsidR="00F9037C" w:rsidRDefault="00F9037C"/>
    <w:p w14:paraId="6A50DF31" w14:textId="1D695F0E" w:rsidR="008471E1" w:rsidRDefault="008471E1"/>
    <w:p w14:paraId="6A50DF32" w14:textId="77777777" w:rsidR="008471E1" w:rsidRDefault="008471E1"/>
    <w:p w14:paraId="6A50DF33" w14:textId="77777777" w:rsidR="008471E1" w:rsidRDefault="008471E1"/>
    <w:p w14:paraId="6A50DF34" w14:textId="08AD98CE" w:rsidR="008471E1" w:rsidRDefault="00CE09D0">
      <w:r w:rsidRPr="00CE09D0">
        <w:rPr>
          <w:noProof/>
        </w:rPr>
        <w:drawing>
          <wp:inline distT="0" distB="0" distL="0" distR="0" wp14:anchorId="67822468" wp14:editId="435C38DC">
            <wp:extent cx="5943600" cy="4632325"/>
            <wp:effectExtent l="0" t="0" r="0" b="0"/>
            <wp:docPr id="9223452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32325"/>
                    </a:xfrm>
                    <a:prstGeom prst="rect">
                      <a:avLst/>
                    </a:prstGeom>
                    <a:noFill/>
                    <a:ln>
                      <a:noFill/>
                    </a:ln>
                  </pic:spPr>
                </pic:pic>
              </a:graphicData>
            </a:graphic>
          </wp:inline>
        </w:drawing>
      </w:r>
    </w:p>
    <w:p w14:paraId="6A50DF35" w14:textId="77777777" w:rsidR="008471E1" w:rsidRDefault="008471E1"/>
    <w:p w14:paraId="6A50DF36" w14:textId="77777777" w:rsidR="008471E1" w:rsidRDefault="008471E1"/>
    <w:p w14:paraId="6A50DF37" w14:textId="77777777" w:rsidR="008471E1" w:rsidRDefault="008471E1"/>
    <w:p w14:paraId="6A50DF38" w14:textId="77777777" w:rsidR="008471E1" w:rsidRDefault="008471E1"/>
    <w:p w14:paraId="6A50DF39" w14:textId="77777777" w:rsidR="008471E1" w:rsidRDefault="008471E1"/>
    <w:p w14:paraId="6A50DF3A" w14:textId="77777777" w:rsidR="008471E1" w:rsidRDefault="008471E1"/>
    <w:p w14:paraId="33341169" w14:textId="77777777" w:rsidR="00AF160D" w:rsidRDefault="00AF160D"/>
    <w:p w14:paraId="33508998" w14:textId="77777777" w:rsidR="00AF160D" w:rsidRDefault="00AF160D"/>
    <w:p w14:paraId="6A50DF3B" w14:textId="77777777" w:rsidR="008471E1" w:rsidRDefault="008471E1"/>
    <w:p w14:paraId="6A50DF80" w14:textId="77777777" w:rsidR="008471E1" w:rsidRDefault="008471E1"/>
    <w:p w14:paraId="6A50DF81" w14:textId="77777777" w:rsidR="008471E1" w:rsidRDefault="008471E1"/>
    <w:p w14:paraId="6A50DF82" w14:textId="77777777" w:rsidR="008471E1" w:rsidRDefault="008471E1"/>
    <w:p w14:paraId="6A50DF83" w14:textId="77777777" w:rsidR="008471E1" w:rsidRDefault="008471E1"/>
    <w:p w14:paraId="6A50DF86" w14:textId="1227771D" w:rsidR="008471E1" w:rsidRDefault="00100E5A">
      <w:r w:rsidRPr="00100E5A">
        <w:rPr>
          <w:noProof/>
        </w:rPr>
        <w:drawing>
          <wp:inline distT="0" distB="0" distL="0" distR="0" wp14:anchorId="5705071A" wp14:editId="51CF273F">
            <wp:extent cx="5943600" cy="5264150"/>
            <wp:effectExtent l="0" t="0" r="0" b="0"/>
            <wp:docPr id="323364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64150"/>
                    </a:xfrm>
                    <a:prstGeom prst="rect">
                      <a:avLst/>
                    </a:prstGeom>
                    <a:noFill/>
                    <a:ln>
                      <a:noFill/>
                    </a:ln>
                  </pic:spPr>
                </pic:pic>
              </a:graphicData>
            </a:graphic>
          </wp:inline>
        </w:drawing>
      </w:r>
    </w:p>
    <w:p w14:paraId="6A50DF87" w14:textId="77777777" w:rsidR="008471E1" w:rsidRDefault="008471E1"/>
    <w:p w14:paraId="6A50DF88" w14:textId="77777777" w:rsidR="008471E1" w:rsidRDefault="008471E1"/>
    <w:p w14:paraId="6A50DF89" w14:textId="77777777" w:rsidR="008471E1" w:rsidRDefault="008471E1"/>
    <w:p w14:paraId="6A50DF8A" w14:textId="00C549C5" w:rsidR="008471E1" w:rsidRDefault="008267C3">
      <w:r w:rsidRPr="008267C3">
        <w:rPr>
          <w:noProof/>
        </w:rPr>
        <w:drawing>
          <wp:inline distT="0" distB="0" distL="0" distR="0" wp14:anchorId="3CF2310A" wp14:editId="3C9BA9A2">
            <wp:extent cx="5943600" cy="3566160"/>
            <wp:effectExtent l="0" t="0" r="0" b="0"/>
            <wp:docPr id="847799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A50DF8B" w14:textId="77777777" w:rsidR="008471E1" w:rsidRDefault="008471E1"/>
    <w:p w14:paraId="6A50DF8C" w14:textId="77777777" w:rsidR="008471E1" w:rsidRDefault="008471E1"/>
    <w:p w14:paraId="6A50DF8D" w14:textId="77777777" w:rsidR="008471E1" w:rsidRDefault="008471E1"/>
    <w:p w14:paraId="6A50DF8E" w14:textId="77777777" w:rsidR="008471E1" w:rsidRDefault="008471E1"/>
    <w:p w14:paraId="6A50DF8F" w14:textId="77777777" w:rsidR="008471E1" w:rsidRDefault="008471E1"/>
    <w:p w14:paraId="6A50DF90" w14:textId="77777777" w:rsidR="008471E1" w:rsidRDefault="008471E1"/>
    <w:p w14:paraId="6A50DF91" w14:textId="77777777" w:rsidR="008471E1" w:rsidRDefault="008471E1"/>
    <w:p w14:paraId="6A50DF92" w14:textId="77777777" w:rsidR="008471E1" w:rsidRDefault="008471E1"/>
    <w:p w14:paraId="6A50DF93" w14:textId="77777777" w:rsidR="008471E1" w:rsidRDefault="008471E1"/>
    <w:p w14:paraId="6A50DF94" w14:textId="77777777" w:rsidR="008471E1" w:rsidRDefault="008471E1"/>
    <w:p w14:paraId="6A50DF95" w14:textId="77777777" w:rsidR="008471E1" w:rsidRDefault="008471E1"/>
    <w:p w14:paraId="6A50DF96" w14:textId="77777777" w:rsidR="008471E1" w:rsidRDefault="008471E1"/>
    <w:p w14:paraId="6A50DF97" w14:textId="77777777" w:rsidR="008471E1" w:rsidRDefault="008471E1"/>
    <w:p w14:paraId="6A50DF98" w14:textId="77777777" w:rsidR="008471E1" w:rsidRDefault="008471E1"/>
    <w:p w14:paraId="6A50DF99" w14:textId="77777777" w:rsidR="008471E1" w:rsidRDefault="008471E1"/>
    <w:p w14:paraId="6A50DF9A" w14:textId="77777777" w:rsidR="008471E1" w:rsidRDefault="008471E1"/>
    <w:p w14:paraId="6A50DF9B" w14:textId="77777777" w:rsidR="008471E1" w:rsidRPr="00B41F7C" w:rsidRDefault="00B41F7C">
      <w:pPr>
        <w:rPr>
          <w:rFonts w:ascii="Times New Roman" w:eastAsia="Times New Roman" w:hAnsi="Times New Roman" w:cs="Times New Roman"/>
          <w:sz w:val="24"/>
          <w:szCs w:val="24"/>
        </w:rPr>
      </w:pPr>
      <w:r w:rsidRPr="00B41F7C">
        <w:rPr>
          <w:rFonts w:ascii="Times New Roman" w:eastAsia="Times New Roman" w:hAnsi="Times New Roman" w:cs="Times New Roman"/>
          <w:b/>
          <w:sz w:val="24"/>
          <w:szCs w:val="24"/>
        </w:rPr>
        <w:t>Dependent Variable</w:t>
      </w:r>
      <w:r w:rsidRPr="00B41F7C">
        <w:rPr>
          <w:rFonts w:ascii="Times New Roman" w:eastAsia="Times New Roman" w:hAnsi="Times New Roman" w:cs="Times New Roman"/>
          <w:sz w:val="24"/>
          <w:szCs w:val="24"/>
        </w:rPr>
        <w:t>: Domestic Terrorist Attacks</w:t>
      </w:r>
    </w:p>
    <w:p w14:paraId="6A50DF9C" w14:textId="77777777" w:rsidR="008471E1" w:rsidRPr="00B41F7C" w:rsidRDefault="00B41F7C">
      <w:pPr>
        <w:rPr>
          <w:rFonts w:ascii="Times New Roman" w:eastAsia="Times New Roman" w:hAnsi="Times New Roman" w:cs="Times New Roman"/>
          <w:sz w:val="24"/>
          <w:szCs w:val="24"/>
        </w:rPr>
      </w:pPr>
      <w:r w:rsidRPr="00B41F7C">
        <w:rPr>
          <w:rFonts w:ascii="Times New Roman" w:eastAsia="Times New Roman" w:hAnsi="Times New Roman" w:cs="Times New Roman"/>
          <w:b/>
          <w:sz w:val="24"/>
          <w:szCs w:val="24"/>
        </w:rPr>
        <w:t>Independent Variables</w:t>
      </w:r>
      <w:r w:rsidRPr="00B41F7C">
        <w:rPr>
          <w:rFonts w:ascii="Times New Roman" w:eastAsia="Times New Roman" w:hAnsi="Times New Roman" w:cs="Times New Roman"/>
          <w:sz w:val="24"/>
          <w:szCs w:val="24"/>
        </w:rPr>
        <w:t>: Net Positive Constituency Relations is a binary variable, composed of positive-negative constituency relations. The former tests political party affiliation, media ownership, and public goods provision. The latter tests forced recruitment, forced funding, and child recruitment. Both range from 0 to 3. The net score is recoded as a binary variable in the RTG dataset. The interaction term is composed of Net Constituency Relations and presence of Humanitarian Disasters.</w:t>
      </w:r>
    </w:p>
    <w:p w14:paraId="6A50DF9D" w14:textId="77777777" w:rsidR="008471E1" w:rsidRPr="00B41F7C" w:rsidRDefault="00B41F7C">
      <w:pPr>
        <w:rPr>
          <w:rFonts w:ascii="Times New Roman" w:eastAsia="Times New Roman" w:hAnsi="Times New Roman" w:cs="Times New Roman"/>
          <w:sz w:val="24"/>
          <w:szCs w:val="24"/>
        </w:rPr>
      </w:pPr>
      <w:r w:rsidRPr="00B41F7C">
        <w:rPr>
          <w:rFonts w:ascii="Times New Roman" w:eastAsia="Times New Roman" w:hAnsi="Times New Roman" w:cs="Times New Roman"/>
          <w:b/>
          <w:sz w:val="24"/>
          <w:szCs w:val="24"/>
        </w:rPr>
        <w:t>Control Variables:</w:t>
      </w:r>
      <w:r w:rsidRPr="00B41F7C">
        <w:rPr>
          <w:rFonts w:ascii="Times New Roman" w:eastAsia="Times New Roman" w:hAnsi="Times New Roman" w:cs="Times New Roman"/>
          <w:sz w:val="24"/>
          <w:szCs w:val="24"/>
        </w:rPr>
        <w:t xml:space="preserve"> We used the following group-level variables: Horowitz shows that younger groups are more flexible and open to innovation on suicide bombing (Horowitz, 2010). Religious groups have an unearthly audience and the ability to engage in othering, which makes them more lethal (Asal &amp; Rethemeyer, 2008). Berman and Laitin (2007) also concur on the lethality of religious organizations because they provide club goods, which increase commitment. Size matters because large organizational structures necessitate resources (Asal &amp; Rethemeyer, 2008). The outbidding literature suggests that the more competition there is, the more groups will increase attacks to gain credibility and earn the loyalty of the population who is trying to find which group best represents their interests (Bloom, 2005; Nemeth, 2014; Kydd &amp; Walter, 2006). Lastly, hierarchically organized groups can alleviate principal-agent problems. Furthermore, hierarchy brings functional differentiations and hence leads to more destructive, lethal attacks (Heger, Jung, &amp; Wong, 2012). Lastly, we control for regime type as an aggregate level variable.</w:t>
      </w:r>
    </w:p>
    <w:p w14:paraId="6A50DF9E" w14:textId="77777777" w:rsidR="008471E1" w:rsidRDefault="008471E1">
      <w:pPr>
        <w:rPr>
          <w:rFonts w:ascii="Times New Roman" w:eastAsia="Times New Roman" w:hAnsi="Times New Roman" w:cs="Times New Roman"/>
        </w:rPr>
      </w:pPr>
    </w:p>
    <w:p w14:paraId="6A50DF9F" w14:textId="77777777" w:rsidR="008471E1" w:rsidRPr="00B41F7C" w:rsidRDefault="00B41F7C">
      <w:pPr>
        <w:rPr>
          <w:rFonts w:ascii="Times New Roman" w:eastAsia="Times New Roman" w:hAnsi="Times New Roman" w:cs="Times New Roman"/>
          <w:b/>
          <w:sz w:val="24"/>
          <w:szCs w:val="24"/>
        </w:rPr>
      </w:pPr>
      <w:r w:rsidRPr="00B41F7C">
        <w:rPr>
          <w:rFonts w:ascii="Times New Roman" w:eastAsia="Times New Roman" w:hAnsi="Times New Roman" w:cs="Times New Roman"/>
          <w:b/>
          <w:sz w:val="24"/>
          <w:szCs w:val="24"/>
        </w:rPr>
        <w:t>References:</w:t>
      </w:r>
    </w:p>
    <w:p w14:paraId="6A50DFA0"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Asal, V., &amp; Rethemeyer, R. K. (2008). The nature of the beast: Organizational structures and the lethality of terrorist attacks. The Journal of Politics, 70(2), 437-449. The University of Chicago Press on behalf of the Southern Political Science Association.</w:t>
      </w:r>
    </w:p>
    <w:p w14:paraId="6A50DFA1"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Berman, E., &amp; Laitin, D. (2007). Author(s). Perspectives on Politics, 5(1), 122-129.</w:t>
      </w:r>
    </w:p>
    <w:p w14:paraId="6A50DFA2"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Bloom, M. (2005). Dying to kill: The allure of suicide terror. Columbia University Press.</w:t>
      </w:r>
    </w:p>
    <w:p w14:paraId="6A50DFA3"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Heger, L., Jung, D., &amp; Wong, W. H. (2012). Organizing for Resistance: How Group Structure Impacts the Character of Violence. Terrorism and Political Violence, 24(5), 743–768.</w:t>
      </w:r>
    </w:p>
    <w:p w14:paraId="6A50DFA4"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Horowitz, M. C. (2010). Nonstate actors and the diffusion of innovations: The case of suicide terrorism. International Organization, 64(1), 33-64. Cambridge University Press on behalf of the International Organization Foundation. http://www.jstor.org/stable/40607980</w:t>
      </w:r>
    </w:p>
    <w:p w14:paraId="6A50DFA5"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Kydd, A. H., &amp; Walter, B. F. (2006). The strategies of terrorism. International Security, 31(1), 49-80. The MIT Press. http://www.jstor.org/stable/4137539</w:t>
      </w:r>
    </w:p>
    <w:p w14:paraId="6A50DFA6" w14:textId="77777777" w:rsidR="008471E1" w:rsidRPr="00B41F7C" w:rsidRDefault="00B41F7C">
      <w:pPr>
        <w:rPr>
          <w:rFonts w:ascii="Times New Roman" w:eastAsia="Times New Roman" w:hAnsi="Times New Roman" w:cs="Times New Roman"/>
          <w:color w:val="0D0D0D"/>
          <w:sz w:val="24"/>
          <w:szCs w:val="24"/>
          <w:highlight w:val="white"/>
        </w:rPr>
      </w:pPr>
      <w:r w:rsidRPr="00B41F7C">
        <w:rPr>
          <w:rFonts w:ascii="Times New Roman" w:eastAsia="Times New Roman" w:hAnsi="Times New Roman" w:cs="Times New Roman"/>
          <w:color w:val="0D0D0D"/>
          <w:sz w:val="24"/>
          <w:szCs w:val="24"/>
          <w:highlight w:val="white"/>
        </w:rPr>
        <w:t>Nemeth, S. C. (2014). The effect of competition on terrorist group operations. Journal of Conflict Resolution, 58(2), 336-362. Sage Publications.</w:t>
      </w:r>
    </w:p>
    <w:p w14:paraId="6A50DFA7" w14:textId="77777777" w:rsidR="008471E1" w:rsidRPr="00B41F7C" w:rsidRDefault="008471E1">
      <w:pPr>
        <w:rPr>
          <w:rFonts w:ascii="Times New Roman" w:eastAsia="Times New Roman" w:hAnsi="Times New Roman" w:cs="Times New Roman"/>
          <w:color w:val="0D0D0D"/>
          <w:sz w:val="24"/>
          <w:szCs w:val="24"/>
          <w:highlight w:val="white"/>
        </w:rPr>
      </w:pPr>
    </w:p>
    <w:p w14:paraId="620220B9" w14:textId="77777777" w:rsidR="006C4016" w:rsidRPr="006C4016" w:rsidRDefault="006C4016" w:rsidP="006C4016">
      <w:pPr>
        <w:rPr>
          <w:rFonts w:ascii="Times New Roman" w:eastAsia="Times New Roman" w:hAnsi="Times New Roman" w:cs="Times New Roman"/>
          <w:sz w:val="24"/>
          <w:szCs w:val="24"/>
        </w:rPr>
      </w:pPr>
      <w:r w:rsidRPr="006C4016">
        <w:rPr>
          <w:rFonts w:ascii="Times New Roman" w:eastAsia="Roboto" w:hAnsi="Times New Roman" w:cs="Times New Roman"/>
          <w:b/>
          <w:bCs/>
          <w:color w:val="0D0D0D"/>
          <w:sz w:val="24"/>
          <w:szCs w:val="24"/>
          <w:highlight w:val="white"/>
        </w:rPr>
        <w:t>Explanations for Including Control Variables in Table 5</w:t>
      </w:r>
    </w:p>
    <w:p w14:paraId="7A361F70" w14:textId="5862D13E" w:rsidR="00E46B8C" w:rsidRPr="00CC4811" w:rsidRDefault="00CC4811" w:rsidP="00CC4811">
      <w:pPr>
        <w:pStyle w:val="ListParagraph"/>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Alliances</w:t>
      </w:r>
      <w:r w:rsidR="00E46B8C" w:rsidRPr="00CC4811">
        <w:rPr>
          <w:rFonts w:ascii="Times New Roman" w:eastAsia="Times New Roman" w:hAnsi="Times New Roman" w:cs="Times New Roman"/>
          <w:sz w:val="24"/>
          <w:szCs w:val="24"/>
        </w:rPr>
        <w:t xml:space="preserve">: </w:t>
      </w:r>
      <w:r w:rsidR="00B27B44" w:rsidRPr="00CC4811">
        <w:rPr>
          <w:rFonts w:ascii="Times New Roman" w:eastAsia="Times New Roman" w:hAnsi="Times New Roman" w:cs="Times New Roman"/>
          <w:sz w:val="24"/>
          <w:szCs w:val="24"/>
        </w:rPr>
        <w:t xml:space="preserve"> Scholars like Savun and Phillips (2009) associate heavy interventionist policies with an increase in terrorist attacks. Countries with robust interventionist policies are more likely to experience suicide attacks (Pape, 2003), and those aligned with the US often face greater resentment (Tessler and Robbins, 2007). We include data on alliances with the US from the Correlates of War, Formal Interstate Alliance Dataset, Version 4, 1816-2012 (Gibler, 2009). </w:t>
      </w:r>
    </w:p>
    <w:p w14:paraId="69A20C20" w14:textId="77777777" w:rsidR="00E46B8C" w:rsidRPr="00CC4811" w:rsidRDefault="00E46B8C" w:rsidP="00CC4811">
      <w:pPr>
        <w:pStyle w:val="ListParagraph"/>
        <w:numPr>
          <w:ilvl w:val="0"/>
          <w:numId w:val="2"/>
        </w:numPr>
        <w:rPr>
          <w:rFonts w:ascii="Times New Roman" w:eastAsia="Times New Roman" w:hAnsi="Times New Roman" w:cs="Times New Roman"/>
          <w:sz w:val="24"/>
          <w:szCs w:val="24"/>
        </w:rPr>
      </w:pPr>
      <w:r w:rsidRPr="00CC4811">
        <w:rPr>
          <w:rFonts w:ascii="Times New Roman" w:eastAsia="Times New Roman" w:hAnsi="Times New Roman" w:cs="Times New Roman"/>
          <w:b/>
          <w:bCs/>
          <w:sz w:val="24"/>
          <w:szCs w:val="24"/>
        </w:rPr>
        <w:t>Polity:</w:t>
      </w:r>
      <w:r w:rsidRPr="00CC4811">
        <w:rPr>
          <w:rFonts w:ascii="Times New Roman" w:eastAsia="Times New Roman" w:hAnsi="Times New Roman" w:cs="Times New Roman"/>
          <w:sz w:val="24"/>
          <w:szCs w:val="24"/>
        </w:rPr>
        <w:t xml:space="preserve"> W</w:t>
      </w:r>
      <w:r w:rsidR="00B27B44" w:rsidRPr="00CC4811">
        <w:rPr>
          <w:rFonts w:ascii="Times New Roman" w:eastAsia="Times New Roman" w:hAnsi="Times New Roman" w:cs="Times New Roman"/>
          <w:sz w:val="24"/>
          <w:szCs w:val="24"/>
        </w:rPr>
        <w:t xml:space="preserve">e replace executive constraints and political competition with regime type (Polity 5 dataset, Model 2). </w:t>
      </w:r>
    </w:p>
    <w:p w14:paraId="45D504ED" w14:textId="77777777" w:rsidR="00E46B8C" w:rsidRPr="00CC4811" w:rsidRDefault="00E46B8C" w:rsidP="00CC4811">
      <w:pPr>
        <w:pStyle w:val="ListParagraph"/>
        <w:numPr>
          <w:ilvl w:val="0"/>
          <w:numId w:val="2"/>
        </w:numPr>
        <w:rPr>
          <w:rFonts w:ascii="Times New Roman" w:eastAsia="Times New Roman" w:hAnsi="Times New Roman" w:cs="Times New Roman"/>
          <w:sz w:val="24"/>
          <w:szCs w:val="24"/>
        </w:rPr>
      </w:pPr>
      <w:r w:rsidRPr="00CC4811">
        <w:rPr>
          <w:rFonts w:ascii="Times New Roman" w:eastAsia="Times New Roman" w:hAnsi="Times New Roman" w:cs="Times New Roman"/>
          <w:b/>
          <w:bCs/>
          <w:sz w:val="24"/>
          <w:szCs w:val="24"/>
        </w:rPr>
        <w:t>Logged GDP per capita:</w:t>
      </w:r>
      <w:r w:rsidRPr="00CC4811">
        <w:rPr>
          <w:rFonts w:ascii="Times New Roman" w:eastAsia="Times New Roman" w:hAnsi="Times New Roman" w:cs="Times New Roman"/>
          <w:sz w:val="24"/>
          <w:szCs w:val="24"/>
        </w:rPr>
        <w:t xml:space="preserve"> W</w:t>
      </w:r>
      <w:r w:rsidR="00B27B44" w:rsidRPr="00CC4811">
        <w:rPr>
          <w:rFonts w:ascii="Times New Roman" w:eastAsia="Times New Roman" w:hAnsi="Times New Roman" w:cs="Times New Roman"/>
          <w:sz w:val="24"/>
          <w:szCs w:val="24"/>
        </w:rPr>
        <w:t xml:space="preserve">e </w:t>
      </w:r>
      <w:r w:rsidRPr="00CC4811">
        <w:rPr>
          <w:rFonts w:ascii="Times New Roman" w:eastAsia="Times New Roman" w:hAnsi="Times New Roman" w:cs="Times New Roman"/>
          <w:sz w:val="24"/>
          <w:szCs w:val="24"/>
        </w:rPr>
        <w:t xml:space="preserve">had </w:t>
      </w:r>
      <w:r w:rsidR="00B27B44" w:rsidRPr="00CC4811">
        <w:rPr>
          <w:rFonts w:ascii="Times New Roman" w:eastAsia="Times New Roman" w:hAnsi="Times New Roman" w:cs="Times New Roman"/>
          <w:sz w:val="24"/>
          <w:szCs w:val="24"/>
        </w:rPr>
        <w:t xml:space="preserve">initially excluded GDP per capita from our main analysis due to its potential correlation with our independent variable, financial crisis. We now incorporate logged GDP per capita (World Development Indicators, Model 3), reflecting the diverse scholarly views on poverty and terrorism. Some scholars argue that deprivation and injustice lead to extremism (Burgoon, 2006), while others have found a positive relationship (Ross, 1993) or weak connections between economic variables and terrorism (Krueger and Maleckova, 2003). </w:t>
      </w:r>
    </w:p>
    <w:p w14:paraId="0266E482" w14:textId="77777777" w:rsidR="00803993" w:rsidRDefault="00E46B8C" w:rsidP="00CC4811">
      <w:pPr>
        <w:pStyle w:val="ListParagraph"/>
        <w:numPr>
          <w:ilvl w:val="0"/>
          <w:numId w:val="1"/>
        </w:numPr>
        <w:rPr>
          <w:rFonts w:ascii="Times New Roman" w:eastAsia="Times New Roman" w:hAnsi="Times New Roman" w:cs="Times New Roman"/>
          <w:sz w:val="24"/>
          <w:szCs w:val="24"/>
        </w:rPr>
      </w:pPr>
      <w:r w:rsidRPr="00CC4811">
        <w:rPr>
          <w:rFonts w:ascii="Times New Roman" w:eastAsia="Times New Roman" w:hAnsi="Times New Roman" w:cs="Times New Roman"/>
          <w:b/>
          <w:bCs/>
          <w:sz w:val="24"/>
          <w:szCs w:val="24"/>
        </w:rPr>
        <w:t>State Repression:</w:t>
      </w:r>
      <w:r w:rsidRPr="00CC4811">
        <w:rPr>
          <w:rFonts w:ascii="Times New Roman" w:eastAsia="Times New Roman" w:hAnsi="Times New Roman" w:cs="Times New Roman"/>
          <w:sz w:val="24"/>
          <w:szCs w:val="24"/>
        </w:rPr>
        <w:t xml:space="preserve"> We </w:t>
      </w:r>
      <w:r w:rsidR="00B27B44" w:rsidRPr="00CC4811">
        <w:rPr>
          <w:rFonts w:ascii="Times New Roman" w:eastAsia="Times New Roman" w:hAnsi="Times New Roman" w:cs="Times New Roman"/>
          <w:sz w:val="24"/>
          <w:szCs w:val="24"/>
        </w:rPr>
        <w:t xml:space="preserve">control for state repression (Model 4) using data from the CIRI Human Rights Database. Scholars argue that repression fuels terrorism by eroding state legitimacy and incentivizing terrorist provocations (Lake, 2002; Kydd &amp; Walter, 2006; Walsh &amp; Piazza, 2010; Blankenship, 2018). </w:t>
      </w:r>
    </w:p>
    <w:p w14:paraId="3D1CF3A0" w14:textId="76F73E35" w:rsidR="00E46B8C" w:rsidRPr="00CC4811" w:rsidRDefault="00803993" w:rsidP="00CC4811">
      <w:pPr>
        <w:pStyle w:val="ListParagraph"/>
        <w:numPr>
          <w:ilvl w:val="0"/>
          <w:numId w:val="1"/>
        </w:numPr>
        <w:rPr>
          <w:rFonts w:ascii="Times New Roman" w:eastAsia="Times New Roman" w:hAnsi="Times New Roman" w:cs="Times New Roman"/>
          <w:sz w:val="24"/>
          <w:szCs w:val="24"/>
        </w:rPr>
      </w:pPr>
      <w:r w:rsidRPr="00803993">
        <w:rPr>
          <w:rFonts w:ascii="Times New Roman" w:eastAsia="Times New Roman" w:hAnsi="Times New Roman" w:cs="Times New Roman"/>
          <w:b/>
          <w:bCs/>
          <w:sz w:val="24"/>
          <w:szCs w:val="24"/>
        </w:rPr>
        <w:t>Mountainous Terrain</w:t>
      </w:r>
      <w:r>
        <w:rPr>
          <w:rFonts w:ascii="Times New Roman" w:eastAsia="Times New Roman" w:hAnsi="Times New Roman" w:cs="Times New Roman"/>
          <w:sz w:val="24"/>
          <w:szCs w:val="24"/>
        </w:rPr>
        <w:t>: W</w:t>
      </w:r>
      <w:r w:rsidR="00B27B44" w:rsidRPr="00CC4811">
        <w:rPr>
          <w:rFonts w:ascii="Times New Roman" w:eastAsia="Times New Roman" w:hAnsi="Times New Roman" w:cs="Times New Roman"/>
          <w:sz w:val="24"/>
          <w:szCs w:val="24"/>
        </w:rPr>
        <w:t xml:space="preserve">e include mean terrain ruggedness (Model 5), as forest cover and mountainous terrain may provide hiding places and sustenance, facilitating survival (Shaver et al., 2016; Rouen and Sobek, 2004; Nemeth et al., 2014). These factors can diminish state monitoring capacity, creating a permissive environment for planning and staging attacks. </w:t>
      </w:r>
    </w:p>
    <w:p w14:paraId="721F69D4" w14:textId="1627816E" w:rsidR="00B27B44" w:rsidRPr="00CC4811" w:rsidRDefault="00E46B8C" w:rsidP="00CC4811">
      <w:pPr>
        <w:pStyle w:val="ListParagraph"/>
        <w:numPr>
          <w:ilvl w:val="0"/>
          <w:numId w:val="1"/>
        </w:numPr>
        <w:rPr>
          <w:rFonts w:ascii="Times New Roman" w:eastAsia="Roboto" w:hAnsi="Times New Roman" w:cs="Times New Roman"/>
          <w:b/>
          <w:bCs/>
          <w:color w:val="0D0D0D"/>
          <w:sz w:val="24"/>
          <w:szCs w:val="24"/>
          <w:highlight w:val="white"/>
        </w:rPr>
      </w:pPr>
      <w:r w:rsidRPr="00CC4811">
        <w:rPr>
          <w:rFonts w:ascii="Times New Roman" w:eastAsia="Times New Roman" w:hAnsi="Times New Roman" w:cs="Times New Roman"/>
          <w:b/>
          <w:bCs/>
          <w:sz w:val="24"/>
          <w:szCs w:val="24"/>
        </w:rPr>
        <w:t>State Capacity</w:t>
      </w:r>
      <w:r w:rsidRPr="00CC4811">
        <w:rPr>
          <w:rFonts w:ascii="Times New Roman" w:eastAsia="Times New Roman" w:hAnsi="Times New Roman" w:cs="Times New Roman"/>
          <w:sz w:val="24"/>
          <w:szCs w:val="24"/>
        </w:rPr>
        <w:t>: S</w:t>
      </w:r>
      <w:r w:rsidR="00B27B44" w:rsidRPr="00CC4811">
        <w:rPr>
          <w:rFonts w:ascii="Times New Roman" w:eastAsia="Times New Roman" w:hAnsi="Times New Roman" w:cs="Times New Roman"/>
          <w:sz w:val="24"/>
          <w:szCs w:val="24"/>
        </w:rPr>
        <w:t>tate capacity is often used as a control variable in terrorism research (Piazza, 2008; Li, 2005; Koch &amp; Cranmer, 2007; Young &amp; Findley, 2011; Findley, Piazza &amp; Young, 2012; Gaibulloev, Piazza &amp; Sandler, 2017). States with low capacity frequently provide a conducive environment for terrorist activities, primarily due to the lack of centralized control and effective governance (Newman, 2007; Lai, 2007). Such weaker states are also more likely to be targets of provocation strategies that increase terrorism (Blankenship, 2018). We use the state capacity index from Coppedge et al. (2022). The advantage of this index is that it integrates 21 indicators across coercive, extractive, and administrative dimensions (O’Reilly and Murphy, 2022).  Additionally, some scholars have found that different components of state capacity—specifically military and bureaucratic capacities—affect terrorism differently; the former tends to increase attacks, whereas the latter tends to decrease them (Hendrix and Young 2014;</w:t>
      </w:r>
      <w:r w:rsidR="00B27B44" w:rsidRPr="00CC4811">
        <w:rPr>
          <w:rFonts w:ascii="Times New Roman" w:eastAsia="Times New Roman" w:hAnsi="Times New Roman" w:cs="Times New Roman"/>
          <w:color w:val="0D0D0D"/>
          <w:sz w:val="24"/>
          <w:szCs w:val="24"/>
        </w:rPr>
        <w:t xml:space="preserve"> </w:t>
      </w:r>
      <w:r w:rsidR="00B27B44" w:rsidRPr="00CC4811">
        <w:rPr>
          <w:rFonts w:ascii="Times New Roman" w:eastAsia="Times New Roman" w:hAnsi="Times New Roman" w:cs="Times New Roman"/>
          <w:sz w:val="24"/>
          <w:szCs w:val="24"/>
        </w:rPr>
        <w:t>Adam and Tsavou 2022). We recorded the state capacity index (O’Reilly and Murphy, 2022) to encompass educational equality, the state's fiscal sources of revenue, the distribution between particularistic and public goods, and the rigor and impartiality of public administration within the concept of bureaucratic state capacity, while integrating the state's authority over territory into the definition of military capacity. We control for composite state capacity, as well as for two separate components of state capacity</w:t>
      </w:r>
      <w:r w:rsidR="00CC4811" w:rsidRPr="00CC4811">
        <w:rPr>
          <w:rFonts w:ascii="Times New Roman" w:eastAsia="Times New Roman" w:hAnsi="Times New Roman" w:cs="Times New Roman"/>
          <w:sz w:val="24"/>
          <w:szCs w:val="24"/>
        </w:rPr>
        <w:t xml:space="preserve">. </w:t>
      </w:r>
    </w:p>
    <w:p w14:paraId="69ED7FF5" w14:textId="77777777" w:rsidR="00B27B44" w:rsidRPr="00B41F7C" w:rsidRDefault="00B27B44">
      <w:pPr>
        <w:rPr>
          <w:rFonts w:ascii="Roboto" w:eastAsia="Roboto" w:hAnsi="Roboto" w:cs="Roboto"/>
          <w:color w:val="0D0D0D"/>
          <w:sz w:val="24"/>
          <w:szCs w:val="24"/>
          <w:highlight w:val="white"/>
        </w:rPr>
      </w:pPr>
    </w:p>
    <w:sectPr w:rsidR="00B27B44" w:rsidRPr="00B41F7C">
      <w:headerReference w:type="defaul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A19057" w14:textId="77777777" w:rsidR="00652F48" w:rsidRDefault="00652F48">
      <w:pPr>
        <w:spacing w:after="0" w:line="240" w:lineRule="auto"/>
      </w:pPr>
      <w:r>
        <w:separator/>
      </w:r>
    </w:p>
  </w:endnote>
  <w:endnote w:type="continuationSeparator" w:id="0">
    <w:p w14:paraId="298C09B1" w14:textId="77777777" w:rsidR="00652F48" w:rsidRDefault="00652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E45287CE-7FAA-4AB8-A08D-997F26E4B5DD}"/>
    <w:embedItalic r:id="rId2" w:fontKey="{A0C8FB4E-F8B2-4B60-AC8C-97EABCE9DAA6}"/>
  </w:font>
  <w:font w:name="Aptos Display">
    <w:charset w:val="00"/>
    <w:family w:val="swiss"/>
    <w:pitch w:val="variable"/>
    <w:sig w:usb0="20000287" w:usb1="00000003" w:usb2="00000000" w:usb3="00000000" w:csb0="0000019F" w:csb1="00000000"/>
    <w:embedRegular r:id="rId3" w:fontKey="{610DE74A-25E2-43E1-986C-192EEAB21F83}"/>
  </w:font>
  <w:font w:name="Roboto">
    <w:charset w:val="00"/>
    <w:family w:val="auto"/>
    <w:pitch w:val="variable"/>
    <w:sig w:usb0="E0000AFF" w:usb1="5000217F" w:usb2="00000021" w:usb3="00000000" w:csb0="0000019F" w:csb1="00000000"/>
    <w:embedRegular r:id="rId4" w:fontKey="{E9FE7FA5-99C2-4CD7-B2DD-6000F761570F}"/>
    <w:embedBold r:id="rId5" w:fontKey="{C326C4BE-DB89-4F41-846D-CCFAE47B616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6FAF2" w14:textId="77777777" w:rsidR="00652F48" w:rsidRDefault="00652F48">
      <w:pPr>
        <w:spacing w:after="0" w:line="240" w:lineRule="auto"/>
      </w:pPr>
      <w:r>
        <w:separator/>
      </w:r>
    </w:p>
  </w:footnote>
  <w:footnote w:type="continuationSeparator" w:id="0">
    <w:p w14:paraId="4C1ED214" w14:textId="77777777" w:rsidR="00652F48" w:rsidRDefault="00652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0DFC7" w14:textId="3439EF7E" w:rsidR="008471E1" w:rsidRDefault="00B41F7C">
    <w:pPr>
      <w:jc w:val="right"/>
    </w:pPr>
    <w:r>
      <w:fldChar w:fldCharType="begin"/>
    </w:r>
    <w:r>
      <w:instrText>PAGE</w:instrText>
    </w:r>
    <w:r>
      <w:fldChar w:fldCharType="separate"/>
    </w:r>
    <w:r w:rsidR="00E01E8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0E7F0B"/>
    <w:multiLevelType w:val="hybridMultilevel"/>
    <w:tmpl w:val="5A34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CA25B3"/>
    <w:multiLevelType w:val="hybridMultilevel"/>
    <w:tmpl w:val="FD72B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404710">
    <w:abstractNumId w:val="1"/>
  </w:num>
  <w:num w:numId="2" w16cid:durableId="19440746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1E1"/>
    <w:rsid w:val="000039E5"/>
    <w:rsid w:val="00063792"/>
    <w:rsid w:val="000F2A61"/>
    <w:rsid w:val="00100E5A"/>
    <w:rsid w:val="00133F57"/>
    <w:rsid w:val="001625D0"/>
    <w:rsid w:val="00183524"/>
    <w:rsid w:val="00227F80"/>
    <w:rsid w:val="00372972"/>
    <w:rsid w:val="003B5B70"/>
    <w:rsid w:val="00417326"/>
    <w:rsid w:val="004951EC"/>
    <w:rsid w:val="004B149A"/>
    <w:rsid w:val="00540C2B"/>
    <w:rsid w:val="00652F48"/>
    <w:rsid w:val="00675074"/>
    <w:rsid w:val="006A200A"/>
    <w:rsid w:val="006C4016"/>
    <w:rsid w:val="006D0009"/>
    <w:rsid w:val="006E3046"/>
    <w:rsid w:val="0077182C"/>
    <w:rsid w:val="007B2826"/>
    <w:rsid w:val="007D473A"/>
    <w:rsid w:val="007D6746"/>
    <w:rsid w:val="00803993"/>
    <w:rsid w:val="008267C3"/>
    <w:rsid w:val="008471E1"/>
    <w:rsid w:val="00896BAD"/>
    <w:rsid w:val="008C2500"/>
    <w:rsid w:val="00906500"/>
    <w:rsid w:val="0099631A"/>
    <w:rsid w:val="00996B5B"/>
    <w:rsid w:val="00AA4B58"/>
    <w:rsid w:val="00AF160D"/>
    <w:rsid w:val="00B27B44"/>
    <w:rsid w:val="00B41F7C"/>
    <w:rsid w:val="00B76B8A"/>
    <w:rsid w:val="00B85100"/>
    <w:rsid w:val="00C06F31"/>
    <w:rsid w:val="00C62527"/>
    <w:rsid w:val="00C822AB"/>
    <w:rsid w:val="00CA60C6"/>
    <w:rsid w:val="00CB1675"/>
    <w:rsid w:val="00CC4811"/>
    <w:rsid w:val="00CE09D0"/>
    <w:rsid w:val="00CE63F4"/>
    <w:rsid w:val="00D846B1"/>
    <w:rsid w:val="00D84E5E"/>
    <w:rsid w:val="00D85CDB"/>
    <w:rsid w:val="00D9585C"/>
    <w:rsid w:val="00E01E89"/>
    <w:rsid w:val="00E1582F"/>
    <w:rsid w:val="00E46B8C"/>
    <w:rsid w:val="00E51DFD"/>
    <w:rsid w:val="00E8043C"/>
    <w:rsid w:val="00E95303"/>
    <w:rsid w:val="00F24DE0"/>
    <w:rsid w:val="00F5220C"/>
    <w:rsid w:val="00F811F8"/>
    <w:rsid w:val="00F90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DEEB"/>
  <w15:docId w15:val="{78F8EDDE-9D28-4448-884D-35C89937A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0A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0A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0A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0A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0A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0A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0A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0A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0A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0A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40A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0A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0A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0A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0A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0A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0A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0A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0A74"/>
    <w:rPr>
      <w:rFonts w:eastAsiaTheme="majorEastAsia" w:cstheme="majorBidi"/>
      <w:color w:val="272727" w:themeColor="text1" w:themeTint="D8"/>
    </w:rPr>
  </w:style>
  <w:style w:type="character" w:customStyle="1" w:styleId="TitleChar">
    <w:name w:val="Title Char"/>
    <w:basedOn w:val="DefaultParagraphFont"/>
    <w:link w:val="Title"/>
    <w:uiPriority w:val="10"/>
    <w:rsid w:val="00F40A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40A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0A74"/>
    <w:pPr>
      <w:spacing w:before="160"/>
      <w:jc w:val="center"/>
    </w:pPr>
    <w:rPr>
      <w:i/>
      <w:iCs/>
      <w:color w:val="404040" w:themeColor="text1" w:themeTint="BF"/>
    </w:rPr>
  </w:style>
  <w:style w:type="character" w:customStyle="1" w:styleId="QuoteChar">
    <w:name w:val="Quote Char"/>
    <w:basedOn w:val="DefaultParagraphFont"/>
    <w:link w:val="Quote"/>
    <w:uiPriority w:val="29"/>
    <w:rsid w:val="00F40A74"/>
    <w:rPr>
      <w:i/>
      <w:iCs/>
      <w:color w:val="404040" w:themeColor="text1" w:themeTint="BF"/>
    </w:rPr>
  </w:style>
  <w:style w:type="paragraph" w:styleId="ListParagraph">
    <w:name w:val="List Paragraph"/>
    <w:basedOn w:val="Normal"/>
    <w:uiPriority w:val="34"/>
    <w:qFormat/>
    <w:rsid w:val="00F40A74"/>
    <w:pPr>
      <w:ind w:left="720"/>
      <w:contextualSpacing/>
    </w:pPr>
  </w:style>
  <w:style w:type="character" w:styleId="IntenseEmphasis">
    <w:name w:val="Intense Emphasis"/>
    <w:basedOn w:val="DefaultParagraphFont"/>
    <w:uiPriority w:val="21"/>
    <w:qFormat/>
    <w:rsid w:val="00F40A74"/>
    <w:rPr>
      <w:i/>
      <w:iCs/>
      <w:color w:val="0F4761" w:themeColor="accent1" w:themeShade="BF"/>
    </w:rPr>
  </w:style>
  <w:style w:type="paragraph" w:styleId="IntenseQuote">
    <w:name w:val="Intense Quote"/>
    <w:basedOn w:val="Normal"/>
    <w:next w:val="Normal"/>
    <w:link w:val="IntenseQuoteChar"/>
    <w:uiPriority w:val="30"/>
    <w:qFormat/>
    <w:rsid w:val="00F40A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0A74"/>
    <w:rPr>
      <w:i/>
      <w:iCs/>
      <w:color w:val="0F4761" w:themeColor="accent1" w:themeShade="BF"/>
    </w:rPr>
  </w:style>
  <w:style w:type="character" w:styleId="IntenseReference">
    <w:name w:val="Intense Reference"/>
    <w:basedOn w:val="DefaultParagraphFont"/>
    <w:uiPriority w:val="32"/>
    <w:qFormat/>
    <w:rsid w:val="00F40A74"/>
    <w:rPr>
      <w:b/>
      <w:bCs/>
      <w:smallCaps/>
      <w:color w:val="0F4761" w:themeColor="accent1" w:themeShade="BF"/>
      <w:spacing w:val="5"/>
    </w:rPr>
  </w:style>
  <w:style w:type="paragraph" w:styleId="Header">
    <w:name w:val="header"/>
    <w:basedOn w:val="Normal"/>
    <w:link w:val="HeaderChar"/>
    <w:uiPriority w:val="99"/>
    <w:unhideWhenUsed/>
    <w:rsid w:val="009A06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68D"/>
  </w:style>
  <w:style w:type="paragraph" w:styleId="Footer">
    <w:name w:val="footer"/>
    <w:basedOn w:val="Normal"/>
    <w:link w:val="FooterChar"/>
    <w:uiPriority w:val="99"/>
    <w:unhideWhenUsed/>
    <w:rsid w:val="009A06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68D"/>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624084">
      <w:bodyDiv w:val="1"/>
      <w:marLeft w:val="0"/>
      <w:marRight w:val="0"/>
      <w:marTop w:val="0"/>
      <w:marBottom w:val="0"/>
      <w:divBdr>
        <w:top w:val="none" w:sz="0" w:space="0" w:color="auto"/>
        <w:left w:val="none" w:sz="0" w:space="0" w:color="auto"/>
        <w:bottom w:val="none" w:sz="0" w:space="0" w:color="auto"/>
        <w:right w:val="none" w:sz="0" w:space="0" w:color="auto"/>
      </w:divBdr>
    </w:div>
    <w:div w:id="21350513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uTcoX8TGuBBkHPAD7zezESU7vg==">CgMxLjA4AHIhMUNVdHNncFJYc0FDa0ZkcTFjNzV2OHVXMjJUT1MyTlQ3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21</Pages>
  <Words>1244</Words>
  <Characters>7566</Characters>
  <Application>Microsoft Office Word</Application>
  <DocSecurity>0</DocSecurity>
  <Lines>122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seden akcinaroglu</dc:creator>
  <cp:lastModifiedBy>seden akcinaroglu</cp:lastModifiedBy>
  <cp:revision>13</cp:revision>
  <dcterms:created xsi:type="dcterms:W3CDTF">2024-11-01T01:44:00Z</dcterms:created>
  <dcterms:modified xsi:type="dcterms:W3CDTF">2025-01-07T13:06:00Z</dcterms:modified>
</cp:coreProperties>
</file>