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Реферат</w:t>
      </w:r>
      <w:r>
        <w:t xml:space="preserve"> </w:t>
      </w:r>
      <w:r>
        <w:t xml:space="preserve">на</w:t>
      </w:r>
      <w:r>
        <w:t xml:space="preserve"> </w:t>
      </w:r>
      <w:r>
        <w:t xml:space="preserve">тему</w:t>
      </w:r>
      <w:r>
        <w:t xml:space="preserve"> </w:t>
      </w:r>
      <w:r>
        <w:t xml:space="preserve">создание</w:t>
      </w:r>
      <w:r>
        <w:t xml:space="preserve"> </w:t>
      </w:r>
      <w:r>
        <w:t xml:space="preserve">и</w:t>
      </w:r>
      <w:r>
        <w:t xml:space="preserve"> </w:t>
      </w:r>
      <w:r>
        <w:t xml:space="preserve">функции</w:t>
      </w:r>
      <w:r>
        <w:t xml:space="preserve"> </w:t>
      </w:r>
      <w:r>
        <w:t xml:space="preserve">службы</w:t>
      </w:r>
      <w:r>
        <w:t xml:space="preserve"> </w:t>
      </w:r>
      <w:r>
        <w:t xml:space="preserve">информационной</w:t>
      </w:r>
      <w:r>
        <w:t xml:space="preserve"> </w:t>
      </w:r>
      <w:r>
        <w:t xml:space="preserve">безопасности</w:t>
      </w:r>
      <w:r>
        <w:t xml:space="preserve"> </w:t>
      </w:r>
      <w:r>
        <w:t xml:space="preserve">на</w:t>
      </w:r>
      <w:r>
        <w:t xml:space="preserve"> </w:t>
      </w:r>
      <w:r>
        <w:t xml:space="preserve">предприятии</w:t>
      </w:r>
    </w:p>
    <w:p>
      <w:pPr>
        <w:pStyle w:val="Subtitle"/>
      </w:pPr>
      <w:r>
        <w:t xml:space="preserve">Основы</w:t>
      </w:r>
      <w:r>
        <w:t xml:space="preserve"> </w:t>
      </w:r>
      <w:r>
        <w:t xml:space="preserve">информационной</w:t>
      </w:r>
      <w:r>
        <w:t xml:space="preserve"> </w:t>
      </w:r>
      <w:r>
        <w:t xml:space="preserve">безопасности</w:t>
      </w:r>
    </w:p>
    <w:p>
      <w:pPr>
        <w:pStyle w:val="Author"/>
      </w:pPr>
      <w:r>
        <w:t xml:space="preserve">Кузьмин</w:t>
      </w:r>
      <w:r>
        <w:t xml:space="preserve"> </w:t>
      </w:r>
      <w:r>
        <w:t xml:space="preserve">Егор</w:t>
      </w:r>
      <w:r>
        <w:t xml:space="preserve"> </w:t>
      </w:r>
      <w:r>
        <w:t xml:space="preserve">Витальевич,</w:t>
      </w:r>
      <w:r>
        <w:t xml:space="preserve"> </w:t>
      </w:r>
      <w:r>
        <w:t xml:space="preserve">НКАбд-01-23</w:t>
      </w:r>
    </w:p>
    <w:sdt>
      <w:sdtPr>
        <w:docPartObj>
          <w:docPartGallery w:val="Table of Contents"/>
          <w:docPartUnique/>
        </w:docPartObj>
      </w:sdtPr>
      <w:sdtContent>
        <w:p>
          <w:pPr>
            <w:pStyle w:val="TOCHeading"/>
          </w:pPr>
          <w:r>
            <w:t xml:space="preserve">Содержание</w:t>
          </w:r>
        </w:p>
        <w:p>
          <w:r>
            <w:fldChar w:fldCharType="begin" w:dirty="true"/>
            <w:instrText xml:space="preserve">TOC \o "1-3" \h \z \u</w:instrText>
            <w:fldChar w:fldCharType="separate"/>
            <w:fldChar w:fldCharType="end"/>
          </w:r>
        </w:p>
      </w:sdtContent>
    </w:sdt>
    <w:bookmarkStart w:id="20" w:name="цель-работы"/>
    <w:p>
      <w:pPr>
        <w:pStyle w:val="Heading1"/>
      </w:pPr>
      <w:r>
        <w:rPr>
          <w:rStyle w:val="SectionNumber"/>
        </w:rPr>
        <w:t xml:space="preserve">1</w:t>
      </w:r>
      <w:r>
        <w:tab/>
      </w:r>
      <w:r>
        <w:t xml:space="preserve">Цель работы</w:t>
      </w:r>
    </w:p>
    <w:p>
      <w:pPr>
        <w:pStyle w:val="FirstParagraph"/>
      </w:pPr>
      <w:r>
        <w:t xml:space="preserve">Изучить структуру, построение и функции службы безопасности на предприятии.</w:t>
      </w:r>
    </w:p>
    <w:bookmarkEnd w:id="20"/>
    <w:bookmarkStart w:id="21" w:name="введение"/>
    <w:p>
      <w:pPr>
        <w:pStyle w:val="Heading1"/>
      </w:pPr>
      <w:r>
        <w:rPr>
          <w:rStyle w:val="SectionNumber"/>
        </w:rPr>
        <w:t xml:space="preserve">2</w:t>
      </w:r>
      <w:r>
        <w:tab/>
      </w:r>
      <w:r>
        <w:t xml:space="preserve">Введение</w:t>
      </w:r>
    </w:p>
    <w:p>
      <w:pPr>
        <w:pStyle w:val="FirstParagraph"/>
      </w:pPr>
      <w:r>
        <w:t xml:space="preserve">Поскольку моя работа подготовлена в рамках изучения дисциплины «Основы информационной безопасности», я рассматривал вопрос создания службы безопасности именно в контексте своей образовательной сферы. В отличие от более традиционного подхода, где служба безопасности включает также непосредственно физическую охрану, кадровую проверку и транспортную защиту, в моей работе основное внимание уделяется именно службе информационной безопасности — как ключевому элементу современного предприятия, отвечающему за сохранность данных, непрерывность цифровых сервисов и соответствие нормативным требованиям</w:t>
      </w:r>
    </w:p>
    <w:bookmarkEnd w:id="21"/>
    <w:bookmarkStart w:id="24" w:name="понятие"/>
    <w:p>
      <w:pPr>
        <w:pStyle w:val="Heading1"/>
      </w:pPr>
      <w:r>
        <w:rPr>
          <w:rStyle w:val="SectionNumber"/>
        </w:rPr>
        <w:t xml:space="preserve">3</w:t>
      </w:r>
      <w:r>
        <w:tab/>
      </w:r>
      <w:r>
        <w:t xml:space="preserve">Понятие</w:t>
      </w:r>
    </w:p>
    <w:p>
      <w:pPr>
        <w:pStyle w:val="FirstParagraph"/>
      </w:pPr>
      <w:r>
        <w:t xml:space="preserve">Служба информационной безопасности — это структурное подразделение, чья ответственность выходит далеко за рамки внедрения технических средств защиты. Она проектирует, внедряет и развивает комплексную систему защиты информации, охватывающую не только цифровые каналы и системы, но и управленческие, организационные, юридические и поведенческие аспекты. СИБ должна предвидеть угрозы, снижать уязвимости, минимизировать ущерб и, главное, обеспечивать устойчивость бизнес-процессов в условиях современных рисков.</w:t>
      </w:r>
    </w:p>
    <w:bookmarkStart w:id="22" w:name="создание-службы"/>
    <w:p>
      <w:pPr>
        <w:pStyle w:val="Heading2"/>
      </w:pPr>
      <w:r>
        <w:rPr>
          <w:rStyle w:val="SectionNumber"/>
        </w:rPr>
        <w:t xml:space="preserve">3.1</w:t>
      </w:r>
      <w:r>
        <w:tab/>
      </w:r>
      <w:r>
        <w:t xml:space="preserve">Создание службы</w:t>
      </w:r>
    </w:p>
    <w:p>
      <w:pPr>
        <w:pStyle w:val="FirstParagraph"/>
      </w:pPr>
      <w:r>
        <w:t xml:space="preserve">Создание службы начинается с анализа рисков и построения архитектуры защиты. Первый шаг — это выявление информационных активов, которым может быть нанесён ущерб: базы данных, документы, цифровые сервисы, персональные сведения, интеллектуальная собственность. Затем проводится оценка возможных угроз, таких как несанкционированный доступ, вредоносное ПО, фишинг, целевые атаки, утечки, саботаж со стороны персонала или даже внешних подрядчиков.</w:t>
      </w:r>
    </w:p>
    <w:p>
      <w:pPr>
        <w:pStyle w:val="BodyText"/>
      </w:pPr>
      <w:r>
        <w:t xml:space="preserve">На основе исследования угроз и уязвимостей формируется соответсвенно модель рисков — с приоритетами, сценариями развития инцидентов и потенциальными последствиями. Эта работа зачастую, по крайней мере в крупных компаниях проводится в соответствии со стандартом ISO/IEC 27005, который как раз и регламентирует методику управления рисками информационной безопасности. Он включает процесс оценки, выбора способов воздействия (снижение, принятие, перенос, устранение) и регулярной переоценки на основе изменений в среде.</w:t>
      </w:r>
    </w:p>
    <w:p>
      <w:pPr>
        <w:pStyle w:val="BodyText"/>
      </w:pPr>
      <w:r>
        <w:t xml:space="preserve">Следующим этапом является разработка политики информационной безопасности — нормативного документа, описывающего цели, задачи, принципы и регламенты в области. Он определяет правила обращения с информацией, ответственность руководства и сотрудников, подходы к защите данных на всех этапах жизненного цикла. Без такого комплексного подхода невозможно выстроить ни организационную дисциплину, ни юридическую подоплеку для реагирования на инциденты.</w:t>
      </w:r>
    </w:p>
    <w:bookmarkEnd w:id="22"/>
    <w:bookmarkStart w:id="23" w:name="стуктура-и-деятельность"/>
    <w:p>
      <w:pPr>
        <w:pStyle w:val="Heading2"/>
      </w:pPr>
      <w:r>
        <w:rPr>
          <w:rStyle w:val="SectionNumber"/>
        </w:rPr>
        <w:t xml:space="preserve">3.2</w:t>
      </w:r>
      <w:r>
        <w:tab/>
      </w:r>
      <w:r>
        <w:t xml:space="preserve">Стуктура и деятельность</w:t>
      </w:r>
    </w:p>
    <w:p>
      <w:pPr>
        <w:pStyle w:val="FirstParagraph"/>
      </w:pPr>
      <w:r>
        <w:t xml:space="preserve">Структура самой службы зависит от масштаба и специфики предприятия. В небольших организациях её функции может выполнять один квалифицированный специалист. В средних и крупных компаниях создаются специализированные отделы, например, группа реагирования на инциденты, команда управления уязвимостями, подразделение контроля доступа, группа соответствия нормативным требованиям, аналитический отдел по угрозам. На верхнем уровне действует руководитель службы - (CISO), взаимодействующий с ИТ-отделом, юридическим отделом и топ-менеджментом.</w:t>
      </w:r>
    </w:p>
    <w:p>
      <w:pPr>
        <w:pStyle w:val="BodyText"/>
      </w:pPr>
      <w:r>
        <w:t xml:space="preserve">Основная деятельность службы ИБ — это организация непрерывного процесса защиты информации. Важнейшим направлением является обеспечение доступности, конфиденциальности и целостности (модель CIA). С этой целью на уровне инфраструктуры внедряются и поддерживаются технические средства: антивирусные комплексы, брандмауэры, системы обнаружения вторжений, системы предотвращения утечек данных, технологии резервного копирования и восстановления, инструменты многофакторной аутентификации. Однако здесь важно понимать: эти решения не работают в отрыве от организационного и процессного подхода.</w:t>
      </w:r>
    </w:p>
    <w:p>
      <w:pPr>
        <w:pStyle w:val="BodyText"/>
      </w:pPr>
      <w:r>
        <w:t xml:space="preserve">Не менее важным является соответственно построение процессов мониторинга и реагирования. В большинстве корпораций и крупных организаций создаётся Security Operations Center (SOC) — единый центр мониторинга, который круглосуточно отслеживает события в системах, анализирует логи, выявляет аномалии, определяет инциденты безопасности и координирует меры реагирования. Здесь используются платформы класса SIEM (Security Information and Event Management), которые позволяют собирать данные из разных источников, проводить корреляционный анализ и в автоматическом режиме выявлять угрозы. Но даже при наличии технологий решающим остаётся человеческий фактор - нужно уметь интерпретировать данные, принимать решения и документировать свои действия.</w:t>
      </w:r>
    </w:p>
    <w:bookmarkEnd w:id="23"/>
    <w:bookmarkEnd w:id="24"/>
    <w:bookmarkStart w:id="26" w:name="нормативная-сторона"/>
    <w:p>
      <w:pPr>
        <w:pStyle w:val="Heading1"/>
      </w:pPr>
      <w:r>
        <w:rPr>
          <w:rStyle w:val="SectionNumber"/>
        </w:rPr>
        <w:t xml:space="preserve">4</w:t>
      </w:r>
      <w:r>
        <w:tab/>
      </w:r>
      <w:r>
        <w:t xml:space="preserve">Нормативная сторона</w:t>
      </w:r>
    </w:p>
    <w:p>
      <w:pPr>
        <w:pStyle w:val="FirstParagraph"/>
      </w:pPr>
      <w:r>
        <w:t xml:space="preserve">Ещё один важнейший аспект — соблюдение международных и национальных нормативов. Законодательство и стандарты предъявляют к информационной безопасности всё более жёсткие требования. Среди ключевых нормативов следует отметить:</w:t>
      </w:r>
    </w:p>
    <w:p>
      <w:pPr>
        <w:pStyle w:val="SourceCode"/>
      </w:pPr>
      <w:r>
        <w:rPr>
          <w:rStyle w:val="VerbatimChar"/>
        </w:rPr>
        <w:t xml:space="preserve">•   ISO/IEC 27001:2022 —  ранее упомянутый международный стандарт по управлению информационной безопасностью. Внедрение этого стандарта означает, что предприятие системно и документированно управляет своей безопасностью. Кроме того, наличие сертификата ISO 27001 часто становится обязательным условием при работе с зарубежными партнёрами.</w:t>
      </w:r>
      <w:r>
        <w:br/>
      </w:r>
      <w:r>
        <w:br/>
      </w:r>
      <w:r>
        <w:rPr>
          <w:rStyle w:val="VerbatimChar"/>
        </w:rPr>
        <w:t xml:space="preserve">•   PCI DSS (Payment Card Industry Data Security Standard) — стандарт защиты платёжных данных. Обязателен для всех организаций, работающих с банковскими картами. Требует строгой защиты данных держателей карт, сегментации сетей, регулярного тестирования на проникновение, управления уязвимостями и шифрования при передаче информации. Несоблюдение требований может привести к огромным штрафам и потере права на обработку карт.</w:t>
      </w:r>
      <w:r>
        <w:br/>
      </w:r>
      <w:r>
        <w:br/>
      </w:r>
      <w:r>
        <w:rPr>
          <w:rStyle w:val="VerbatimChar"/>
        </w:rPr>
        <w:t xml:space="preserve">•   Федеральный закон №152-ФЗ «О персональных данных» — наш закон, определяющий правила сбора, хранения, обработки и защиты персональных данных. Компании обязаны реализовать меры, предотвращающие утечку и несанкционированный доступ к данным, назначить ответственного за защиту, вести учет инцидентов, обеспечить права субъектов данных.</w:t>
      </w:r>
      <w:r>
        <w:br/>
      </w:r>
      <w:r>
        <w:br/>
      </w:r>
      <w:r>
        <w:rPr>
          <w:rStyle w:val="VerbatimChar"/>
        </w:rPr>
        <w:t xml:space="preserve">•   GDPR (General Data Protection Regulation) — общеевропейский регламент, регламентирующий защиту персональных данных граждан ЕС. Его юрисдикция распространяется и на российские компании, если они работают с данными европейцев. GDPR требует прозрачности обработки данных, согласия субъектов, возможности удаления и передачи данных, а также обязательного уведомления о нарушении безопасности в течение 72 часов. </w:t>
      </w:r>
    </w:p>
    <w:bookmarkStart w:id="25" w:name="значение-службы"/>
    <w:p>
      <w:pPr>
        <w:pStyle w:val="Heading2"/>
      </w:pPr>
      <w:r>
        <w:rPr>
          <w:rStyle w:val="SectionNumber"/>
        </w:rPr>
        <w:t xml:space="preserve">4.1</w:t>
      </w:r>
      <w:r>
        <w:tab/>
      </w:r>
      <w:r>
        <w:t xml:space="preserve">Значение службы</w:t>
      </w:r>
    </w:p>
    <w:p>
      <w:pPr>
        <w:pStyle w:val="FirstParagraph"/>
      </w:pPr>
      <w:r>
        <w:t xml:space="preserve">Служба ИБ также разрабатывает и реализует процессы обучения и повышения осведомлённости персонала. Люди остаются одним из самых слабых звеньев: пользователи могут открывать фишинговые письма, использовать слабые пароли, нарушать регламенты работы с данными. Поэтому регулярное проведение тренингов, симуляций атак, тестирования знаний и формирование культуры ответственности за информацию — это обязательная часть деятельности.</w:t>
      </w:r>
    </w:p>
    <w:p>
      <w:pPr>
        <w:pStyle w:val="BodyText"/>
      </w:pPr>
      <w:r>
        <w:t xml:space="preserve">В дополнение, служба ИБ не только защищает, но и встраивается в стратегическое управление предприятием. Она участвует в оценке новых проектов, анализе поставщиков, выборе архитектурных решений, формировании бюджета, оценке цифровых рисков. Информационная безопасность перестаёт быть просто «затратной статьёй» — она становится фактором доверия, инвестиционной привлекательности и устойчивости бизнеса.</w:t>
      </w:r>
    </w:p>
    <w:bookmarkEnd w:id="25"/>
    <w:bookmarkEnd w:id="26"/>
    <w:bookmarkStart w:id="27" w:name="заключение"/>
    <w:p>
      <w:pPr>
        <w:pStyle w:val="Heading1"/>
      </w:pPr>
      <w:r>
        <w:rPr>
          <w:rStyle w:val="SectionNumber"/>
        </w:rPr>
        <w:t xml:space="preserve">5</w:t>
      </w:r>
      <w:r>
        <w:tab/>
      </w:r>
      <w:r>
        <w:t xml:space="preserve">Заключение</w:t>
      </w:r>
    </w:p>
    <w:p>
      <w:pPr>
        <w:pStyle w:val="FirstParagraph"/>
      </w:pPr>
      <w:r>
        <w:t xml:space="preserve">Таким образом, создание и эффективное функционирование службы информационной безопасности требует системного, обоснованного, технологически подкреплённого и управленчески зрелого подхода. Это не просто IT-отдел, а полноценная самостоятельная единица внутри компании. Без неё сегодня невозможно представить ни надёжную корпоративную среду, ни безопасное взаимодействие с клиентами, ни работу с партнерами. А значит, её наличие — это не просто выбор, а необходимость</w:t>
      </w:r>
    </w:p>
    <w:bookmarkEnd w:id="27"/>
    <w:bookmarkStart w:id="28" w:name="выводы"/>
    <w:p>
      <w:pPr>
        <w:pStyle w:val="Heading1"/>
      </w:pPr>
      <w:r>
        <w:rPr>
          <w:rStyle w:val="SectionNumber"/>
        </w:rPr>
        <w:t xml:space="preserve">6</w:t>
      </w:r>
      <w:r>
        <w:tab/>
      </w:r>
      <w:r>
        <w:t xml:space="preserve">Выводы</w:t>
      </w:r>
    </w:p>
    <w:p>
      <w:pPr>
        <w:pStyle w:val="FirstParagraph"/>
      </w:pPr>
      <w:r>
        <w:t xml:space="preserve">Разобрался в специфике и внутренней среде службы информационной безопасности, учел все форм факторы.</w:t>
      </w:r>
    </w:p>
    <w:bookmarkEnd w:id="28"/>
    <w:bookmarkStart w:id="29" w:name="список-литературы"/>
    <w:p>
      <w:pPr>
        <w:pStyle w:val="Heading1"/>
      </w:pPr>
      <w:r>
        <w:t xml:space="preserve">Список литературы</w:t>
      </w:r>
    </w:p>
    <w:p>
      <w:pPr>
        <w:numPr>
          <w:ilvl w:val="0"/>
          <w:numId w:val="1001"/>
        </w:numPr>
      </w:pPr>
      <w:r>
        <w:t xml:space="preserve">Касперский А.В. ИИнформационная безопасность: учебник/А.В. Касперский - М.:КНОРУС,2021</w:t>
      </w:r>
    </w:p>
    <w:p>
      <w:pPr>
        <w:numPr>
          <w:ilvl w:val="0"/>
          <w:numId w:val="1001"/>
        </w:numPr>
      </w:pPr>
      <w:r>
        <w:t xml:space="preserve">Positive Technologies - аналитические отчёты по киберугрозам, инфраструктурной безопасности и SOC-аналитике.</w:t>
      </w:r>
      <w:r>
        <w:t xml:space="preserve"> </w:t>
      </w:r>
      <w:r>
        <w:t xml:space="preserve">https://www.ptsecurity.com/ru-ru/analytics/</w:t>
      </w:r>
    </w:p>
    <w:p>
      <w:pPr>
        <w:numPr>
          <w:ilvl w:val="0"/>
          <w:numId w:val="1001"/>
        </w:numPr>
      </w:pPr>
      <w:r>
        <w:t xml:space="preserve">BI.ZONE Threat Intelligence Report – международная аналитика по цифровым угрозам и защите бизнеса.</w:t>
      </w:r>
      <w:r>
        <w:t xml:space="preserve"> </w:t>
      </w:r>
      <w:r>
        <w:t xml:space="preserve">https://bi.zone/research/</w:t>
      </w:r>
    </w:p>
    <w:p>
      <w:pPr>
        <w:numPr>
          <w:ilvl w:val="0"/>
          <w:numId w:val="1001"/>
        </w:numPr>
      </w:pPr>
      <w:r>
        <w:t xml:space="preserve">Национальный стандарт Российской Федерации ISO/IEC 27002-2022 – рекомендации по мерам ИБ. Применяется в дополнение к ISO/IEC 27001.</w:t>
      </w:r>
      <w:r>
        <w:t xml:space="preserve"> </w:t>
      </w:r>
      <w:r>
        <w:t xml:space="preserve">Доступен через портал Росстандарта:</w:t>
      </w:r>
      <w:r>
        <w:t xml:space="preserve"> </w:t>
      </w:r>
      <w:r>
        <w:t xml:space="preserve">https://protect.gost.ru</w:t>
      </w:r>
    </w:p>
    <w:p>
      <w:pPr>
        <w:numPr>
          <w:ilvl w:val="0"/>
          <w:numId w:val="1001"/>
        </w:numPr>
      </w:pPr>
      <w:r>
        <w:t xml:space="preserve">ГОСТ Р 57580.1-2017 – Безопасность финансовых (банковских) операций. Информационная безопасность организаций финансового сектора. Общие положения.</w:t>
      </w:r>
      <w:r>
        <w:t xml:space="preserve"> </w:t>
      </w:r>
      <w:r>
        <w:t xml:space="preserve">Описание и содержание:</w:t>
      </w:r>
      <w:r>
        <w:t xml:space="preserve"> </w:t>
      </w:r>
      <w:r>
        <w:t xml:space="preserve">https://protect.gost.ru (поиск по номеру: 57580.1-2017)</w:t>
      </w:r>
    </w:p>
    <w:p>
      <w:pPr>
        <w:pStyle w:val="FirstParagraph"/>
      </w:pPr>
      <w:r>
        <w:t xml:space="preserve">:::</w:t>
      </w:r>
    </w:p>
    <w:bookmarkEnd w:id="29"/>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ru-RU"/>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Реферат на тему создание и функции службы информационной безопасности на предприятии</dc:title>
  <dc:creator>Кузьмин Егор Витальевич, НКАбд-01-23</dc:creator>
  <dc:language>ru-RU</dc:language>
  <cp:keywords/>
  <dcterms:created xsi:type="dcterms:W3CDTF">2025-04-02T19:57:32Z</dcterms:created>
  <dcterms:modified xsi:type="dcterms:W3CDTF">2025-04-02T19:57:32Z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utoEqnLabels">
    <vt:lpwstr>False</vt:lpwstr>
  </property>
  <property fmtid="{D5CDD505-2E9C-101B-9397-08002B2CF9AE}" pid="3" name="autoSectionLabels">
    <vt:lpwstr>False</vt:lpwstr>
  </property>
  <property fmtid="{D5CDD505-2E9C-101B-9397-08002B2CF9AE}" pid="4" name="babel-lang">
    <vt:lpwstr>russian</vt:lpwstr>
  </property>
  <property fmtid="{D5CDD505-2E9C-101B-9397-08002B2CF9AE}" pid="5" name="babel-otherlangs">
    <vt:lpwstr>english</vt:lpwstr>
  </property>
  <property fmtid="{D5CDD505-2E9C-101B-9397-08002B2CF9AE}" pid="6" name="biblatex">
    <vt:lpwstr>True</vt:lpwstr>
  </property>
  <property fmtid="{D5CDD505-2E9C-101B-9397-08002B2CF9AE}" pid="7" name="biblatexoptions">
    <vt:lpwstr/>
  </property>
  <property fmtid="{D5CDD505-2E9C-101B-9397-08002B2CF9AE}" pid="8" name="biblio-style">
    <vt:lpwstr>gost-numeric</vt:lpwstr>
  </property>
  <property fmtid="{D5CDD505-2E9C-101B-9397-08002B2CF9AE}" pid="9" name="bibliography">
    <vt:lpwstr>bib/cite.bib</vt:lpwstr>
  </property>
  <property fmtid="{D5CDD505-2E9C-101B-9397-08002B2CF9AE}" pid="10" name="ccsDelim">
    <vt:lpwstr>, </vt:lpwstr>
  </property>
  <property fmtid="{D5CDD505-2E9C-101B-9397-08002B2CF9AE}" pid="11" name="ccsLabelSep">
    <vt:lpwstr> — </vt:lpwstr>
  </property>
  <property fmtid="{D5CDD505-2E9C-101B-9397-08002B2CF9AE}" pid="12" name="ccsTemplate">
    <vt:lpwstr>iccsLabelSept</vt:lpwstr>
  </property>
  <property fmtid="{D5CDD505-2E9C-101B-9397-08002B2CF9AE}" pid="13" name="chapDelim">
    <vt:lpwstr>.</vt:lpwstr>
  </property>
  <property fmtid="{D5CDD505-2E9C-101B-9397-08002B2CF9AE}" pid="14" name="chapters">
    <vt:lpwstr>False</vt:lpwstr>
  </property>
  <property fmtid="{D5CDD505-2E9C-101B-9397-08002B2CF9AE}" pid="15" name="chaptersDepth">
    <vt:lpwstr>1</vt:lpwstr>
  </property>
  <property fmtid="{D5CDD505-2E9C-101B-9397-08002B2CF9AE}" pid="16" name="codeBlockCaptions">
    <vt:lpwstr>False</vt:lpwstr>
  </property>
  <property fmtid="{D5CDD505-2E9C-101B-9397-08002B2CF9AE}" pid="17" name="cref">
    <vt:lpwstr>False</vt:lpwstr>
  </property>
  <property fmtid="{D5CDD505-2E9C-101B-9397-08002B2CF9AE}" pid="18" name="crossrefYaml">
    <vt:lpwstr>pandoc-crossref.yaml</vt:lpwstr>
  </property>
  <property fmtid="{D5CDD505-2E9C-101B-9397-08002B2CF9AE}" pid="19" name="csl">
    <vt:lpwstr>pandoc/csl/gost-r-7-0-5-2008-numeric.csl</vt:lpwstr>
  </property>
  <property fmtid="{D5CDD505-2E9C-101B-9397-08002B2CF9AE}" pid="20" name="documentclass">
    <vt:lpwstr>scrreprt</vt:lpwstr>
  </property>
  <property fmtid="{D5CDD505-2E9C-101B-9397-08002B2CF9AE}" pid="21" name="eqLabels">
    <vt:lpwstr>arabic</vt:lpwstr>
  </property>
  <property fmtid="{D5CDD505-2E9C-101B-9397-08002B2CF9AE}" pid="22" name="eqnBlockInlineMath">
    <vt:lpwstr>False</vt:lpwstr>
  </property>
  <property fmtid="{D5CDD505-2E9C-101B-9397-08002B2CF9AE}" pid="23" name="eqnBlockTemplate">
    <vt:lpwstr>ti</vt:lpwstr>
  </property>
  <property fmtid="{D5CDD505-2E9C-101B-9397-08002B2CF9AE}" pid="24" name="eqnIndexTemplate">
    <vt:lpwstr>(i)</vt:lpwstr>
  </property>
  <property fmtid="{D5CDD505-2E9C-101B-9397-08002B2CF9AE}" pid="25" name="eqnInlineTemplate">
    <vt:lpwstr>eequationNumberTeX{i}</vt:lpwstr>
  </property>
  <property fmtid="{D5CDD505-2E9C-101B-9397-08002B2CF9AE}" pid="26" name="eqnPrefix">
    <vt:lpwstr/>
  </property>
  <property fmtid="{D5CDD505-2E9C-101B-9397-08002B2CF9AE}" pid="27" name="eqnPrefixTemplate">
    <vt:lpwstr>p i</vt:lpwstr>
  </property>
  <property fmtid="{D5CDD505-2E9C-101B-9397-08002B2CF9AE}" pid="28" name="equationNumberTeX">
    <vt:lpwstr>\qquad</vt:lpwstr>
  </property>
  <property fmtid="{D5CDD505-2E9C-101B-9397-08002B2CF9AE}" pid="29" name="figLabels">
    <vt:lpwstr>arabic</vt:lpwstr>
  </property>
  <property fmtid="{D5CDD505-2E9C-101B-9397-08002B2CF9AE}" pid="30" name="figPrefix">
    <vt:lpwstr/>
  </property>
  <property fmtid="{D5CDD505-2E9C-101B-9397-08002B2CF9AE}" pid="31" name="figPrefixTemplate">
    <vt:lpwstr>p i</vt:lpwstr>
  </property>
  <property fmtid="{D5CDD505-2E9C-101B-9397-08002B2CF9AE}" pid="32" name="figureTemplate">
    <vt:lpwstr>figureTitle ititleDelim t</vt:lpwstr>
  </property>
  <property fmtid="{D5CDD505-2E9C-101B-9397-08002B2CF9AE}" pid="33" name="figureTitle">
    <vt:lpwstr>Рис.</vt:lpwstr>
  </property>
  <property fmtid="{D5CDD505-2E9C-101B-9397-08002B2CF9AE}" pid="34" name="fontsize">
    <vt:lpwstr>12pt</vt:lpwstr>
  </property>
  <property fmtid="{D5CDD505-2E9C-101B-9397-08002B2CF9AE}" pid="35" name="header-includes">
    <vt:lpwstr/>
  </property>
  <property fmtid="{D5CDD505-2E9C-101B-9397-08002B2CF9AE}" pid="36" name="indent">
    <vt:lpwstr>True</vt:lpwstr>
  </property>
  <property fmtid="{D5CDD505-2E9C-101B-9397-08002B2CF9AE}" pid="37" name="lastDelim">
    <vt:lpwstr>, </vt:lpwstr>
  </property>
  <property fmtid="{D5CDD505-2E9C-101B-9397-08002B2CF9AE}" pid="38" name="linestretch">
    <vt:lpwstr>1.5</vt:lpwstr>
  </property>
  <property fmtid="{D5CDD505-2E9C-101B-9397-08002B2CF9AE}" pid="39" name="linkReferences">
    <vt:lpwstr>False</vt:lpwstr>
  </property>
  <property fmtid="{D5CDD505-2E9C-101B-9397-08002B2CF9AE}" pid="40" name="listItemTitleDelim">
    <vt:lpwstr>.</vt:lpwstr>
  </property>
  <property fmtid="{D5CDD505-2E9C-101B-9397-08002B2CF9AE}" pid="41" name="listingTemplate">
    <vt:lpwstr>listingTitle ititleDelim t</vt:lpwstr>
  </property>
  <property fmtid="{D5CDD505-2E9C-101B-9397-08002B2CF9AE}" pid="42" name="listingTitle">
    <vt:lpwstr>Листинг</vt:lpwstr>
  </property>
  <property fmtid="{D5CDD505-2E9C-101B-9397-08002B2CF9AE}" pid="43" name="listings">
    <vt:lpwstr>False</vt:lpwstr>
  </property>
  <property fmtid="{D5CDD505-2E9C-101B-9397-08002B2CF9AE}" pid="44" name="lof">
    <vt:lpwstr>True</vt:lpwstr>
  </property>
  <property fmtid="{D5CDD505-2E9C-101B-9397-08002B2CF9AE}" pid="45" name="lofItemTemplate">
    <vt:lpwstr>lofItemTitleilistItemTitleDelimt </vt:lpwstr>
  </property>
  <property fmtid="{D5CDD505-2E9C-101B-9397-08002B2CF9AE}" pid="46" name="lofItemTitle">
    <vt:lpwstr/>
  </property>
  <property fmtid="{D5CDD505-2E9C-101B-9397-08002B2CF9AE}" pid="47" name="lofTitle">
    <vt:lpwstr>Список иллюстраций</vt:lpwstr>
  </property>
  <property fmtid="{D5CDD505-2E9C-101B-9397-08002B2CF9AE}" pid="48" name="lolItemTemplate">
    <vt:lpwstr>lolItemTitleilistItemTitleDelimt </vt:lpwstr>
  </property>
  <property fmtid="{D5CDD505-2E9C-101B-9397-08002B2CF9AE}" pid="49" name="lolItemTitle">
    <vt:lpwstr/>
  </property>
  <property fmtid="{D5CDD505-2E9C-101B-9397-08002B2CF9AE}" pid="50" name="lolTitle">
    <vt:lpwstr>Листинги</vt:lpwstr>
  </property>
  <property fmtid="{D5CDD505-2E9C-101B-9397-08002B2CF9AE}" pid="51" name="lot">
    <vt:lpwstr>True</vt:lpwstr>
  </property>
  <property fmtid="{D5CDD505-2E9C-101B-9397-08002B2CF9AE}" pid="52" name="lotItemTemplate">
    <vt:lpwstr>lotItemTitleilistItemTitleDelimt </vt:lpwstr>
  </property>
  <property fmtid="{D5CDD505-2E9C-101B-9397-08002B2CF9AE}" pid="53" name="lotItemTitle">
    <vt:lpwstr/>
  </property>
  <property fmtid="{D5CDD505-2E9C-101B-9397-08002B2CF9AE}" pid="54" name="lotTitle">
    <vt:lpwstr>Список таблиц</vt:lpwstr>
  </property>
  <property fmtid="{D5CDD505-2E9C-101B-9397-08002B2CF9AE}" pid="55" name="lstLabels">
    <vt:lpwstr>arabic</vt:lpwstr>
  </property>
  <property fmtid="{D5CDD505-2E9C-101B-9397-08002B2CF9AE}" pid="56" name="lstPrefix">
    <vt:lpwstr/>
  </property>
  <property fmtid="{D5CDD505-2E9C-101B-9397-08002B2CF9AE}" pid="57" name="lstPrefixTemplate">
    <vt:lpwstr>p i</vt:lpwstr>
  </property>
  <property fmtid="{D5CDD505-2E9C-101B-9397-08002B2CF9AE}" pid="58" name="mainfont">
    <vt:lpwstr>PT Serif</vt:lpwstr>
  </property>
  <property fmtid="{D5CDD505-2E9C-101B-9397-08002B2CF9AE}" pid="59" name="mainfontoptions">
    <vt:lpwstr>Ligatures=TeX</vt:lpwstr>
  </property>
  <property fmtid="{D5CDD505-2E9C-101B-9397-08002B2CF9AE}" pid="60" name="monofont">
    <vt:lpwstr>PT Mono</vt:lpwstr>
  </property>
  <property fmtid="{D5CDD505-2E9C-101B-9397-08002B2CF9AE}" pid="61" name="monofontoptions">
    <vt:lpwstr>Scale=MatchLowercase,Scale=0.9</vt:lpwstr>
  </property>
  <property fmtid="{D5CDD505-2E9C-101B-9397-08002B2CF9AE}" pid="62" name="nameInLink">
    <vt:lpwstr>False</vt:lpwstr>
  </property>
  <property fmtid="{D5CDD505-2E9C-101B-9397-08002B2CF9AE}" pid="63" name="numberSections">
    <vt:lpwstr>False</vt:lpwstr>
  </property>
  <property fmtid="{D5CDD505-2E9C-101B-9397-08002B2CF9AE}" pid="64" name="pairDelim">
    <vt:lpwstr>, </vt:lpwstr>
  </property>
  <property fmtid="{D5CDD505-2E9C-101B-9397-08002B2CF9AE}" pid="65" name="papersize">
    <vt:lpwstr>a4</vt:lpwstr>
  </property>
  <property fmtid="{D5CDD505-2E9C-101B-9397-08002B2CF9AE}" pid="66" name="polyglossia-lang">
    <vt:lpwstr/>
  </property>
  <property fmtid="{D5CDD505-2E9C-101B-9397-08002B2CF9AE}" pid="67" name="polyglossia-otherlangs">
    <vt:lpwstr/>
  </property>
  <property fmtid="{D5CDD505-2E9C-101B-9397-08002B2CF9AE}" pid="68" name="rangeDelim">
    <vt:lpwstr>-</vt:lpwstr>
  </property>
  <property fmtid="{D5CDD505-2E9C-101B-9397-08002B2CF9AE}" pid="69" name="refDelim">
    <vt:lpwstr>, </vt:lpwstr>
  </property>
  <property fmtid="{D5CDD505-2E9C-101B-9397-08002B2CF9AE}" pid="70" name="refIndexTemplate">
    <vt:lpwstr>isuf</vt:lpwstr>
  </property>
  <property fmtid="{D5CDD505-2E9C-101B-9397-08002B2CF9AE}" pid="71" name="romanfont">
    <vt:lpwstr>PT Serif</vt:lpwstr>
  </property>
  <property fmtid="{D5CDD505-2E9C-101B-9397-08002B2CF9AE}" pid="72" name="romanfontoptions">
    <vt:lpwstr>Ligatures=TeX</vt:lpwstr>
  </property>
  <property fmtid="{D5CDD505-2E9C-101B-9397-08002B2CF9AE}" pid="73" name="sansfont">
    <vt:lpwstr>PT Sans</vt:lpwstr>
  </property>
  <property fmtid="{D5CDD505-2E9C-101B-9397-08002B2CF9AE}" pid="74" name="sansfontoptions">
    <vt:lpwstr>Ligatures=TeX,Scale=MatchLowercase</vt:lpwstr>
  </property>
  <property fmtid="{D5CDD505-2E9C-101B-9397-08002B2CF9AE}" pid="75" name="secHeaderDelim">
    <vt:lpwstr> </vt:lpwstr>
  </property>
  <property fmtid="{D5CDD505-2E9C-101B-9397-08002B2CF9AE}" pid="76" name="secHeaderTemplate">
    <vt:lpwstr>isecHeaderDelim[n]t</vt:lpwstr>
  </property>
  <property fmtid="{D5CDD505-2E9C-101B-9397-08002B2CF9AE}" pid="77" name="secLabels">
    <vt:lpwstr>arabic</vt:lpwstr>
  </property>
  <property fmtid="{D5CDD505-2E9C-101B-9397-08002B2CF9AE}" pid="78" name="secPrefix">
    <vt:lpwstr/>
  </property>
  <property fmtid="{D5CDD505-2E9C-101B-9397-08002B2CF9AE}" pid="79" name="secPrefixTemplate">
    <vt:lpwstr>p i</vt:lpwstr>
  </property>
  <property fmtid="{D5CDD505-2E9C-101B-9397-08002B2CF9AE}" pid="80" name="sectionsDepth">
    <vt:lpwstr>0</vt:lpwstr>
  </property>
  <property fmtid="{D5CDD505-2E9C-101B-9397-08002B2CF9AE}" pid="81" name="subfigGrid">
    <vt:lpwstr>False</vt:lpwstr>
  </property>
  <property fmtid="{D5CDD505-2E9C-101B-9397-08002B2CF9AE}" pid="82" name="subfigLabels">
    <vt:lpwstr>alpha a</vt:lpwstr>
  </property>
  <property fmtid="{D5CDD505-2E9C-101B-9397-08002B2CF9AE}" pid="83" name="subfigureChildTemplate">
    <vt:lpwstr>i</vt:lpwstr>
  </property>
  <property fmtid="{D5CDD505-2E9C-101B-9397-08002B2CF9AE}" pid="84" name="subfigureRefIndexTemplate">
    <vt:lpwstr>isuf (s)</vt:lpwstr>
  </property>
  <property fmtid="{D5CDD505-2E9C-101B-9397-08002B2CF9AE}" pid="85" name="subfigureTemplate">
    <vt:lpwstr>figureTitle ititleDelim t. ccs</vt:lpwstr>
  </property>
  <property fmtid="{D5CDD505-2E9C-101B-9397-08002B2CF9AE}" pid="86" name="subtitle">
    <vt:lpwstr>Основы информационной безопасности</vt:lpwstr>
  </property>
  <property fmtid="{D5CDD505-2E9C-101B-9397-08002B2CF9AE}" pid="87" name="tableEqns">
    <vt:lpwstr>False</vt:lpwstr>
  </property>
  <property fmtid="{D5CDD505-2E9C-101B-9397-08002B2CF9AE}" pid="88" name="tableTemplate">
    <vt:lpwstr>tableTitle ititleDelim t</vt:lpwstr>
  </property>
  <property fmtid="{D5CDD505-2E9C-101B-9397-08002B2CF9AE}" pid="89" name="tableTitle">
    <vt:lpwstr>Таблица</vt:lpwstr>
  </property>
  <property fmtid="{D5CDD505-2E9C-101B-9397-08002B2CF9AE}" pid="90" name="tblLabels">
    <vt:lpwstr>arabic</vt:lpwstr>
  </property>
  <property fmtid="{D5CDD505-2E9C-101B-9397-08002B2CF9AE}" pid="91" name="tblPrefix">
    <vt:lpwstr/>
  </property>
  <property fmtid="{D5CDD505-2E9C-101B-9397-08002B2CF9AE}" pid="92" name="tblPrefixTemplate">
    <vt:lpwstr>p i</vt:lpwstr>
  </property>
  <property fmtid="{D5CDD505-2E9C-101B-9397-08002B2CF9AE}" pid="93" name="titleDelim">
    <vt:lpwstr>:</vt:lpwstr>
  </property>
  <property fmtid="{D5CDD505-2E9C-101B-9397-08002B2CF9AE}" pid="94" name="toc">
    <vt:lpwstr>True</vt:lpwstr>
  </property>
  <property fmtid="{D5CDD505-2E9C-101B-9397-08002B2CF9AE}" pid="95" name="toc-depth">
    <vt:lpwstr>2</vt:lpwstr>
  </property>
  <property fmtid="{D5CDD505-2E9C-101B-9397-08002B2CF9AE}" pid="96" name="toc-title">
    <vt:lpwstr>Содержание</vt:lpwstr>
  </property>
</Properties>
</file>