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erif CJK SC" w:hAnsi="Noto Serif CJK SC" w:eastAsia="Noto Serif CJK SC"/>
          <w:b/>
          <w:color w:val="11110F"/>
          <w:sz w:val="68"/>
        </w:rPr>
        <w:t>VonishOCR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1110F"/>
          <w:sz w:val="36"/>
        </w:rPr>
        <w:t>掌灯取证品牌精神下的灯下证据桌 UI 最终详细设计文档</w:t>
      </w:r>
    </w:p>
    <w:p>
      <w:pPr>
        <w:spacing w:before="320"/>
        <w:jc w:val="center"/>
      </w:pPr>
      <w:r>
        <w:rPr>
          <w:rFonts w:ascii="Noto Serif CJK SC" w:hAnsi="Noto Serif CJK SC" w:eastAsia="Noto Serif CJK SC"/>
          <w:b w:val="0"/>
          <w:color w:val="8FF6D2"/>
          <w:sz w:val="28"/>
        </w:rPr>
        <w:t>光在手里，不是独自永恒。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8FF6D2"/>
            <w:tcBorders>
              <w:top w:val="single" w:sz="12" w:space="0" w:color="8FF6D2"/>
              <w:left w:val="single" w:sz="12" w:space="0" w:color="8FF6D2"/>
              <w:bottom w:val="single" w:sz="12" w:space="0" w:color="8FF6D2"/>
              <w:right w:val="single" w:sz="12" w:space="0" w:color="8FF6D2"/>
            </w:tcBorders>
          </w:tcPr>
          <w:p>
            <w:pPr>
              <w:jc w:val="center"/>
            </w:pPr>
            <w:r>
              <w:rPr>
                <w:rFonts w:ascii="JetBrains Mono" w:hAnsi="JetBrains Mono" w:eastAsia="JetBrains Mono"/>
                <w:b/>
                <w:color w:val="11110F"/>
                <w:sz w:val="18"/>
              </w:rPr>
              <w:t>掌灯青  #8FF6D2</w:t>
            </w:r>
          </w:p>
        </w:tc>
        <w:tc>
          <w:tcPr>
            <w:tcW w:type="dxa" w:w="3362"/>
            <w:shd w:fill="E7E1D0"/>
            <w:tcBorders>
              <w:top w:val="single" w:sz="12" w:space="0" w:color="E7E1D0"/>
              <w:left w:val="single" w:sz="12" w:space="0" w:color="E7E1D0"/>
              <w:bottom w:val="single" w:sz="12" w:space="0" w:color="E7E1D0"/>
              <w:right w:val="single" w:sz="12" w:space="0" w:color="E7E1D0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0F"/>
                <w:sz w:val="18"/>
              </w:rPr>
              <w:t>纸骨  #E7E1D0</w:t>
            </w:r>
          </w:p>
        </w:tc>
        <w:tc>
          <w:tcPr>
            <w:tcW w:type="dxa" w:w="3362"/>
            <w:shd w:fill="11110F"/>
            <w:tcBorders>
              <w:top w:val="single" w:sz="12" w:space="0" w:color="11110F"/>
              <w:left w:val="single" w:sz="12" w:space="0" w:color="11110F"/>
              <w:bottom w:val="single" w:sz="12" w:space="0" w:color="11110F"/>
              <w:right w:val="single" w:sz="12" w:space="0" w:color="11110F"/>
            </w:tcBorders>
          </w:tcPr>
          <w:p>
            <w:pPr>
              <w:jc w:val="center"/>
            </w:pPr>
            <w:r>
              <w:rPr>
                <w:rFonts w:ascii="JetBrains Mono" w:hAnsi="JetBrains Mono" w:eastAsia="JetBrains Mono"/>
                <w:b/>
                <w:color w:val="E7E1D0"/>
                <w:sz w:val="18"/>
              </w:rPr>
              <w:t>炭黑  #11110F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11110F"/>
          <w:sz w:val="21"/>
        </w:rPr>
        <w:t>交付对象：品牌、产品、前端、交互与文案协同使用</w:t>
      </w:r>
    </w:p>
    <w:p>
      <w:pPr>
        <w:jc w:val="center"/>
      </w:pPr>
      <w:r>
        <w:rPr>
          <w:rFonts w:ascii="JetBrains Mono" w:hAnsi="JetBrains Mono" w:eastAsia="JetBrains Mono"/>
          <w:b w:val="0"/>
          <w:color w:val="11110F"/>
          <w:sz w:val="19"/>
        </w:rPr>
        <w:t>版本：Final v1.1 Revised    日期：2026-05-04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0. 决策摘要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本文件只收束一个最终方向：以“掌灯取证”为品牌精神，以“灯下证据桌”为主界面布局。VonishOCR 不把 OCR 包装为远处的自动奇迹，而把它定义为用户手中可控、可见、可复核的取证工具。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最终界面不是一个把文件吞进去的黑箱，而是一张被局部照亮的证据桌：左侧是三层工具抽屉，中间是被接管的纸张废墟，右侧是可审计的文本结果，底部持续显示本地边界与算力读数。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设计决策</w:t>
            </w:r>
          </w:p>
        </w:tc>
        <w:tc>
          <w:tcPr>
            <w:tcW w:type="dxa" w:w="6350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最终答案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品牌精神</w:t>
            </w:r>
          </w:p>
        </w:tc>
        <w:tc>
          <w:tcPr>
            <w:tcW w:type="dxa" w:w="635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掌灯取证：手中有光，但不替用户宣判。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UI 布局</w:t>
            </w:r>
          </w:p>
        </w:tc>
        <w:tc>
          <w:tcPr>
            <w:tcW w:type="dxa" w:w="635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灯下证据桌：工具抽屉、证据台面、复核文本、状态读数四区协作。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核心三色</w:t>
            </w:r>
          </w:p>
        </w:tc>
        <w:tc>
          <w:tcPr>
            <w:tcW w:type="dxa" w:w="635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#8FF6D2、纸骨 #E7E1D0、炭黑 #11110F。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字体系统</w:t>
            </w:r>
          </w:p>
        </w:tc>
        <w:tc>
          <w:tcPr>
            <w:tcW w:type="dxa" w:w="635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Serif SC 标题、Noto Sans SC 正文、JetBrains Mono 读数。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产品承诺</w:t>
            </w:r>
          </w:p>
        </w:tc>
        <w:tc>
          <w:tcPr>
            <w:tcW w:type="dxa" w:w="635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文件留在本机，算力消耗可见，错误被标出，结果等待复核。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1. 品牌精神：掌灯取证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掌灯取证不是“看起来有光”的视觉动作，而是一套产品伦理。光在手里，意味着算力、文件、错误与判断都不离开用户的控制范围。取证，意味着界面给出证据链，而不是只给出一段漂亮文本。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1.1 核心句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VonishOCR 是一盏握在掌心的取证灯，照亮废墟里的字，也照亮自己会出错的边界。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1.2 五条精神原则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原则</w:t>
            </w:r>
          </w:p>
        </w:tc>
        <w:tc>
          <w:tcPr>
            <w:tcW w:type="dxa" w:w="6803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落地含义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主权优先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任何状态都要让用户确认：文件没有离开设备，模型运行发生在本机。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拆解可见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识别不是魔法。界面要把上传、接管、识别、复核的转变以可理解的层次呈现。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错误诚实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低置信、断裂、倾斜、识别疑点必须可见，不能被干净输出掩盖。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废墟亲和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模糊、折痕、透视变形不是脏输入，而是真实世界的材料。界面要接纳它们。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工具抽屉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极速、标准、专业不是套餐，是三层可取用工具。用户一眼知道该拿哪一层。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2. 灯下证据桌：信息架构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主界面采用四区结构。每一区都有明确的精神职能，不做纯装饰。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区域</w:t>
            </w:r>
          </w:p>
        </w:tc>
        <w:tc>
          <w:tcPr>
            <w:tcW w:type="dxa" w:w="170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位置</w:t>
            </w:r>
          </w:p>
        </w:tc>
        <w:tc>
          <w:tcPr>
            <w:tcW w:type="dxa" w:w="272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内容</w:t>
            </w:r>
          </w:p>
        </w:tc>
        <w:tc>
          <w:tcPr>
            <w:tcW w:type="dxa" w:w="272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精神职能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A. 工具抽屉</w:t>
            </w:r>
          </w:p>
        </w:tc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左侧固定栏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承载模型三档、文件队列、本地边界说明。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让用户感到“我在选择工具”，不是被系统分配套餐。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B. 证据台面</w:t>
            </w:r>
          </w:p>
        </w:tc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中央主区域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承载上传文件、原图预览、识别进行态。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把纸张废墟放在桌上，尊重输入的破损与真实。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C. 复核文本</w:t>
            </w:r>
          </w:p>
        </w:tc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右侧或下方结果区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承载识别文本、置信度、疑点、可编辑区域。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让结果成为证据，而不是宣判。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D. 状态读数</w:t>
            </w:r>
          </w:p>
        </w:tc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底部细条或面板脚部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显示 LOCAL、显存、模型、耗时、页数、错误计数。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把算力和边界从黑箱里拉出来。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2.1 桌面端布局蓝图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before="120" w:after="120"/>
            </w:pP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工具抽屉              │ 证据台面                         │ 复核文本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极速 / 标准 / 专业    │ 文件预览、上传态、识别焦点       │ 文本结果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本地边界              │ 纸张折痕、倾斜、低置信定位       │ 疑点列表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LOCAL HELD    GPU 2.4GB    MODEL: STANDARD    REVIEW NEEDED 3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4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桌面端优先保持三栏。证据台面是视觉主角，工具抽屉和复核文本为它服务。底部状态读数贯穿全局，像桌沿上的刻度。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2.2 窄屏布局蓝图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before="120" w:after="120"/>
            </w:pP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┌─────────────────────────────┐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顶部工具抽屉：极速 标准 专业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├─────────────────────────────┤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证据台面                   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文件预览 / 识别焦点         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├─────────────────────────────┤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复核文本                   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├─────────────────────────────┤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│ LOCAL HELD / GPU / MODEL     │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└─────────────────────────────┘</w:t>
              <w:br/>
            </w:r>
          </w:p>
        </w:tc>
      </w:tr>
    </w:tbl>
    <w:p>
      <w:pPr>
        <w:spacing w:after="4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窄屏不压缩证据台面。工具抽屉上移，复核文本下沉，状态读数保留。核心顺序为：选择工具、接管文件、看到证据、复核结果。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2.3 精确尺寸与响应式规范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本节为前端切图与布局实现的冻结规范。桌面端保持三栏证据桌结构；平板端压缩两侧面板但不压扁中央证据台面；窄屏端改为单栏垂直堆叠，并保留底部状态读数。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19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断点</w:t>
            </w:r>
          </w:p>
        </w:tc>
        <w:tc>
          <w:tcPr>
            <w:tcW w:type="dxa" w:w="158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范围</w:t>
            </w:r>
          </w:p>
        </w:tc>
        <w:tc>
          <w:tcPr>
            <w:tcW w:type="dxa" w:w="130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页面边距</w:t>
            </w:r>
          </w:p>
        </w:tc>
        <w:tc>
          <w:tcPr>
            <w:tcW w:type="dxa" w:w="130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栏间距</w:t>
            </w:r>
          </w:p>
        </w:tc>
        <w:tc>
          <w:tcPr>
            <w:tcW w:type="dxa" w:w="4365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尺寸规则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桌面端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≥1024px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32px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24px</w:t>
            </w:r>
          </w:p>
        </w:tc>
        <w:tc>
          <w:tcPr>
            <w:tcW w:type="dxa" w:w="436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左侧工具抽屉固定 280px；右侧复核文本固定 320px；中央证据台面自适应剩余宽度。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平板端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768px - 1023px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24px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24px</w:t>
            </w:r>
          </w:p>
        </w:tc>
        <w:tc>
          <w:tcPr>
            <w:tcW w:type="dxa" w:w="436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左侧工具抽屉收缩为 240px；右侧复核文本收缩为 280px；中央证据台面自适应。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窄屏端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&lt;768px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16px</w:t>
            </w:r>
          </w:p>
        </w:tc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16px</w:t>
            </w:r>
          </w:p>
        </w:tc>
        <w:tc>
          <w:tcPr>
            <w:tcW w:type="dxa" w:w="436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三栏改为单栏垂直堆叠；顶部工具抽屉横向滚动或折叠，高度 120px；证据台面全宽；复核文本全宽；状态读数固定在底部 40px 高。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before="120" w:after="120"/>
            </w:pP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.app-shell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min-height: 100vh;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padding: 32px;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display: grid;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grid-template-columns: 280px minmax(0, 1fr) 320px;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gap: 24px;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@media (max-width: 1023px) and (min-width: 768px)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.app-shell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padding: 24px;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grid-template-columns: 240px minmax(0, 1fr) 280px;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gap: 24px;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@media (max-width: 767px)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.app-shell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padding: 16px;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padding-bottom: 56px;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display: flex;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flex-direction: column;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gap: 16px;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.tool-drawer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height: 120px;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overflow-x: auto;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.evidence-stage,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.review-text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width: 100%;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.status-readout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position: fixed;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left: 0;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right: 0;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bottom: 0;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  height: 40px;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3. 色彩系统：三色成规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最终 UI 只使用三种基础色。层级通过透明度、边框、留白和字体重量建立，不新增基础色。这样能保持“掌灯取证”的克制，也让界面从一开始就避开装饰性堆叠。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0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名称</w:t>
            </w:r>
          </w:p>
        </w:tc>
        <w:tc>
          <w:tcPr>
            <w:tcW w:type="dxa" w:w="158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HEX</w:t>
            </w:r>
          </w:p>
        </w:tc>
        <w:tc>
          <w:tcPr>
            <w:tcW w:type="dxa" w:w="311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精神来源</w:t>
            </w:r>
          </w:p>
        </w:tc>
        <w:tc>
          <w:tcPr>
            <w:tcW w:type="dxa" w:w="272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界面职责</w:t>
            </w:r>
          </w:p>
        </w:tc>
      </w:tr>
      <w:tr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#8FF6D2</w:t>
            </w:r>
          </w:p>
        </w:tc>
        <w:tc>
          <w:tcPr>
            <w:tcW w:type="dxa" w:w="311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手中灯光接触纸面的第一圈亮边。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选中态、本地确认、识别焦点、复核定位。</w:t>
            </w:r>
          </w:p>
        </w:tc>
      </w:tr>
      <w:tr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#E7E1D0</w:t>
            </w:r>
          </w:p>
        </w:tc>
        <w:tc>
          <w:tcPr>
            <w:tcW w:type="dxa" w:w="311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被压平后重新进入秩序的纸面。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正文、证据纸面、边框、结果文本、说明文字。</w:t>
            </w:r>
          </w:p>
        </w:tc>
      </w:tr>
      <w:tr>
        <w:tc>
          <w:tcPr>
            <w:tcW w:type="dxa" w:w="130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炭黑</w:t>
            </w:r>
          </w:p>
        </w:tc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#11110F</w:t>
            </w:r>
          </w:p>
        </w:tc>
        <w:tc>
          <w:tcPr>
            <w:tcW w:type="dxa" w:w="311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灯光照不到的证据桌深处。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全局背景、抽屉底、文字反色、台面边界。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3.1 透明度阶梯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为了避免引入新色，所有辅助层级使用三色的透明度版本。开发实现可以使用 rgba 或 8 位 HEX。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Token</w:t>
            </w:r>
          </w:p>
        </w:tc>
        <w:tc>
          <w:tcPr>
            <w:tcW w:type="dxa" w:w="181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值</w:t>
            </w:r>
          </w:p>
        </w:tc>
        <w:tc>
          <w:tcPr>
            <w:tcW w:type="dxa" w:w="4535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100%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#8FF6D2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当前焦点、主选择、关键确认。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32%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#8FF6D252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呼吸光晕、识别中脉冲边界。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16%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#8FF6D229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悬停背景、轻提示。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 100%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#E7E1D0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主要文字、纸面。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 56%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#E7E1D08F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次级说明、未选状态文字。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 18%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#E7E1D02E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边框、分隔线。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炭黑 100%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#11110F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页面底色。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炭黑 88%</w:t>
            </w:r>
          </w:p>
        </w:tc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#11110FE0</w:t>
            </w:r>
          </w:p>
        </w:tc>
        <w:tc>
          <w:tcPr>
            <w:tcW w:type="dxa" w:w="45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浮层遮罩、局部压暗。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4. 字体系统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字体承担三种不同身份：标题是纸面与档案的重量，正文是长期使用的清楚，读数是算力与路径的可审计。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层级</w:t>
            </w:r>
          </w:p>
        </w:tc>
        <w:tc>
          <w:tcPr>
            <w:tcW w:type="dxa" w:w="192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字体族</w:t>
            </w:r>
          </w:p>
        </w:tc>
        <w:tc>
          <w:tcPr>
            <w:tcW w:type="dxa" w:w="294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使用范围</w:t>
            </w:r>
          </w:p>
        </w:tc>
        <w:tc>
          <w:tcPr>
            <w:tcW w:type="dxa" w:w="272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精神理由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标题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Serif SC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页面主标题、空状态主句、关键确认语。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让文字有纸面和碑刻的重量，承载“从废墟中读出意志”。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正文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Sans SC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按钮、标签、说明、结果区辅助信息。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让界面长时间可读，不抢走文件本身的注意力。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读数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JetBrains Mono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显存、模型、LOCAL、路径、耗时、置信度。</w:t>
            </w:r>
          </w:p>
        </w:tc>
        <w:tc>
          <w:tcPr>
            <w:tcW w:type="dxa" w:w="272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让系统状态变成仪表，不再是隐藏在远处的流程。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4.1 字号层级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58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层级</w:t>
            </w:r>
          </w:p>
        </w:tc>
        <w:tc>
          <w:tcPr>
            <w:tcW w:type="dxa" w:w="1020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字号</w:t>
            </w:r>
          </w:p>
        </w:tc>
        <w:tc>
          <w:tcPr>
            <w:tcW w:type="dxa" w:w="192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字体</w:t>
            </w:r>
          </w:p>
        </w:tc>
        <w:tc>
          <w:tcPr>
            <w:tcW w:type="dxa" w:w="4082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说明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Display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30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Serif SC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页面主标题：光在手里，不替你宣判。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State Title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22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Serif SC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空状态、结果完成、复核提示的主句。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Panel Title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16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Sans SC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面板标题。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Body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14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Sans SC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正文、说明、列表。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Assist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13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Noto Sans SC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次级提示、空状态说明。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Readout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11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JetBrains Mono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模型、显存、状态。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Micro</w:t>
            </w:r>
          </w:p>
        </w:tc>
        <w:tc>
          <w:tcPr>
            <w:tcW w:type="dxa" w:w="102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10</w:t>
            </w:r>
          </w:p>
        </w:tc>
        <w:tc>
          <w:tcPr>
            <w:tcW w:type="dxa" w:w="192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JetBrains Mono</w:t>
            </w:r>
          </w:p>
        </w:tc>
        <w:tc>
          <w:tcPr>
            <w:tcW w:type="dxa" w:w="4082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状态短标签。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5. 关键组件规范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组件</w:t>
            </w:r>
          </w:p>
        </w:tc>
        <w:tc>
          <w:tcPr>
            <w:tcW w:type="dxa" w:w="3969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视觉规则</w:t>
            </w:r>
          </w:p>
        </w:tc>
        <w:tc>
          <w:tcPr>
            <w:tcW w:type="dxa" w:w="294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精神职能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应用外壳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炭黑背景，纸骨边框，主内容区不漂浮。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让用户进入一张稳定桌面。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工具抽屉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固定在左侧或顶部。三档模型以抽屉层表达，不使用促销式卡片。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强调“拿工具”而非“买套餐”。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模型档位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选中项使用掌灯青底、炭黑字。未选项使用纸骨 56%。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让当前工具被灯照亮。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证据台面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纸骨区域承载原图，允许倾斜、折痕、边缘缺损被视觉保留。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尊重真实输入。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识别焦点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掌灯青细边框或小范围光晕，只照当前局部。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光是责任范围，不是装饰。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复核文本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结果文本靠纸骨色建立可读性，疑点使用掌灯青描边与读数标记。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给出证据链。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状态读数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JetBrains Mono，小字号，贴近底部或面板脚部。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让算力和边界可见。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主按钮</w:t>
            </w:r>
          </w:p>
        </w:tc>
        <w:tc>
          <w:tcPr>
            <w:tcW w:type="dxa" w:w="396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掌灯青底、炭黑字、短动词。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明确行动，不制造兴奋噪音。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5.1 圆角与边框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圆角上限为 8px。小控件 4px，文件预览 5px，面板 8px。这个锋利度让界面保留工具边界，避免软化成无责任的装饰物。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边框使用纸骨 18% 到 32%。当前焦点边框使用掌灯青 100%。所有面板边界必须可见，保证文件、模型、结果各自拥有清楚的责任范围。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5.2 间距与网格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项目</w:t>
            </w:r>
          </w:p>
        </w:tc>
        <w:tc>
          <w:tcPr>
            <w:tcW w:type="dxa" w:w="124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值</w:t>
            </w:r>
          </w:p>
        </w:tc>
        <w:tc>
          <w:tcPr>
            <w:tcW w:type="dxa" w:w="555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基础网格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4</w:t>
            </w:r>
          </w:p>
        </w:tc>
        <w:tc>
          <w:tcPr>
            <w:tcW w:type="dxa" w:w="5556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所有间距由 4 生长。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控件内距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8 / 12</w:t>
            </w:r>
          </w:p>
        </w:tc>
        <w:tc>
          <w:tcPr>
            <w:tcW w:type="dxa" w:w="5556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按钮、标签、读数块。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组件间距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16 / 24</w:t>
            </w:r>
          </w:p>
        </w:tc>
        <w:tc>
          <w:tcPr>
            <w:tcW w:type="dxa" w:w="5556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面板内部组距、栏间距。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页面边距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32</w:t>
            </w:r>
          </w:p>
        </w:tc>
        <w:tc>
          <w:tcPr>
            <w:tcW w:type="dxa" w:w="5556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桌面端主内容呼吸。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大段分隔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48</w:t>
            </w:r>
          </w:p>
        </w:tc>
        <w:tc>
          <w:tcPr>
            <w:tcW w:type="dxa" w:w="5556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空状态、完成态、结果交接。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6. 四个核心状态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6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状态</w:t>
            </w:r>
          </w:p>
        </w:tc>
        <w:tc>
          <w:tcPr>
            <w:tcW w:type="dxa" w:w="294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视觉构成</w:t>
            </w:r>
          </w:p>
        </w:tc>
        <w:tc>
          <w:tcPr>
            <w:tcW w:type="dxa" w:w="260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情绪目标</w:t>
            </w:r>
          </w:p>
        </w:tc>
        <w:tc>
          <w:tcPr>
            <w:tcW w:type="dxa" w:w="204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推荐文案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空状态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安静的炭黑桌面，中间有纸骨虚线框与一句标题。</w:t>
            </w:r>
          </w:p>
        </w:tc>
        <w:tc>
          <w:tcPr>
            <w:tcW w:type="dxa" w:w="260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用户尚未交出文件。界面等待，不催促。</w:t>
            </w:r>
          </w:p>
        </w:tc>
        <w:tc>
          <w:tcPr>
            <w:tcW w:type="dxa" w:w="204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把第一张废墟放到桌上。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上传中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纸骨文件块进入证据台面，轻微倾斜，底部出现 LOCAL HELD。</w:t>
            </w:r>
          </w:p>
        </w:tc>
        <w:tc>
          <w:tcPr>
            <w:tcW w:type="dxa" w:w="260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系统接管文件，但不吞没文件。</w:t>
            </w:r>
          </w:p>
        </w:tc>
        <w:tc>
          <w:tcPr>
            <w:tcW w:type="dxa" w:w="204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接管文件，未离开设备。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识别中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局部掌灯青焦点缓慢呼吸，碎片向稳定行沉降。</w:t>
            </w:r>
          </w:p>
        </w:tc>
        <w:tc>
          <w:tcPr>
            <w:tcW w:type="dxa" w:w="260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算力正在工作，范围可见。</w:t>
            </w:r>
          </w:p>
        </w:tc>
        <w:tc>
          <w:tcPr>
            <w:tcW w:type="dxa" w:w="204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正在拆解，等待复核。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结果展示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左侧原图，右侧文本，疑点以掌灯青框与读数标记。</w:t>
            </w:r>
          </w:p>
        </w:tc>
        <w:tc>
          <w:tcPr>
            <w:tcW w:type="dxa" w:w="260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文本被交还给用户，系统不替用户盖章。</w:t>
            </w:r>
          </w:p>
        </w:tc>
        <w:tc>
          <w:tcPr>
            <w:tcW w:type="dxa" w:w="204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可编辑，可搜索，可追溯。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6.1 低置信复核状态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低置信字段使用双层可见性，但不新增基础色。外层由掌灯青 100% 形成 1px 实线边框，内层由掌灯青 16% 形成轻微底色填充。文字本身不改变：在纸骨底上使用炭黑，在炭黑底上使用纸骨 100%。</w:t>
      </w:r>
    </w:p>
    <w:p>
      <w:pPr>
        <w:pStyle w:val="ListBullet"/>
        <w:spacing w:line="283" w:lineRule="auto" w:after="60"/>
      </w:pPr>
      <w:r>
        <w:rPr>
          <w:rFonts w:ascii="Noto Sans CJK SC" w:hAnsi="Noto Sans CJK SC" w:eastAsia="Noto Sans CJK SC"/>
          <w:b w:val="0"/>
          <w:color w:val="11110F"/>
          <w:sz w:val="20"/>
        </w:rPr>
        <w:t>默认态：外层掌灯青 100% 1px 实线边框；内层掌灯青 16% 底色填充，值为 #8FF6D229。</w:t>
      </w:r>
    </w:p>
    <w:p>
      <w:pPr>
        <w:pStyle w:val="ListBullet"/>
        <w:spacing w:line="283" w:lineRule="auto" w:after="60"/>
      </w:pPr>
      <w:r>
        <w:rPr>
          <w:rFonts w:ascii="Noto Sans CJK SC" w:hAnsi="Noto Sans CJK SC" w:eastAsia="Noto Sans CJK SC"/>
          <w:b w:val="0"/>
          <w:color w:val="11110F"/>
          <w:sz w:val="20"/>
        </w:rPr>
        <w:t>悬停态：掌灯青 32% 底色填充，值为 #8FF6D252；边框保持掌灯青 100% 1px 实线。</w:t>
      </w:r>
    </w:p>
    <w:p>
      <w:pPr>
        <w:pStyle w:val="ListBullet"/>
        <w:spacing w:line="283" w:lineRule="auto" w:after="60"/>
      </w:pPr>
      <w:r>
        <w:rPr>
          <w:rFonts w:ascii="Noto Sans CJK SC" w:hAnsi="Noto Sans CJK SC" w:eastAsia="Noto Sans CJK SC"/>
          <w:b w:val="0"/>
          <w:color w:val="11110F"/>
          <w:sz w:val="20"/>
        </w:rPr>
        <w:t>禁止项：不得使用红色、陶土色、琥珀色作为低置信标记；不得增加发光光晕或外阴影；不得改变边框粗细。</w:t>
      </w:r>
    </w:p>
    <w:p>
      <w:pPr>
        <w:pStyle w:val="ListBullet"/>
        <w:spacing w:line="283" w:lineRule="auto" w:after="60"/>
      </w:pPr>
      <w:r>
        <w:rPr>
          <w:rFonts w:ascii="Noto Sans CJK SC" w:hAnsi="Noto Sans CJK SC" w:eastAsia="Noto Sans CJK SC"/>
          <w:b w:val="0"/>
          <w:color w:val="11110F"/>
          <w:sz w:val="20"/>
        </w:rPr>
        <w:t>低置信字段必须能跳回原图坐标，并显示置信度、模型档位、页码与原图片段。</w:t>
      </w:r>
    </w:p>
    <w:p>
      <w:pPr>
        <w:pStyle w:val="ListBullet"/>
        <w:spacing w:line="283" w:lineRule="auto" w:after="60"/>
      </w:pPr>
      <w:r>
        <w:rPr>
          <w:rFonts w:ascii="Noto Sans CJK SC" w:hAnsi="Noto Sans CJK SC" w:eastAsia="Noto Sans CJK SC"/>
          <w:b w:val="0"/>
          <w:color w:val="11110F"/>
          <w:sz w:val="20"/>
        </w:rPr>
        <w:t>用户确认后，疑点边框从掌灯青 100% 降到纸骨 18%，内层填充移除，保留审计痕迹。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4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状态</w:t>
            </w:r>
          </w:p>
        </w:tc>
        <w:tc>
          <w:tcPr>
            <w:tcW w:type="dxa" w:w="238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边框</w:t>
            </w:r>
          </w:p>
        </w:tc>
        <w:tc>
          <w:tcPr>
            <w:tcW w:type="dxa" w:w="226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填充</w:t>
            </w:r>
          </w:p>
        </w:tc>
        <w:tc>
          <w:tcPr>
            <w:tcW w:type="dxa" w:w="198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文字</w:t>
            </w:r>
          </w:p>
        </w:tc>
        <w:tc>
          <w:tcPr>
            <w:tcW w:type="dxa" w:w="243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说明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默认</w:t>
            </w:r>
          </w:p>
        </w:tc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#8FF6D2 / 1px / solid</w:t>
            </w:r>
          </w:p>
        </w:tc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16% #8FF6D229</w:t>
            </w:r>
          </w:p>
        </w:tc>
        <w:tc>
          <w:tcPr>
            <w:tcW w:type="dxa" w:w="198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随背景保持纸骨 100% 或炭黑</w:t>
            </w:r>
          </w:p>
        </w:tc>
        <w:tc>
          <w:tcPr>
            <w:tcW w:type="dxa" w:w="243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在纸骨底色上提供第二层可见性。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悬停</w:t>
            </w:r>
          </w:p>
        </w:tc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#8FF6D2 / 1px / solid</w:t>
            </w:r>
          </w:p>
        </w:tc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 32% #8FF6D252</w:t>
            </w:r>
          </w:p>
        </w:tc>
        <w:tc>
          <w:tcPr>
            <w:tcW w:type="dxa" w:w="198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随背景保持纸骨 100% 或炭黑</w:t>
            </w:r>
          </w:p>
        </w:tc>
        <w:tc>
          <w:tcPr>
            <w:tcW w:type="dxa" w:w="243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提升可见性，不增加阴影。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已确认</w:t>
            </w:r>
          </w:p>
        </w:tc>
        <w:tc>
          <w:tcPr>
            <w:tcW w:type="dxa" w:w="238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 18% #E7E1D02E / 1px / solid</w:t>
            </w:r>
          </w:p>
        </w:tc>
        <w:tc>
          <w:tcPr>
            <w:tcW w:type="dxa" w:w="226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无填充</w:t>
            </w:r>
          </w:p>
        </w:tc>
        <w:tc>
          <w:tcPr>
            <w:tcW w:type="dxa" w:w="198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随背景保持纸骨 100% 或炭黑</w:t>
            </w:r>
          </w:p>
        </w:tc>
        <w:tc>
          <w:tcPr>
            <w:tcW w:type="dxa" w:w="243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疑点被处理，审计痕迹仍在。</w:t>
            </w:r>
          </w:p>
        </w:tc>
      </w:tr>
    </w:tbl>
    <w:p>
      <w:pPr>
        <w:spacing w:after="8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低置信字段 CSS 示例：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before="120" w:after="120"/>
            </w:pP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.low-confidence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border: 1px solid #8FF6D2;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background: #8FF6D229;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color: inherit;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border-radius: 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.low-confidence:hover,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.low-confidence:focus-visible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border: 1px solid #8FF6D2;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background: #8FF6D252;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outline: none;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.low-confidence.is-confirmed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border: 1px solid #E7E1D02E;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background: transparent;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7. 动效气质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动效遵循“靠近、停顿、确认”。禁止把识别过程做成单纯横向扫过，因为横扫会暗示机器宣判。VonishOCR 的动作应该是灯靠近纸面，碎片沉降，系统留出复核时间。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场景</w:t>
            </w:r>
          </w:p>
        </w:tc>
        <w:tc>
          <w:tcPr>
            <w:tcW w:type="dxa" w:w="4195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动作</w:t>
            </w:r>
          </w:p>
        </w:tc>
        <w:tc>
          <w:tcPr>
            <w:tcW w:type="dxa" w:w="2948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含义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空状态</w:t>
            </w:r>
          </w:p>
        </w:tc>
        <w:tc>
          <w:tcPr>
            <w:tcW w:type="dxa" w:w="419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纸骨虚线框保持静止，掌灯青只在焦点可用时出现。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工具在等待用户授权。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上传中</w:t>
            </w:r>
          </w:p>
        </w:tc>
        <w:tc>
          <w:tcPr>
            <w:tcW w:type="dxa" w:w="419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文件块轻微沉降，不弹跳，不旋转炫示。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纸张被放上桌面。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识别中</w:t>
            </w:r>
          </w:p>
        </w:tc>
        <w:tc>
          <w:tcPr>
            <w:tcW w:type="dxa" w:w="419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掌灯青焦点以 2.4s 到 3.2s 慢呼吸，碎片分批对齐。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拆解发生，证据正在被照亮。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结果展示</w:t>
            </w:r>
          </w:p>
        </w:tc>
        <w:tc>
          <w:tcPr>
            <w:tcW w:type="dxa" w:w="419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文本行依照证据来源顺序显露，疑点慢半拍出现。</w:t>
            </w:r>
          </w:p>
        </w:tc>
        <w:tc>
          <w:tcPr>
            <w:tcW w:type="dxa" w:w="2948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系统先交出结果，再邀请复核。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8. 文案规则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文案要像工具说明和证据记录，不像营销口号。语气冷静、短句、可追责。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类型</w:t>
            </w:r>
          </w:p>
        </w:tc>
        <w:tc>
          <w:tcPr>
            <w:tcW w:type="dxa" w:w="3061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文案</w:t>
            </w:r>
          </w:p>
        </w:tc>
        <w:tc>
          <w:tcPr>
            <w:tcW w:type="dxa" w:w="4309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理由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推荐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文件未离开此设备。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直接确认主权边界。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推荐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低置信字段等待复核。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诚实描述系统边界。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推荐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已用标准层拆解 3 页。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把模型档位和工作量说清楚。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避免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一键完美识别。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过度承诺，否认错误。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避免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上传云端更快。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违背主权立场。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避免</w:t>
            </w:r>
          </w:p>
        </w:tc>
        <w:tc>
          <w:tcPr>
            <w:tcW w:type="dxa" w:w="3061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智能自动修复全部问题。</w:t>
            </w:r>
          </w:p>
        </w:tc>
        <w:tc>
          <w:tcPr>
            <w:tcW w:type="dxa" w:w="430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隐藏人工复核责任。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  <w:b/>
          <w:color w:val="11110F"/>
          <w:sz w:val="30"/>
        </w:rPr>
        <w:t>8.1 空状态文案最终定稿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三个备选文案都能成立，但它们的重心不同。最终选择必须服务“灯下证据桌”：用户把文件交到桌上，系统接管但不吞没。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680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编号</w:t>
            </w:r>
          </w:p>
        </w:tc>
        <w:tc>
          <w:tcPr>
            <w:tcW w:type="dxa" w:w="2835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备选文案</w:t>
            </w:r>
          </w:p>
        </w:tc>
        <w:tc>
          <w:tcPr>
            <w:tcW w:type="dxa" w:w="4649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判断</w:t>
            </w:r>
          </w:p>
        </w:tc>
        <w:tc>
          <w:tcPr>
            <w:tcW w:type="dxa" w:w="1247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结论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把第一张废墟放到桌上</w:t>
            </w:r>
          </w:p>
        </w:tc>
        <w:tc>
          <w:tcPr>
            <w:tcW w:type="dxa" w:w="464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最符合证据桌隐喻，保留废墟亲和力，并让上传动作变成一次有边界的交接。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最终选定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文件未离开此设备，开始接管</w:t>
            </w:r>
          </w:p>
        </w:tc>
        <w:tc>
          <w:tcPr>
            <w:tcW w:type="dxa" w:w="464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主权感强，但更像状态提示，缺少空状态的画面记忆。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不选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本地引擎就绪，等待第一张纸</w:t>
            </w:r>
          </w:p>
        </w:tc>
        <w:tc>
          <w:tcPr>
            <w:tcW w:type="dxa" w:w="4649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清楚、稳妥，但“引擎”让感受偏向内部机制，品牌诗性不足。</w:t>
            </w:r>
          </w:p>
        </w:tc>
        <w:tc>
          <w:tcPr>
            <w:tcW w:type="dxa" w:w="1247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不选</w:t>
            </w:r>
          </w:p>
        </w:tc>
      </w:tr>
    </w:tbl>
    <w:p>
      <w:pPr>
        <w:spacing w:after="8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最终主文案：把第一张废墟放到桌上。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最终副文案（Small / 13px）：文件将在本机接管与拆解，识别结果会标出需要复核的疑点。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选择理由：这句把“废墟亲和”“证据桌布局”“本地接管”三者合在一起。它不像命令，更像邀请用户把真实世界的破损材料交给工具；副文案补足本地运行与复核边界，避免主文案过于诗性。</w:t>
      </w: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9. CSS Design Tokens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以下 token 是最终实现的最小可行集合。基础色只有三种，其他层级通过透明度表达。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before="120" w:after="120"/>
            </w:pP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:root {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--hand-light: #8FF6D2;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--paper-bone: #E7E1D0;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--coal-black: #11110F;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--hand-light-32: #8FF6D252;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--hand-light-16: #8FF6D229;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--paper-bone-56: #E7E1D08F;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--paper-bone-32: #E7E1D052;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--paper-bone-18: #E7E1D02E;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--coal-black-88: #11110FE0;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--font-title: "Noto Serif SC", "Noto Serif CJK SC", serif;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--font-body: "Noto Sans SC", "Noto Sans CJK SC", sans-serif;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--font-readout: "JetBrains Mono", "Noto Sans Mono CJK SC", monospace;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--radius-xs: 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--radius-doc: 5px;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--radius-panel: 8px;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 xml:space="preserve">  --space-base: 4px;</w:t>
              <w:br/>
            </w:r>
            <w:r>
              <w:rPr>
                <w:rFonts w:ascii="JetBrains Mono" w:hAnsi="JetBrains Mono" w:eastAsia="JetBrains Mono"/>
                <w:b w:val="0"/>
                <w:color w:val="E7E1D0"/>
                <w:sz w:val="17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10. 前端落地检查表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检查项</w:t>
            </w:r>
          </w:p>
        </w:tc>
        <w:tc>
          <w:tcPr>
            <w:tcW w:type="dxa" w:w="6803"/>
            <w:shd w:fill="11110F"/>
            <w:tcBorders>
              <w:top w:val="single" w:sz="8" w:space="0" w:color="11110F"/>
              <w:left w:val="single" w:sz="8" w:space="0" w:color="11110F"/>
              <w:bottom w:val="single" w:sz="8" w:space="0" w:color="11110F"/>
              <w:right w:val="single" w:sz="8" w:space="0" w:color="11110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E1D0"/>
                <w:sz w:val="19"/>
              </w:rPr>
              <w:t>验收标准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颜色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页面是否只使用掌灯青、纸骨、炭黑及其透明度。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字体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标题、正文、读数是否分别进入三个字体轨道。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主权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每个核心状态是否持续显示本地边界。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复核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低置信字段是否具备掌灯青 1px 边框与 16% 填充，并能从文本跳回原图证据。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工具箱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三档模型是否被表达为抽屉层，而非套餐卡。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废墟亲和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模糊、倾斜、折痕输入是否被尊重展示。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圆角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所有圆角是否小于或等于 8px。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响应式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桌面、平板、窄屏是否符合第 2.3 节尺寸规范。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动效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识别动作是否是呼吸、沉降、确认，而非横向宣判。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文案</w:t>
            </w:r>
          </w:p>
        </w:tc>
        <w:tc>
          <w:tcPr>
            <w:tcW w:type="dxa" w:w="6803"/>
            <w:vAlign w:val="center"/>
            <w:tcBorders>
              <w:top w:val="single" w:sz="4" w:space="0" w:color="D0C7B3"/>
              <w:left w:val="single" w:sz="4" w:space="0" w:color="D0C7B3"/>
              <w:bottom w:val="single" w:sz="4" w:space="0" w:color="D0C7B3"/>
              <w:right w:val="single" w:sz="4" w:space="0" w:color="D0C7B3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1110F"/>
                <w:sz w:val="18"/>
              </w:rPr>
              <w:t>是否避免过度承诺，是否承认错误和复核。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Noto Serif CJK SC" w:hAnsi="Noto Serif CJK SC" w:eastAsia="Noto Serif CJK SC"/>
          <w:b/>
          <w:color w:val="11110F"/>
          <w:sz w:val="40"/>
        </w:rPr>
        <w:t>11. 最终界面定义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灯下证据桌的最终界面，应让用户在 3 秒内理解三件事：第一，文件在我手里；第二，模型是我的工具；第三，结果需要且允许被我复核。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关闭应用一小时后，用户应该记住的不是某个按钮，而是一幅画面：一张炭黑证据桌，一页纸骨文件，一束掌灯青的光停在可疑文字上。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color w:val="11110F"/>
          <w:sz w:val="21"/>
        </w:rPr>
        <w:t>这就是 VonishOCR 的最终视觉承诺：照亮证据，不粉饰结果。</w:t>
      </w:r>
    </w:p>
    <w:sectPr w:rsidR="00FC693F" w:rsidRPr="0006063C" w:rsidSect="00034616">
      <w:foot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etBrains Mono" w:hAnsi="JetBrains Mono" w:eastAsia="JetBrains Mono"/>
        <w:b w:val="0"/>
        <w:color w:val="11110F"/>
        <w:sz w:val="16"/>
      </w:rPr>
      <w:t>VonishOCR Final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1110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111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1110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VonishOCR 掌灯取证 灯下证据桌 最终详细设计文档 修订版</dc:title>
  <dc:subject>Brand and UI design system</dc:subject>
  <dc:creator>OpenAI</dc:creator>
  <cp:keywords>VonishOCR, 掌灯取证, 灯下证据桌, UI, brand</cp:keywords>
  <dc:description/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