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E3A5F"/>
        <w:spacing w:before="0" w:after="200"/>
        <w:jc w:val="center"/>
        <w:rPr/>
      </w:pPr>
      <w:r>
        <w:rPr>
          <w:rFonts w:eastAsia="Arial" w:cs="Arial"/>
          <w:b/>
          <w:bCs/>
          <w:caps/>
          <w:color w:val="FFFFFF"/>
          <w:sz w:val="24"/>
          <w:szCs w:val="24"/>
        </w:rPr>
        <w:t xml:space="preserve">── </w:t>
      </w:r>
      <w:r>
        <w:rPr>
          <w:rFonts w:eastAsia="Arial" w:cs="Arial"/>
          <w:b/>
          <w:bCs/>
          <w:caps/>
          <w:color w:val="FFFFFF"/>
          <w:sz w:val="24"/>
          <w:szCs w:val="24"/>
        </w:rPr>
        <w:t>UVJETI KORIŠTENJA — BOSANSKI ──</w:t>
      </w:r>
    </w:p>
    <w:p>
      <w:pPr>
        <w:pStyle w:val="Normal"/>
        <w:spacing w:before="0" w:after="80"/>
        <w:jc w:val="center"/>
        <w:rPr/>
      </w:pPr>
      <w:r>
        <w:rPr>
          <w:rFonts w:eastAsia="Arial" w:cs="Arial"/>
          <w:b/>
          <w:bCs/>
          <w:color w:val="1E3A5F"/>
          <w:sz w:val="48"/>
          <w:szCs w:val="48"/>
        </w:rPr>
        <w:t>UVJETI KORIŠTENJA</w:t>
      </w:r>
    </w:p>
    <w:p>
      <w:pPr>
        <w:pStyle w:val="Normal"/>
        <w:spacing w:before="0" w:after="40"/>
        <w:jc w:val="center"/>
        <w:rPr/>
      </w:pPr>
      <w:r>
        <w:rPr>
          <w:rFonts w:eastAsia="Arial" w:cs="Arial"/>
          <w:color w:val="2E75B6"/>
          <w:sz w:val="22"/>
          <w:szCs w:val="22"/>
        </w:rPr>
        <w:t>ei-apps Platforma</w:t>
      </w:r>
    </w:p>
    <w:p>
      <w:pPr>
        <w:pStyle w:val="Normal"/>
        <w:spacing w:before="0" w:after="160"/>
        <w:rPr/>
      </w:pPr>
      <w:r>
        <w:rPr/>
      </w:r>
    </w:p>
    <w:p>
      <w:pPr>
        <w:pStyle w:val="Heading1"/>
        <w:spacing w:before="360" w:after="120"/>
        <w:rPr/>
      </w:pPr>
      <w:r>
        <w:rPr>
          <w:rFonts w:eastAsia="Arial" w:cs="Arial"/>
          <w:b/>
          <w:bCs/>
          <w:color w:val="1E3A5F"/>
          <w:sz w:val="28"/>
          <w:szCs w:val="28"/>
        </w:rPr>
        <w:t>1. Prihvatanje uvjeta</w:t>
      </w:r>
    </w:p>
    <w:p>
      <w:pPr>
        <w:pStyle w:val="Normal"/>
        <w:spacing w:before="0" w:after="100"/>
        <w:jc w:val="both"/>
        <w:rPr/>
      </w:pPr>
      <w:r>
        <w:rPr>
          <w:rFonts w:eastAsia="Arial" w:cs="Arial"/>
          <w:color w:val="000000"/>
          <w:sz w:val="20"/>
          <w:szCs w:val="20"/>
        </w:rPr>
        <w:t>Koristenjem bilo koje web aplikacije, usluge ili sadrzaja dostupnih putem platforme ei-apps (u daljem tekstu: Platforma), ukljucujuci ali ne ogranicavajuci se na aplikaciju Evidencija rada i sve buduce aplikacije objavljene na Platformi, potvrdujete da ste procitali, razumjeli i prihvatili ove Uvjete koristenja u cjelosti.</w:t>
      </w:r>
    </w:p>
    <w:p>
      <w:pPr>
        <w:pStyle w:val="Normal"/>
        <w:spacing w:before="0" w:after="100"/>
        <w:jc w:val="both"/>
        <w:rPr/>
      </w:pPr>
      <w:r>
        <w:rPr>
          <w:rFonts w:eastAsia="Arial" w:cs="Arial"/>
          <w:color w:val="000000"/>
          <w:sz w:val="20"/>
          <w:szCs w:val="20"/>
        </w:rPr>
        <w:t>Ako ne prihvatate ove uvjete, molimo vas da prestanete koristiti Platformu i sve njene aplikacije.</w:t>
      </w:r>
    </w:p>
    <w:p>
      <w:pPr>
        <w:pStyle w:val="Normal"/>
        <w:spacing w:before="0" w:after="100"/>
        <w:jc w:val="both"/>
        <w:rPr/>
      </w:pPr>
      <w:r>
        <w:rPr>
          <w:rFonts w:eastAsia="Arial" w:cs="Arial"/>
          <w:color w:val="000000"/>
          <w:sz w:val="20"/>
          <w:szCs w:val="20"/>
        </w:rPr>
        <w:t>Ovi uvjeti odnose se na sve kategorije korisnika, uključujući fizička lica, obrtnike, mala i srednja poduzeća, kao i veće organizacije.</w:t>
      </w:r>
    </w:p>
    <w:p>
      <w:pPr>
        <w:pStyle w:val="Heading1"/>
        <w:spacing w:before="360" w:after="120"/>
        <w:rPr/>
      </w:pPr>
      <w:r>
        <w:rPr>
          <w:rFonts w:eastAsia="Arial" w:cs="Arial"/>
          <w:b/>
          <w:bCs/>
          <w:color w:val="1E3A5F"/>
          <w:sz w:val="28"/>
          <w:szCs w:val="28"/>
        </w:rPr>
        <w:t>2. Opis Platforme i usluga</w:t>
      </w:r>
    </w:p>
    <w:p>
      <w:pPr>
        <w:pStyle w:val="Normal"/>
        <w:spacing w:before="0" w:after="100"/>
        <w:jc w:val="both"/>
        <w:rPr/>
      </w:pPr>
      <w:r>
        <w:rPr>
          <w:rFonts w:eastAsia="Arial" w:cs="Arial"/>
          <w:color w:val="000000"/>
          <w:sz w:val="20"/>
          <w:szCs w:val="20"/>
        </w:rPr>
        <w:t>ei-apps je SaaS platforma koja pruža jednu ili više web aplikacija i usluga namijenjenih poslovnom upravljanju i automatizaciji procesa. Trenutno dostupne, kao i buduće aplikacije na Platformi, mogu uključivati:</w:t>
      </w:r>
    </w:p>
    <w:p>
      <w:pPr>
        <w:pStyle w:val="ListParagraph"/>
        <w:numPr>
          <w:ilvl w:val="0"/>
          <w:numId w:val="4"/>
        </w:numPr>
        <w:spacing w:before="0" w:after="60"/>
        <w:rPr/>
      </w:pPr>
      <w:r>
        <w:rPr>
          <w:rFonts w:eastAsia="Arial" w:cs="Arial"/>
          <w:color w:val="000000"/>
          <w:sz w:val="20"/>
          <w:szCs w:val="20"/>
        </w:rPr>
        <w:t>Evidenciju radnog vremena i usluga</w:t>
      </w:r>
    </w:p>
    <w:p>
      <w:pPr>
        <w:pStyle w:val="ListParagraph"/>
        <w:numPr>
          <w:ilvl w:val="0"/>
          <w:numId w:val="2"/>
        </w:numPr>
        <w:spacing w:before="0" w:after="60"/>
        <w:rPr/>
      </w:pPr>
      <w:r>
        <w:rPr>
          <w:rFonts w:eastAsia="Arial" w:cs="Arial"/>
          <w:color w:val="000000"/>
          <w:sz w:val="20"/>
          <w:szCs w:val="20"/>
        </w:rPr>
        <w:t>Upravljanje terminima, klijentima i zaposlenicima</w:t>
      </w:r>
    </w:p>
    <w:p>
      <w:pPr>
        <w:pStyle w:val="ListParagraph"/>
        <w:numPr>
          <w:ilvl w:val="0"/>
          <w:numId w:val="2"/>
        </w:numPr>
        <w:spacing w:before="0" w:after="60"/>
        <w:rPr/>
      </w:pPr>
      <w:r>
        <w:rPr>
          <w:rFonts w:eastAsia="Arial" w:cs="Arial"/>
          <w:color w:val="000000"/>
          <w:sz w:val="20"/>
          <w:szCs w:val="20"/>
        </w:rPr>
        <w:t>Generisanje izvještaja i statistike</w:t>
      </w:r>
    </w:p>
    <w:p>
      <w:pPr>
        <w:pStyle w:val="ListParagraph"/>
        <w:numPr>
          <w:ilvl w:val="0"/>
          <w:numId w:val="2"/>
        </w:numPr>
        <w:spacing w:before="0" w:after="60"/>
        <w:rPr/>
      </w:pPr>
      <w:r>
        <w:rPr>
          <w:rFonts w:eastAsia="Arial" w:cs="Arial"/>
          <w:color w:val="000000"/>
          <w:sz w:val="20"/>
          <w:szCs w:val="20"/>
        </w:rPr>
        <w:t>Druge poslovne funkcionalnosti objavljene na Platformi</w:t>
      </w:r>
    </w:p>
    <w:p>
      <w:pPr>
        <w:pStyle w:val="Normal"/>
        <w:spacing w:before="0" w:after="100"/>
        <w:jc w:val="both"/>
        <w:rPr/>
      </w:pPr>
      <w:r>
        <w:rPr>
          <w:rFonts w:eastAsia="Arial" w:cs="Arial"/>
          <w:color w:val="000000"/>
          <w:sz w:val="20"/>
          <w:szCs w:val="20"/>
        </w:rPr>
        <w:t>Pojedine funkcionalnosti mogu se razlikovati zavisno od konkretne aplikacije i pretplatnog plana. ei-apps zadržava pravo dodavanja, izmjene ili uklanjanja aplikacija i funkcionalnosti s Platforme uz prethodnu obavijest korisnicima.</w:t>
      </w:r>
    </w:p>
    <w:p>
      <w:pPr>
        <w:pStyle w:val="Heading1"/>
        <w:spacing w:before="360" w:after="120"/>
        <w:rPr/>
      </w:pPr>
      <w:r>
        <w:rPr>
          <w:rFonts w:eastAsia="Arial" w:cs="Arial"/>
          <w:b/>
          <w:bCs/>
          <w:color w:val="1E3A5F"/>
          <w:sz w:val="28"/>
          <w:szCs w:val="28"/>
        </w:rPr>
        <w:t>3. Korisnički račun</w:t>
      </w:r>
    </w:p>
    <w:p>
      <w:pPr>
        <w:pStyle w:val="Heading2"/>
        <w:spacing w:before="240" w:after="80"/>
        <w:rPr/>
      </w:pPr>
      <w:r>
        <w:rPr>
          <w:rFonts w:eastAsia="Arial" w:cs="Arial"/>
          <w:b/>
          <w:bCs/>
          <w:color w:val="2E75B6"/>
          <w:sz w:val="24"/>
          <w:szCs w:val="24"/>
        </w:rPr>
        <w:t>3.1 Kreiranje računa</w:t>
      </w:r>
    </w:p>
    <w:p>
      <w:pPr>
        <w:pStyle w:val="Normal"/>
        <w:spacing w:before="0" w:after="100"/>
        <w:jc w:val="both"/>
        <w:rPr/>
      </w:pPr>
      <w:r>
        <w:rPr>
          <w:rFonts w:eastAsia="Arial" w:cs="Arial"/>
          <w:color w:val="000000"/>
          <w:sz w:val="20"/>
          <w:szCs w:val="20"/>
        </w:rPr>
        <w:t>Za pristup Platformi potrebno je kreirati korisnički račun. Obavezni podaci pri registraciji: ime i prezime, e-mail adresa i lozinka.</w:t>
      </w:r>
    </w:p>
    <w:p>
      <w:pPr>
        <w:pStyle w:val="Heading2"/>
        <w:spacing w:before="240" w:after="80"/>
        <w:rPr/>
      </w:pPr>
      <w:r>
        <w:rPr>
          <w:rFonts w:eastAsia="Arial" w:cs="Arial"/>
          <w:b/>
          <w:bCs/>
          <w:color w:val="2E75B6"/>
          <w:sz w:val="24"/>
          <w:szCs w:val="24"/>
        </w:rPr>
        <w:t>3.2 Odgovornost korisnika</w:t>
      </w:r>
    </w:p>
    <w:p>
      <w:pPr>
        <w:pStyle w:val="Normal"/>
        <w:spacing w:before="0" w:after="100"/>
        <w:jc w:val="both"/>
        <w:rPr/>
      </w:pPr>
      <w:r>
        <w:rPr>
          <w:rFonts w:eastAsia="Arial" w:cs="Arial"/>
          <w:color w:val="000000"/>
          <w:sz w:val="20"/>
          <w:szCs w:val="20"/>
        </w:rPr>
        <w:t>Korisnik je isključivo odgovoran za:</w:t>
      </w:r>
    </w:p>
    <w:p>
      <w:pPr>
        <w:pStyle w:val="ListParagraph"/>
        <w:numPr>
          <w:ilvl w:val="0"/>
          <w:numId w:val="2"/>
        </w:numPr>
        <w:spacing w:before="0" w:after="60"/>
        <w:rPr/>
      </w:pPr>
      <w:r>
        <w:rPr>
          <w:rFonts w:eastAsia="Arial" w:cs="Arial"/>
          <w:color w:val="000000"/>
          <w:sz w:val="20"/>
          <w:szCs w:val="20"/>
        </w:rPr>
        <w:t>Sigurnost i povjerljivost lozinke i pristupnih podataka</w:t>
      </w:r>
    </w:p>
    <w:p>
      <w:pPr>
        <w:pStyle w:val="ListParagraph"/>
        <w:numPr>
          <w:ilvl w:val="0"/>
          <w:numId w:val="2"/>
        </w:numPr>
        <w:spacing w:before="0" w:after="60"/>
        <w:rPr/>
      </w:pPr>
      <w:r>
        <w:rPr>
          <w:rFonts w:eastAsia="Arial" w:cs="Arial"/>
          <w:color w:val="000000"/>
          <w:sz w:val="20"/>
          <w:szCs w:val="20"/>
        </w:rPr>
        <w:t>Sve aktivnosti izvršene putem svog korisničkog računa</w:t>
      </w:r>
    </w:p>
    <w:p>
      <w:pPr>
        <w:pStyle w:val="ListParagraph"/>
        <w:numPr>
          <w:ilvl w:val="0"/>
          <w:numId w:val="2"/>
        </w:numPr>
        <w:spacing w:before="0" w:after="60"/>
        <w:rPr/>
      </w:pPr>
      <w:r>
        <w:rPr>
          <w:rFonts w:eastAsia="Arial" w:cs="Arial"/>
          <w:color w:val="000000"/>
          <w:sz w:val="20"/>
          <w:szCs w:val="20"/>
        </w:rPr>
        <w:t>Tačnost i ažurnost podataka unesenih u račun</w:t>
      </w:r>
    </w:p>
    <w:p>
      <w:pPr>
        <w:pStyle w:val="ListParagraph"/>
        <w:numPr>
          <w:ilvl w:val="0"/>
          <w:numId w:val="2"/>
        </w:numPr>
        <w:spacing w:before="0" w:after="60"/>
        <w:rPr/>
      </w:pPr>
      <w:r>
        <w:rPr>
          <w:rFonts w:eastAsia="Arial" w:cs="Arial"/>
          <w:color w:val="000000"/>
          <w:sz w:val="20"/>
          <w:szCs w:val="20"/>
        </w:rPr>
        <w:t>Zakonitost svih podataka i sadržaja unesenih u aplikacije Platforme</w:t>
      </w:r>
    </w:p>
    <w:p>
      <w:pPr>
        <w:pStyle w:val="ListParagraph"/>
        <w:numPr>
          <w:ilvl w:val="0"/>
          <w:numId w:val="2"/>
        </w:numPr>
        <w:spacing w:before="0" w:after="60"/>
        <w:rPr/>
      </w:pPr>
      <w:r>
        <w:rPr>
          <w:rFonts w:eastAsia="Arial" w:cs="Arial"/>
          <w:color w:val="000000"/>
          <w:sz w:val="20"/>
          <w:szCs w:val="20"/>
        </w:rPr>
        <w:t>Pravovremenu obavijest pružaocu usluge o svakom neovlaštenom pristupu</w:t>
      </w:r>
    </w:p>
    <w:p>
      <w:pPr>
        <w:pStyle w:val="Heading2"/>
        <w:spacing w:before="240" w:after="80"/>
        <w:rPr/>
      </w:pPr>
      <w:r>
        <w:rPr>
          <w:rFonts w:eastAsia="Arial" w:cs="Arial"/>
          <w:b/>
          <w:bCs/>
          <w:color w:val="2E75B6"/>
          <w:sz w:val="24"/>
          <w:szCs w:val="24"/>
        </w:rPr>
        <w:t>3.3 Tipovi korisničkih računa</w:t>
      </w:r>
    </w:p>
    <w:p>
      <w:pPr>
        <w:pStyle w:val="Normal"/>
        <w:spacing w:before="0" w:after="100"/>
        <w:jc w:val="both"/>
        <w:rPr/>
      </w:pPr>
      <w:r>
        <w:rPr>
          <w:rFonts w:eastAsia="Arial" w:cs="Arial"/>
          <w:color w:val="000000"/>
          <w:sz w:val="20"/>
          <w:szCs w:val="20"/>
        </w:rPr>
        <w:t>Platforma podržava različite tipove korisnika unutar iste organizacije (npr. vlasnici, administratori, zaposlenici). Prava pristupa i ovlaštenja definirani su u okviru svake aplikacije zasebno.</w:t>
      </w:r>
    </w:p>
    <w:p>
      <w:pPr>
        <w:pStyle w:val="Heading1"/>
        <w:spacing w:before="360" w:after="120"/>
        <w:rPr/>
      </w:pPr>
      <w:r>
        <w:rPr>
          <w:rFonts w:eastAsia="Arial" w:cs="Arial"/>
          <w:b/>
          <w:bCs/>
          <w:color w:val="1E3A5F"/>
          <w:sz w:val="28"/>
          <w:szCs w:val="28"/>
        </w:rPr>
        <w:t>4. Podaci koje korisnici unose o trećim licima</w:t>
      </w:r>
    </w:p>
    <w:p>
      <w:pPr>
        <w:pStyle w:val="Normal"/>
        <w:spacing w:before="0" w:after="100"/>
        <w:jc w:val="both"/>
        <w:rPr/>
      </w:pPr>
      <w:r>
        <w:rPr>
          <w:rFonts w:eastAsia="Arial" w:cs="Arial"/>
          <w:color w:val="000000"/>
          <w:sz w:val="20"/>
          <w:szCs w:val="20"/>
        </w:rPr>
        <w:t>Korisnici Platforme mogu u okviru aplikacija unositi lične podatke o trećim licima (npr. ime, prezime, broj telefona, e-mail adresa klijenata, pacijenata, kupaca ili drugih osoba) u svrhu upravljanja terminima, narudžbama, radnim procesima ili sličnim aktivnostima.</w:t>
      </w:r>
    </w:p>
    <w:p>
      <w:pPr>
        <w:pStyle w:val="Normal"/>
        <w:spacing w:before="0" w:after="100"/>
        <w:jc w:val="both"/>
        <w:rPr/>
      </w:pPr>
      <w:r>
        <w:rPr>
          <w:rFonts w:eastAsia="Arial" w:cs="Arial"/>
          <w:color w:val="000000"/>
          <w:sz w:val="20"/>
          <w:szCs w:val="20"/>
        </w:rPr>
        <w:t>U pogledu takvih podataka:</w:t>
      </w:r>
    </w:p>
    <w:p>
      <w:pPr>
        <w:pStyle w:val="ListParagraph"/>
        <w:numPr>
          <w:ilvl w:val="0"/>
          <w:numId w:val="2"/>
        </w:numPr>
        <w:spacing w:before="0" w:after="60"/>
        <w:rPr/>
      </w:pPr>
      <w:r>
        <w:rPr>
          <w:rFonts w:eastAsia="Arial" w:cs="Arial"/>
          <w:color w:val="000000"/>
          <w:sz w:val="20"/>
          <w:szCs w:val="20"/>
        </w:rPr>
        <w:t>Korisnik nastupa kao samostalni kontrolor podataka i isključivo je odgovoran za zakonitost obrade tih podataka u skladu s Zakonom o zaštiti ličnih podataka BiH i GDPR-om.</w:t>
      </w:r>
    </w:p>
    <w:p>
      <w:pPr>
        <w:pStyle w:val="ListParagraph"/>
        <w:numPr>
          <w:ilvl w:val="0"/>
          <w:numId w:val="2"/>
        </w:numPr>
        <w:spacing w:before="0" w:after="60"/>
        <w:rPr/>
      </w:pPr>
      <w:r>
        <w:rPr>
          <w:rFonts w:eastAsia="Arial" w:cs="Arial"/>
          <w:color w:val="000000"/>
          <w:sz w:val="20"/>
          <w:szCs w:val="20"/>
        </w:rPr>
        <w:t>ei-apps nastupa kao obrađivač podataka (data processor) isključivo u mjeri potrebnoj za tehničku isporuku usluge, u skladu sa Dodatkom o obradi podataka (Data Processing Agreement — DPA) koji je sastavni dio ovih Uvjeta i javno je dostupan na: https://ei-apps.com/dpa</w:t>
      </w:r>
    </w:p>
    <w:p>
      <w:pPr>
        <w:pStyle w:val="ListParagraph"/>
        <w:numPr>
          <w:ilvl w:val="0"/>
          <w:numId w:val="2"/>
        </w:numPr>
        <w:spacing w:before="0" w:after="60"/>
        <w:rPr/>
      </w:pPr>
      <w:r>
        <w:rPr>
          <w:rFonts w:eastAsia="Arial" w:cs="Arial"/>
          <w:color w:val="000000"/>
          <w:sz w:val="20"/>
          <w:szCs w:val="20"/>
        </w:rPr>
        <w:t>Korisnik je dužan osigurati odgovarajuću pravnu osnovu za unos i obradu podataka o trećim licima (saglasnost, ugovorni odnos ili legitiman interes).</w:t>
      </w:r>
    </w:p>
    <w:p>
      <w:pPr>
        <w:pStyle w:val="ListParagraph"/>
        <w:numPr>
          <w:ilvl w:val="0"/>
          <w:numId w:val="2"/>
        </w:numPr>
        <w:spacing w:before="0" w:after="60"/>
        <w:rPr/>
      </w:pPr>
      <w:r>
        <w:rPr>
          <w:rFonts w:eastAsia="Arial" w:cs="Arial"/>
          <w:color w:val="000000"/>
          <w:sz w:val="20"/>
          <w:szCs w:val="20"/>
        </w:rPr>
        <w:t>ei-apps ne snosi odgovornost za sadržaj, tačnost, zakonitost niti za bilo kakvu štetu nastalu zbog podataka koje korisnik unosi o trećim licima.</w:t>
      </w:r>
    </w:p>
    <w:p>
      <w:pPr>
        <w:pStyle w:val="ListParagraph"/>
        <w:numPr>
          <w:ilvl w:val="0"/>
          <w:numId w:val="2"/>
        </w:numPr>
        <w:spacing w:before="0" w:after="60"/>
        <w:rPr/>
      </w:pPr>
      <w:r>
        <w:rPr>
          <w:rFonts w:eastAsia="Arial" w:cs="Arial"/>
          <w:color w:val="000000"/>
          <w:sz w:val="20"/>
          <w:szCs w:val="20"/>
        </w:rPr>
        <w:t>Korisnik se obavezuje da neće unositi podatke trećih lica bez odgovarajuće pravne osnove, niti koristiti Platformu u svrhe koje su u suprotnosti s propisima o zaštiti ličnih podataka.</w:t>
      </w:r>
    </w:p>
    <w:p>
      <w:pPr>
        <w:pStyle w:val="Heading1"/>
        <w:spacing w:before="360" w:after="120"/>
        <w:rPr/>
      </w:pPr>
      <w:r>
        <w:rPr>
          <w:rFonts w:eastAsia="Arial" w:cs="Arial"/>
          <w:b/>
          <w:bCs/>
          <w:color w:val="1E3A5F"/>
          <w:sz w:val="28"/>
          <w:szCs w:val="28"/>
        </w:rPr>
        <w:t>5. Ugovor o obradi podataka (DPA)</w:t>
      </w:r>
    </w:p>
    <w:p>
      <w:pPr>
        <w:pStyle w:val="Normal"/>
        <w:spacing w:before="0" w:after="100"/>
        <w:jc w:val="both"/>
        <w:rPr/>
      </w:pPr>
      <w:r>
        <w:rPr>
          <w:rFonts w:eastAsia="Arial" w:cs="Arial"/>
          <w:color w:val="000000"/>
          <w:sz w:val="20"/>
          <w:szCs w:val="20"/>
        </w:rPr>
        <w:t>U mjeri u kojoj korisnik Platforme unosi lične podatke trećih lica u okviru aplikacija ei-apps, ei-apps nastupa kao obrađivač podataka u ime korisnika kao kontrolora podataka, u skladu s:</w:t>
      </w:r>
    </w:p>
    <w:p>
      <w:pPr>
        <w:pStyle w:val="ListParagraph"/>
        <w:numPr>
          <w:ilvl w:val="0"/>
          <w:numId w:val="2"/>
        </w:numPr>
        <w:spacing w:before="0" w:after="60"/>
        <w:rPr/>
      </w:pPr>
      <w:r>
        <w:rPr>
          <w:rFonts w:eastAsia="Arial" w:cs="Arial"/>
          <w:color w:val="000000"/>
          <w:sz w:val="20"/>
          <w:szCs w:val="20"/>
        </w:rPr>
        <w:t>Zakonom o zaštiti ličnih podataka Bosne i Hercegovine</w:t>
      </w:r>
    </w:p>
    <w:p>
      <w:pPr>
        <w:pStyle w:val="ListParagraph"/>
        <w:numPr>
          <w:ilvl w:val="0"/>
          <w:numId w:val="2"/>
        </w:numPr>
        <w:spacing w:before="0" w:after="60"/>
        <w:rPr/>
      </w:pPr>
      <w:r>
        <w:rPr>
          <w:rFonts w:eastAsia="Arial" w:cs="Arial"/>
          <w:color w:val="000000"/>
          <w:sz w:val="20"/>
          <w:szCs w:val="20"/>
        </w:rPr>
        <w:t>GDPR-om (čl. 28) — za korisnike koji se nalaze ili posluju u EU/EEA</w:t>
      </w:r>
    </w:p>
    <w:p>
      <w:pPr>
        <w:pStyle w:val="Normal"/>
        <w:spacing w:before="0" w:after="100"/>
        <w:jc w:val="both"/>
        <w:rPr/>
      </w:pPr>
      <w:r>
        <w:rPr>
          <w:rFonts w:eastAsia="Arial" w:cs="Arial"/>
          <w:color w:val="000000"/>
          <w:sz w:val="20"/>
          <w:szCs w:val="20"/>
        </w:rPr>
        <w:t>ei-apps se obavezuje da:</w:t>
      </w:r>
    </w:p>
    <w:p>
      <w:pPr>
        <w:pStyle w:val="ListParagraph"/>
        <w:numPr>
          <w:ilvl w:val="0"/>
          <w:numId w:val="2"/>
        </w:numPr>
        <w:spacing w:before="0" w:after="60"/>
        <w:rPr/>
      </w:pPr>
      <w:r>
        <w:rPr>
          <w:rFonts w:eastAsia="Arial" w:cs="Arial"/>
          <w:color w:val="000000"/>
          <w:sz w:val="20"/>
          <w:szCs w:val="20"/>
        </w:rPr>
        <w:t>Obrađuje lične podatke trećih lica isključivo prema uputstvima korisnika i u svrhe pružanja usluge</w:t>
      </w:r>
    </w:p>
    <w:p>
      <w:pPr>
        <w:pStyle w:val="ListParagraph"/>
        <w:numPr>
          <w:ilvl w:val="0"/>
          <w:numId w:val="2"/>
        </w:numPr>
        <w:spacing w:before="0" w:after="60"/>
        <w:rPr/>
      </w:pPr>
      <w:r>
        <w:rPr>
          <w:rFonts w:eastAsia="Arial" w:cs="Arial"/>
          <w:color w:val="000000"/>
          <w:sz w:val="20"/>
          <w:szCs w:val="20"/>
        </w:rPr>
        <w:t>Primjenjuje odgovarajuće tehničke i organizacijske mjere zaštite</w:t>
      </w:r>
    </w:p>
    <w:p>
      <w:pPr>
        <w:pStyle w:val="ListParagraph"/>
        <w:numPr>
          <w:ilvl w:val="0"/>
          <w:numId w:val="2"/>
        </w:numPr>
        <w:spacing w:before="0" w:after="60"/>
        <w:rPr/>
      </w:pPr>
      <w:r>
        <w:rPr>
          <w:rFonts w:eastAsia="Arial" w:cs="Arial"/>
          <w:color w:val="000000"/>
          <w:sz w:val="20"/>
          <w:szCs w:val="20"/>
        </w:rPr>
        <w:t>Ne otkriva podatke trećim stranama osim pružaocima infrastrukturnih usluga (Google Firebase/Firestore, MongoDB) na osnovu ugovora o obradi podataka</w:t>
      </w:r>
    </w:p>
    <w:p>
      <w:pPr>
        <w:pStyle w:val="ListParagraph"/>
        <w:numPr>
          <w:ilvl w:val="0"/>
          <w:numId w:val="2"/>
        </w:numPr>
        <w:spacing w:before="0" w:after="60"/>
        <w:rPr/>
      </w:pPr>
      <w:r>
        <w:rPr>
          <w:rFonts w:eastAsia="Arial" w:cs="Arial"/>
          <w:color w:val="000000"/>
          <w:sz w:val="20"/>
          <w:szCs w:val="20"/>
        </w:rPr>
        <w:t>Podrži korisnike u ispunjavanju prava nositelja podataka (brisanje, ispravka, prenosivost)</w:t>
      </w:r>
    </w:p>
    <w:p>
      <w:pPr>
        <w:pStyle w:val="ListParagraph"/>
        <w:numPr>
          <w:ilvl w:val="0"/>
          <w:numId w:val="2"/>
        </w:numPr>
        <w:spacing w:before="0" w:after="60"/>
        <w:rPr/>
      </w:pPr>
      <w:r>
        <w:rPr>
          <w:rFonts w:eastAsia="Arial" w:cs="Arial"/>
          <w:color w:val="000000"/>
          <w:sz w:val="20"/>
          <w:szCs w:val="20"/>
        </w:rPr>
        <w:t>Obavijesti korisnika o povredi podataka u zakonom predviđenim rokovima</w:t>
      </w:r>
    </w:p>
    <w:p>
      <w:pPr>
        <w:pStyle w:val="Normal"/>
        <w:spacing w:before="0" w:after="100"/>
        <w:jc w:val="both"/>
        <w:rPr/>
      </w:pPr>
      <w:r>
        <w:rPr>
          <w:rFonts w:eastAsia="Arial" w:cs="Arial"/>
          <w:color w:val="000000"/>
          <w:sz w:val="20"/>
          <w:szCs w:val="20"/>
        </w:rPr>
        <w:t>Potpuna verzija Dodatka o obradi podataka (DPA) sastavni je dio ovih uvjeta i javno je dostupna na stranici: https://ei-apps.com/dpa</w:t>
      </w:r>
    </w:p>
    <w:p>
      <w:pPr>
        <w:pStyle w:val="Heading1"/>
        <w:spacing w:before="360" w:after="120"/>
        <w:rPr/>
      </w:pPr>
      <w:r>
        <w:rPr>
          <w:rFonts w:eastAsia="Arial" w:cs="Arial"/>
          <w:b/>
          <w:bCs/>
          <w:color w:val="1E3A5F"/>
          <w:sz w:val="28"/>
          <w:szCs w:val="28"/>
        </w:rPr>
        <w:t>6. Probni period i pretplatni planovi</w:t>
      </w:r>
    </w:p>
    <w:p>
      <w:pPr>
        <w:pStyle w:val="Heading2"/>
        <w:spacing w:before="240" w:after="80"/>
        <w:rPr/>
      </w:pPr>
      <w:r>
        <w:rPr>
          <w:rFonts w:eastAsia="Arial" w:cs="Arial"/>
          <w:b/>
          <w:bCs/>
          <w:color w:val="2E75B6"/>
          <w:sz w:val="24"/>
          <w:szCs w:val="24"/>
        </w:rPr>
        <w:t>6.1 Besplatni probni period</w:t>
      </w:r>
    </w:p>
    <w:p>
      <w:pPr>
        <w:pStyle w:val="Normal"/>
        <w:spacing w:before="0" w:after="100"/>
        <w:jc w:val="both"/>
        <w:rPr/>
      </w:pPr>
      <w:r>
        <w:rPr>
          <w:rFonts w:eastAsia="Arial" w:cs="Arial"/>
          <w:color w:val="000000"/>
          <w:sz w:val="20"/>
          <w:szCs w:val="20"/>
        </w:rPr>
        <w:t>Novi korisnici dobijaju besplatni probni period u trajanju od 7, 14 ili 30 dana od datuma registracije, ovisno o aplikaciji koju koriste, bez obveze plaćanja i bez potrebe za unosom podataka o platnoj kartici. Trajanje probnog perioda za svaku aplikaciju navedeno je na stranici s opisom te aplikacije.</w:t>
      </w:r>
    </w:p>
    <w:p>
      <w:pPr>
        <w:pStyle w:val="Heading2"/>
        <w:spacing w:before="240" w:after="80"/>
        <w:rPr/>
      </w:pPr>
      <w:r>
        <w:rPr>
          <w:rFonts w:eastAsia="Arial" w:cs="Arial"/>
          <w:b/>
          <w:bCs/>
          <w:color w:val="2E75B6"/>
          <w:sz w:val="24"/>
          <w:szCs w:val="24"/>
        </w:rPr>
        <w:t>6.2 Pretplatni planovi</w:t>
      </w:r>
    </w:p>
    <w:p>
      <w:pPr>
        <w:pStyle w:val="Normal"/>
        <w:spacing w:before="0" w:after="100"/>
        <w:jc w:val="both"/>
        <w:rPr/>
      </w:pPr>
      <w:r>
        <w:rPr>
          <w:rFonts w:eastAsia="Arial" w:cs="Arial"/>
          <w:color w:val="000000"/>
          <w:sz w:val="20"/>
          <w:szCs w:val="20"/>
        </w:rPr>
        <w:t>Nakon isteka probnog perioda, za nastavak korištenja Platforme i njenih aplikacija potrebna je aktivna pretplata. Dostupni planovi i trenutne cijene navedeni su na: https://ei-apps.com/#pricing</w:t>
      </w:r>
    </w:p>
    <w:p>
      <w:pPr>
        <w:pStyle w:val="Normal"/>
        <w:spacing w:before="0" w:after="100"/>
        <w:jc w:val="both"/>
        <w:rPr/>
      </w:pPr>
      <w:r>
        <w:rPr>
          <w:rFonts w:eastAsia="Arial" w:cs="Arial"/>
          <w:color w:val="000000"/>
          <w:sz w:val="20"/>
          <w:szCs w:val="20"/>
        </w:rPr>
        <w:t>Napomena: Cijene prikazane na stranici s cijenama moraju u svakom trenutku odgovarati cijenama postavljenim u Paddle checkout procesu.</w:t>
      </w:r>
    </w:p>
    <w:p>
      <w:pPr>
        <w:pStyle w:val="Heading2"/>
        <w:spacing w:before="240" w:after="80"/>
        <w:rPr/>
      </w:pPr>
      <w:r>
        <w:rPr>
          <w:rFonts w:eastAsia="Arial" w:cs="Arial"/>
          <w:b/>
          <w:bCs/>
          <w:color w:val="2E75B6"/>
          <w:sz w:val="24"/>
          <w:szCs w:val="24"/>
        </w:rPr>
        <w:t>6.3 Obrada plaćanja — Paddle.com</w:t>
      </w:r>
    </w:p>
    <w:p>
      <w:pPr>
        <w:pStyle w:val="Normal"/>
        <w:spacing w:before="0" w:after="100"/>
        <w:jc w:val="both"/>
        <w:rPr/>
      </w:pPr>
      <w:r>
        <w:rPr>
          <w:rFonts w:eastAsia="Arial" w:cs="Arial"/>
          <w:color w:val="000000"/>
          <w:sz w:val="20"/>
          <w:szCs w:val="20"/>
        </w:rPr>
        <w:t>Sva plaćanja obrađuje Paddle.com koji nastupa kao Merchant of Record (MoR) za sve narudžbe. Kupovinom pretplate zaključujete ugovor s Paddle.com u skladu s njihovim uvjetima korištenja.</w:t>
      </w:r>
    </w:p>
    <w:p>
      <w:pPr>
        <w:pStyle w:val="Normal"/>
        <w:shd w:val="clear" w:fill="EEF3FA"/>
        <w:spacing w:before="80" w:after="160"/>
        <w:jc w:val="start"/>
        <w:rPr/>
      </w:pPr>
      <w:r>
        <w:rPr>
          <w:rFonts w:eastAsia="Arial" w:cs="Arial"/>
          <w:i/>
          <w:iCs/>
          <w:color w:val="555555"/>
          <w:sz w:val="18"/>
          <w:szCs w:val="18"/>
        </w:rPr>
        <w:t>"Our order process is conducted by our online reseller Paddle.com. Paddle.com is the Merchant of Record for all our orders. Paddle provides all customer service inquiries and handles returns."</w:t>
      </w:r>
    </w:p>
    <w:p>
      <w:pPr>
        <w:pStyle w:val="Heading1"/>
        <w:spacing w:before="360" w:after="120"/>
        <w:rPr/>
      </w:pPr>
      <w:r>
        <w:rPr>
          <w:rFonts w:eastAsia="Arial" w:cs="Arial"/>
          <w:b/>
          <w:bCs/>
          <w:color w:val="1E3A5F"/>
          <w:sz w:val="28"/>
          <w:szCs w:val="28"/>
        </w:rPr>
        <w:t>7. Politika povrata novca</w:t>
      </w:r>
    </w:p>
    <w:p>
      <w:pPr>
        <w:pStyle w:val="Normal"/>
        <w:spacing w:before="0" w:after="100"/>
        <w:jc w:val="both"/>
        <w:rPr/>
      </w:pPr>
      <w:r>
        <w:rPr>
          <w:rFonts w:eastAsia="Arial" w:cs="Arial"/>
          <w:color w:val="000000"/>
          <w:sz w:val="20"/>
          <w:szCs w:val="20"/>
        </w:rPr>
        <w:t>Zahtjevi za povrat razmatraju se u skladu s Paddle pravilima i važećim zakonima o zaštiti potrošača. Za pokretanje zahtjeva za povrat korisnici se obraćaju direktno Paddle korisničkoj podršci na: https://paddle.com</w:t>
      </w:r>
    </w:p>
    <w:p>
      <w:pPr>
        <w:pStyle w:val="Normal"/>
        <w:spacing w:before="0" w:after="100"/>
        <w:jc w:val="both"/>
        <w:rPr/>
      </w:pPr>
      <w:r>
        <w:rPr>
          <w:rFonts w:eastAsia="Arial" w:cs="Arial"/>
          <w:color w:val="000000"/>
          <w:sz w:val="20"/>
          <w:szCs w:val="20"/>
        </w:rPr>
        <w:t>Potrošači iz EU/EEA imaju prava predviđena Direktivom o pravima potrošača (2011/83/EU), uključujući pravo na odustanak od ugovora u roku od 14 dana, uz moguća ograničenja za digitalne usluge koje su aktivno korištene.</w:t>
      </w:r>
    </w:p>
    <w:p>
      <w:pPr>
        <w:pStyle w:val="Heading1"/>
        <w:spacing w:before="360" w:after="120"/>
        <w:rPr/>
      </w:pPr>
      <w:r>
        <w:rPr>
          <w:rFonts w:eastAsia="Arial" w:cs="Arial"/>
          <w:b/>
          <w:bCs/>
          <w:color w:val="1E3A5F"/>
          <w:sz w:val="28"/>
          <w:szCs w:val="28"/>
        </w:rPr>
        <w:t>8. Dozvoljena i zabranjena upotreba</w:t>
      </w:r>
    </w:p>
    <w:p>
      <w:pPr>
        <w:pStyle w:val="Heading2"/>
        <w:spacing w:before="240" w:after="80"/>
        <w:rPr/>
      </w:pPr>
      <w:r>
        <w:rPr>
          <w:rFonts w:eastAsia="Arial" w:cs="Arial"/>
          <w:b/>
          <w:bCs/>
          <w:color w:val="2E75B6"/>
          <w:sz w:val="24"/>
          <w:szCs w:val="24"/>
        </w:rPr>
        <w:t>8.1 Dozvoljena upotreba</w:t>
      </w:r>
    </w:p>
    <w:p>
      <w:pPr>
        <w:pStyle w:val="Normal"/>
        <w:spacing w:before="0" w:after="100"/>
        <w:jc w:val="both"/>
        <w:rPr/>
      </w:pPr>
      <w:r>
        <w:rPr>
          <w:rFonts w:eastAsia="Arial" w:cs="Arial"/>
          <w:color w:val="000000"/>
          <w:sz w:val="20"/>
          <w:szCs w:val="20"/>
        </w:rPr>
        <w:t>Platforma i njene aplikacije smiju se koristiti isključivo u zakonite svrhe, u skladu s namjenom svake konkretne aplikacije i ovim Uvjetima korištenja.</w:t>
      </w:r>
    </w:p>
    <w:p>
      <w:pPr>
        <w:pStyle w:val="Heading2"/>
        <w:spacing w:before="240" w:after="80"/>
        <w:rPr/>
      </w:pPr>
      <w:r>
        <w:rPr>
          <w:rFonts w:eastAsia="Arial" w:cs="Arial"/>
          <w:b/>
          <w:bCs/>
          <w:color w:val="2E75B6"/>
          <w:sz w:val="24"/>
          <w:szCs w:val="24"/>
        </w:rPr>
        <w:t>8.2 Zabranjena upotreba</w:t>
      </w:r>
    </w:p>
    <w:p>
      <w:pPr>
        <w:pStyle w:val="Normal"/>
        <w:spacing w:before="0" w:after="100"/>
        <w:jc w:val="both"/>
        <w:rPr/>
      </w:pPr>
      <w:r>
        <w:rPr>
          <w:rFonts w:eastAsia="Arial" w:cs="Arial"/>
          <w:color w:val="000000"/>
          <w:sz w:val="20"/>
          <w:szCs w:val="20"/>
        </w:rPr>
        <w:t>Strogo je zabranjeno:</w:t>
      </w:r>
    </w:p>
    <w:p>
      <w:pPr>
        <w:pStyle w:val="ListParagraph"/>
        <w:numPr>
          <w:ilvl w:val="0"/>
          <w:numId w:val="2"/>
        </w:numPr>
        <w:spacing w:before="0" w:after="60"/>
        <w:rPr/>
      </w:pPr>
      <w:r>
        <w:rPr>
          <w:rFonts w:eastAsia="Arial" w:cs="Arial"/>
          <w:color w:val="000000"/>
          <w:sz w:val="20"/>
          <w:szCs w:val="20"/>
        </w:rPr>
        <w:t>Neovlašten pristup sistemima, bazama podataka ili računima drugih korisnika</w:t>
      </w:r>
    </w:p>
    <w:p>
      <w:pPr>
        <w:pStyle w:val="ListParagraph"/>
        <w:numPr>
          <w:ilvl w:val="0"/>
          <w:numId w:val="2"/>
        </w:numPr>
        <w:spacing w:before="0" w:after="60"/>
        <w:rPr/>
      </w:pPr>
      <w:r>
        <w:rPr>
          <w:rFonts w:eastAsia="Arial" w:cs="Arial"/>
          <w:color w:val="000000"/>
          <w:sz w:val="20"/>
          <w:szCs w:val="20"/>
        </w:rPr>
        <w:t>Distribucija zlonamjernog softvera, virusa ili štetnog koda putem Platforme</w:t>
      </w:r>
    </w:p>
    <w:p>
      <w:pPr>
        <w:pStyle w:val="ListParagraph"/>
        <w:numPr>
          <w:ilvl w:val="0"/>
          <w:numId w:val="2"/>
        </w:numPr>
        <w:spacing w:before="0" w:after="60"/>
        <w:rPr/>
      </w:pPr>
      <w:r>
        <w:rPr>
          <w:rFonts w:eastAsia="Arial" w:cs="Arial"/>
          <w:color w:val="000000"/>
          <w:sz w:val="20"/>
          <w:szCs w:val="20"/>
        </w:rPr>
        <w:t>Reverse engineering, dekompilacija ili pokušaj ekstrakcije izvornog koda aplikacija</w:t>
      </w:r>
    </w:p>
    <w:p>
      <w:pPr>
        <w:pStyle w:val="ListParagraph"/>
        <w:numPr>
          <w:ilvl w:val="0"/>
          <w:numId w:val="2"/>
        </w:numPr>
        <w:spacing w:before="0" w:after="60"/>
        <w:rPr/>
      </w:pPr>
      <w:r>
        <w:rPr>
          <w:rFonts w:eastAsia="Arial" w:cs="Arial"/>
          <w:color w:val="000000"/>
          <w:sz w:val="20"/>
          <w:szCs w:val="20"/>
        </w:rPr>
        <w:t>Preprodaja, sublicenciranje ili nedozvoljeno dijeljenje pristupa Platformi</w:t>
      </w:r>
    </w:p>
    <w:p>
      <w:pPr>
        <w:pStyle w:val="ListParagraph"/>
        <w:numPr>
          <w:ilvl w:val="0"/>
          <w:numId w:val="2"/>
        </w:numPr>
        <w:spacing w:before="0" w:after="60"/>
        <w:rPr/>
      </w:pPr>
      <w:r>
        <w:rPr>
          <w:rFonts w:eastAsia="Arial" w:cs="Arial"/>
          <w:color w:val="000000"/>
          <w:sz w:val="20"/>
          <w:szCs w:val="20"/>
        </w:rPr>
        <w:t>Korištenje Platforme za nezakonite aktivnosti, uključujući prijevaru, kršenje autorskih prava ili povredu prava trećih lica</w:t>
      </w:r>
    </w:p>
    <w:p>
      <w:pPr>
        <w:pStyle w:val="ListParagraph"/>
        <w:numPr>
          <w:ilvl w:val="0"/>
          <w:numId w:val="2"/>
        </w:numPr>
        <w:spacing w:before="0" w:after="60"/>
        <w:rPr/>
      </w:pPr>
      <w:r>
        <w:rPr>
          <w:rFonts w:eastAsia="Arial" w:cs="Arial"/>
          <w:color w:val="000000"/>
          <w:sz w:val="20"/>
          <w:szCs w:val="20"/>
        </w:rPr>
        <w:t>Unos lažnih podataka o identitetu ili organizaciji</w:t>
      </w:r>
    </w:p>
    <w:p>
      <w:pPr>
        <w:pStyle w:val="ListParagraph"/>
        <w:numPr>
          <w:ilvl w:val="0"/>
          <w:numId w:val="2"/>
        </w:numPr>
        <w:spacing w:before="0" w:after="60"/>
        <w:rPr/>
      </w:pPr>
      <w:r>
        <w:rPr>
          <w:rFonts w:eastAsia="Arial" w:cs="Arial"/>
          <w:color w:val="000000"/>
          <w:sz w:val="20"/>
          <w:szCs w:val="20"/>
        </w:rPr>
        <w:t>Scraping podataka ili automatizovani pristup Platformi bez prethodnog odobrenja</w:t>
      </w:r>
    </w:p>
    <w:p>
      <w:pPr>
        <w:pStyle w:val="ListParagraph"/>
        <w:numPr>
          <w:ilvl w:val="0"/>
          <w:numId w:val="2"/>
        </w:numPr>
        <w:spacing w:before="0" w:after="60"/>
        <w:rPr/>
      </w:pPr>
      <w:r>
        <w:rPr>
          <w:rFonts w:eastAsia="Arial" w:cs="Arial"/>
          <w:color w:val="000000"/>
          <w:sz w:val="20"/>
          <w:szCs w:val="20"/>
        </w:rPr>
        <w:t>Ometanje ili preopterećivanje infrastrukture Platforme</w:t>
      </w:r>
    </w:p>
    <w:p>
      <w:pPr>
        <w:pStyle w:val="Heading1"/>
        <w:spacing w:before="360" w:after="120"/>
        <w:rPr/>
      </w:pPr>
      <w:r>
        <w:rPr>
          <w:rFonts w:eastAsia="Arial" w:cs="Arial"/>
          <w:b/>
          <w:bCs/>
          <w:color w:val="1E3A5F"/>
          <w:sz w:val="28"/>
          <w:szCs w:val="28"/>
        </w:rPr>
        <w:t>9. Intelektualno vlasništvo</w:t>
      </w:r>
    </w:p>
    <w:p>
      <w:pPr>
        <w:pStyle w:val="Normal"/>
        <w:spacing w:before="0" w:after="100"/>
        <w:jc w:val="both"/>
        <w:rPr/>
      </w:pPr>
      <w:r>
        <w:rPr>
          <w:rFonts w:eastAsia="Arial" w:cs="Arial"/>
          <w:color w:val="000000"/>
          <w:sz w:val="20"/>
          <w:szCs w:val="20"/>
        </w:rPr>
        <w:t>Sav kod, dizajn, logotipi, zaštitni znakovi, vizualni identitet, sadržaj i arhitektura svih aplikacija i usluga dostupnih putem ei-apps Platforme vlasništvo su [Puni naziv obrta] i zaštićeni su primjenjivim zakonima o intelektualnom vlasništvu.</w:t>
      </w:r>
    </w:p>
    <w:p>
      <w:pPr>
        <w:pStyle w:val="Normal"/>
        <w:spacing w:before="0" w:after="100"/>
        <w:jc w:val="both"/>
        <w:rPr/>
      </w:pPr>
      <w:r>
        <w:rPr>
          <w:rFonts w:eastAsia="Arial" w:cs="Arial"/>
          <w:color w:val="000000"/>
          <w:sz w:val="20"/>
          <w:szCs w:val="20"/>
        </w:rPr>
        <w:t>Korisnicima se dodjeljuje ograničena, neekskluzivna, neprenosiva licenca za korištenje Platforme i njenih aplikacija isključivo u skladu s ovim Uvjetima. Licenca ne uključuje pravo kopiranja, distribucije, javnog prikazivanja niti stvaranja izvedenih radova.</w:t>
      </w:r>
    </w:p>
    <w:p>
      <w:pPr>
        <w:pStyle w:val="Heading1"/>
        <w:spacing w:before="360" w:after="120"/>
        <w:rPr/>
      </w:pPr>
      <w:r>
        <w:rPr>
          <w:rFonts w:eastAsia="Arial" w:cs="Arial"/>
          <w:b/>
          <w:bCs/>
          <w:color w:val="1E3A5F"/>
          <w:sz w:val="28"/>
          <w:szCs w:val="28"/>
        </w:rPr>
        <w:t>10. Dostupnost usluge i ograničenje odgovornosti</w:t>
      </w:r>
    </w:p>
    <w:p>
      <w:pPr>
        <w:pStyle w:val="Heading2"/>
        <w:spacing w:before="240" w:after="80"/>
        <w:rPr/>
      </w:pPr>
      <w:r>
        <w:rPr>
          <w:rFonts w:eastAsia="Arial" w:cs="Arial"/>
          <w:b/>
          <w:bCs/>
          <w:color w:val="2E75B6"/>
          <w:sz w:val="24"/>
          <w:szCs w:val="24"/>
        </w:rPr>
        <w:t>10.1 Dostupnost</w:t>
      </w:r>
    </w:p>
    <w:p>
      <w:pPr>
        <w:pStyle w:val="Normal"/>
        <w:spacing w:before="0" w:after="100"/>
        <w:jc w:val="both"/>
        <w:rPr/>
      </w:pPr>
      <w:r>
        <w:rPr>
          <w:rFonts w:eastAsia="Arial" w:cs="Arial"/>
          <w:color w:val="000000"/>
          <w:sz w:val="20"/>
          <w:szCs w:val="20"/>
        </w:rPr>
        <w:t>Nastojimo osigurati neprekidnu dostupnost Platforme, ali ne garantujemo 100% uptime. Zadržavamo pravo privremenog isključenja Platforme ili pojedinih aplikacija radi održavanja, nadogradnje ili otklanjanja tehničkih poteškoća, uz prethodnu najavu gdje je to moguće.</w:t>
      </w:r>
    </w:p>
    <w:p>
      <w:pPr>
        <w:pStyle w:val="Heading2"/>
        <w:spacing w:before="240" w:after="80"/>
        <w:rPr/>
      </w:pPr>
      <w:r>
        <w:rPr>
          <w:rFonts w:eastAsia="Arial" w:cs="Arial"/>
          <w:b/>
          <w:bCs/>
          <w:color w:val="2E75B6"/>
          <w:sz w:val="24"/>
          <w:szCs w:val="24"/>
        </w:rPr>
        <w:t>10.2 Ograničenje odgovornosti</w:t>
      </w:r>
    </w:p>
    <w:p>
      <w:pPr>
        <w:pStyle w:val="Normal"/>
        <w:spacing w:before="0" w:after="100"/>
        <w:jc w:val="both"/>
        <w:rPr/>
      </w:pPr>
      <w:r>
        <w:rPr>
          <w:rFonts w:eastAsia="Arial" w:cs="Arial"/>
          <w:color w:val="000000"/>
          <w:sz w:val="20"/>
          <w:szCs w:val="20"/>
        </w:rPr>
        <w:t>Platforma i sve aplikacije pružaju se "as-is" i "as-available". U maksimalnoj mjeri dozvoljenoj važećim zakonima, ei-apps ne snosi odgovornost za:</w:t>
      </w:r>
    </w:p>
    <w:p>
      <w:pPr>
        <w:pStyle w:val="ListParagraph"/>
        <w:numPr>
          <w:ilvl w:val="0"/>
          <w:numId w:val="2"/>
        </w:numPr>
        <w:spacing w:before="0" w:after="60"/>
        <w:rPr/>
      </w:pPr>
      <w:r>
        <w:rPr>
          <w:rFonts w:eastAsia="Arial" w:cs="Arial"/>
          <w:color w:val="000000"/>
          <w:sz w:val="20"/>
          <w:szCs w:val="20"/>
        </w:rPr>
        <w:t>Gubitak podataka usljed tehničkih kvarova, hakerskih napada ili više sile</w:t>
      </w:r>
    </w:p>
    <w:p>
      <w:pPr>
        <w:pStyle w:val="ListParagraph"/>
        <w:numPr>
          <w:ilvl w:val="0"/>
          <w:numId w:val="2"/>
        </w:numPr>
        <w:spacing w:before="0" w:after="60"/>
        <w:rPr/>
      </w:pPr>
      <w:r>
        <w:rPr>
          <w:rFonts w:eastAsia="Arial" w:cs="Arial"/>
          <w:color w:val="000000"/>
          <w:sz w:val="20"/>
          <w:szCs w:val="20"/>
        </w:rPr>
        <w:t>Indirektnu, posebnu, posljedičnu ili kaznenu štetu nastalu korištenjem ili nemogućnošću korištenja Platforme</w:t>
      </w:r>
    </w:p>
    <w:p>
      <w:pPr>
        <w:pStyle w:val="ListParagraph"/>
        <w:numPr>
          <w:ilvl w:val="0"/>
          <w:numId w:val="2"/>
        </w:numPr>
        <w:spacing w:before="0" w:after="60"/>
        <w:rPr/>
      </w:pPr>
      <w:r>
        <w:rPr>
          <w:rFonts w:eastAsia="Arial" w:cs="Arial"/>
          <w:color w:val="000000"/>
          <w:sz w:val="20"/>
          <w:szCs w:val="20"/>
        </w:rPr>
        <w:t>Prekid usluge usljed razloga izvan razumne kontrole pružaoca (viša sila, kvarovi infrastrukture trećih strana)</w:t>
      </w:r>
    </w:p>
    <w:p>
      <w:pPr>
        <w:pStyle w:val="ListParagraph"/>
        <w:numPr>
          <w:ilvl w:val="0"/>
          <w:numId w:val="2"/>
        </w:numPr>
        <w:spacing w:before="0" w:after="60"/>
        <w:rPr/>
      </w:pPr>
      <w:r>
        <w:rPr>
          <w:rFonts w:eastAsia="Arial" w:cs="Arial"/>
          <w:color w:val="000000"/>
          <w:sz w:val="20"/>
          <w:szCs w:val="20"/>
        </w:rPr>
        <w:t>Sadržaj, tačnost ili zakonitost podataka koje korisnici unose u aplikacije</w:t>
      </w:r>
    </w:p>
    <w:p>
      <w:pPr>
        <w:pStyle w:val="ListParagraph"/>
        <w:numPr>
          <w:ilvl w:val="0"/>
          <w:numId w:val="2"/>
        </w:numPr>
        <w:spacing w:before="0" w:after="60"/>
        <w:rPr/>
      </w:pPr>
      <w:r>
        <w:rPr>
          <w:rFonts w:eastAsia="Arial" w:cs="Arial"/>
          <w:color w:val="000000"/>
          <w:sz w:val="20"/>
          <w:szCs w:val="20"/>
        </w:rPr>
        <w:t>Gubitke nastale zbog radnji ili propusta trećih strana, uključujući Paddle.com ili Google</w:t>
      </w:r>
    </w:p>
    <w:p>
      <w:pPr>
        <w:pStyle w:val="Normal"/>
        <w:spacing w:before="0" w:after="100"/>
        <w:jc w:val="both"/>
        <w:rPr/>
      </w:pPr>
      <w:r>
        <w:rPr>
          <w:rFonts w:eastAsia="Arial" w:cs="Arial"/>
          <w:color w:val="000000"/>
          <w:sz w:val="20"/>
          <w:szCs w:val="20"/>
        </w:rPr>
        <w:t>Ukupna odgovornost ei-apps prema korisniku ne može premašiti iznos pretplate plaćene u prethodnih 12 mjeseci.</w:t>
      </w:r>
    </w:p>
    <w:p>
      <w:pPr>
        <w:pStyle w:val="Heading1"/>
        <w:spacing w:before="360" w:after="120"/>
        <w:rPr/>
      </w:pPr>
      <w:r>
        <w:rPr>
          <w:rFonts w:eastAsia="Arial" w:cs="Arial"/>
          <w:b/>
          <w:bCs/>
          <w:color w:val="1E3A5F"/>
          <w:sz w:val="28"/>
          <w:szCs w:val="28"/>
        </w:rPr>
        <w:t>11. Pohrana podataka i infrastruktura</w:t>
      </w:r>
    </w:p>
    <w:p>
      <w:pPr>
        <w:pStyle w:val="Normal"/>
        <w:spacing w:before="0" w:after="100"/>
        <w:jc w:val="both"/>
        <w:rPr/>
      </w:pPr>
      <w:r>
        <w:rPr>
          <w:rFonts w:eastAsia="Arial" w:cs="Arial"/>
          <w:color w:val="000000"/>
          <w:sz w:val="20"/>
          <w:szCs w:val="20"/>
        </w:rPr>
        <w:t>Podaci korisnika i podaci uneseni u aplikacije ei-apps Platforme pohranjuju se na sljedećim infrastrukturnim servisima:</w:t>
      </w:r>
    </w:p>
    <w:p>
      <w:pPr>
        <w:pStyle w:val="ListParagraph"/>
        <w:numPr>
          <w:ilvl w:val="0"/>
          <w:numId w:val="2"/>
        </w:numPr>
        <w:spacing w:before="0" w:after="60"/>
        <w:rPr/>
      </w:pPr>
      <w:r>
        <w:rPr>
          <w:rFonts w:eastAsia="Arial" w:cs="Arial"/>
          <w:color w:val="000000"/>
          <w:sz w:val="20"/>
          <w:szCs w:val="20"/>
        </w:rPr>
        <w:t>Google Firebase Firestore (Google Cloud) — EU regija (europe-west1, Belgium)</w:t>
      </w:r>
    </w:p>
    <w:p>
      <w:pPr>
        <w:pStyle w:val="ListParagraph"/>
        <w:numPr>
          <w:ilvl w:val="0"/>
          <w:numId w:val="2"/>
        </w:numPr>
        <w:spacing w:before="0" w:after="60"/>
        <w:rPr/>
      </w:pPr>
      <w:r>
        <w:rPr>
          <w:rFonts w:eastAsia="Arial" w:cs="Arial"/>
          <w:color w:val="000000"/>
          <w:sz w:val="20"/>
          <w:szCs w:val="20"/>
        </w:rPr>
        <w:t>MongoDB Atlas — konfigurisan unutar EU regije</w:t>
      </w:r>
    </w:p>
    <w:p>
      <w:pPr>
        <w:pStyle w:val="Normal"/>
        <w:spacing w:before="0" w:after="100"/>
        <w:jc w:val="both"/>
        <w:rPr/>
      </w:pPr>
      <w:r>
        <w:rPr>
          <w:rFonts w:eastAsia="Arial" w:cs="Arial"/>
          <w:color w:val="000000"/>
          <w:sz w:val="20"/>
          <w:szCs w:val="20"/>
        </w:rPr>
        <w:t>Primjenjujemo tehničke i organizacijske sigurnosne mjere u skladu s važećim zakonima o zaštiti ličnih podataka. Detalji su navedeni u Politici privatnosti.</w:t>
      </w:r>
    </w:p>
    <w:p>
      <w:pPr>
        <w:pStyle w:val="Heading1"/>
        <w:spacing w:before="360" w:after="120"/>
        <w:rPr/>
      </w:pPr>
      <w:r>
        <w:rPr>
          <w:rFonts w:eastAsia="Arial" w:cs="Arial"/>
          <w:b/>
          <w:bCs/>
          <w:color w:val="1E3A5F"/>
          <w:sz w:val="28"/>
          <w:szCs w:val="28"/>
        </w:rPr>
        <w:t>12. Izmjene uvjeta</w:t>
      </w:r>
    </w:p>
    <w:p>
      <w:pPr>
        <w:pStyle w:val="Normal"/>
        <w:spacing w:before="0" w:after="100"/>
        <w:jc w:val="both"/>
        <w:rPr/>
      </w:pPr>
      <w:r>
        <w:rPr>
          <w:rFonts w:eastAsia="Arial" w:cs="Arial"/>
          <w:color w:val="000000"/>
          <w:sz w:val="20"/>
          <w:szCs w:val="20"/>
        </w:rPr>
        <w:t>Zadržavamo pravo izmjene ovih Uvjeta korištenja u bilo koje vrijeme. O značajnim izmjenama korisnici će biti obaviješteni:</w:t>
      </w:r>
    </w:p>
    <w:p>
      <w:pPr>
        <w:pStyle w:val="ListParagraph"/>
        <w:numPr>
          <w:ilvl w:val="0"/>
          <w:numId w:val="2"/>
        </w:numPr>
        <w:spacing w:before="0" w:after="60"/>
        <w:rPr/>
      </w:pPr>
      <w:r>
        <w:rPr>
          <w:rFonts w:eastAsia="Arial" w:cs="Arial"/>
          <w:color w:val="000000"/>
          <w:sz w:val="20"/>
          <w:szCs w:val="20"/>
        </w:rPr>
        <w:t>Putem obavijesti unutar aplikacije (in-app notification)</w:t>
      </w:r>
    </w:p>
    <w:p>
      <w:pPr>
        <w:pStyle w:val="ListParagraph"/>
        <w:numPr>
          <w:ilvl w:val="0"/>
          <w:numId w:val="2"/>
        </w:numPr>
        <w:spacing w:before="0" w:after="60"/>
        <w:rPr/>
      </w:pPr>
      <w:r>
        <w:rPr>
          <w:rFonts w:eastAsia="Arial" w:cs="Arial"/>
          <w:color w:val="000000"/>
          <w:sz w:val="20"/>
          <w:szCs w:val="20"/>
        </w:rPr>
        <w:t>Putem e-mail adrese vezane za korisnički račun, najmanje 14 dana unaprijed</w:t>
      </w:r>
    </w:p>
    <w:p>
      <w:pPr>
        <w:pStyle w:val="Normal"/>
        <w:spacing w:before="0" w:after="100"/>
        <w:jc w:val="both"/>
        <w:rPr/>
      </w:pPr>
      <w:r>
        <w:rPr>
          <w:rFonts w:eastAsia="Arial" w:cs="Arial"/>
          <w:color w:val="000000"/>
          <w:sz w:val="20"/>
          <w:szCs w:val="20"/>
        </w:rPr>
        <w:t>Nastavak korištenja Platforme nakon stupanja na snagu izmijenjenih uvjeta smatra se prihvatanjem novih uvjeta. Ako ne prihvatate izmijenjene uvjete, imate pravo otkazati pretplatu i obrisati korisnički račun.</w:t>
      </w:r>
    </w:p>
    <w:p>
      <w:pPr>
        <w:pStyle w:val="Heading1"/>
        <w:spacing w:before="360" w:after="120"/>
        <w:rPr/>
      </w:pPr>
      <w:r>
        <w:rPr>
          <w:rFonts w:eastAsia="Arial" w:cs="Arial"/>
          <w:b/>
          <w:bCs/>
          <w:color w:val="1E3A5F"/>
          <w:sz w:val="28"/>
          <w:szCs w:val="28"/>
        </w:rPr>
        <w:t>13. Raskid ugovora</w:t>
      </w:r>
    </w:p>
    <w:p>
      <w:pPr>
        <w:pStyle w:val="Normal"/>
        <w:spacing w:before="0" w:after="100"/>
        <w:jc w:val="both"/>
        <w:rPr/>
      </w:pPr>
      <w:r>
        <w:rPr>
          <w:rFonts w:eastAsia="Arial" w:cs="Arial"/>
          <w:color w:val="000000"/>
          <w:sz w:val="20"/>
          <w:szCs w:val="20"/>
        </w:rPr>
        <w:t>Korisnik može u bilo koje vrijeme otkazati pretplatu i obrisati korisnički račun putem postavki računa ili kontaktiranjem podrške. Nakon brisanja računa, svi podaci se uklanjaju u roku od 30 dana u skladu s Politikom privatnosti.</w:t>
      </w:r>
    </w:p>
    <w:p>
      <w:pPr>
        <w:pStyle w:val="Normal"/>
        <w:spacing w:before="0" w:after="100"/>
        <w:jc w:val="both"/>
        <w:rPr/>
      </w:pPr>
      <w:r>
        <w:rPr>
          <w:rFonts w:eastAsia="Arial" w:cs="Arial"/>
          <w:color w:val="000000"/>
          <w:sz w:val="20"/>
          <w:szCs w:val="20"/>
        </w:rPr>
        <w:t>ei-apps može suspendovati ili trajno ukinuti korisnički račun u slučaju:</w:t>
      </w:r>
    </w:p>
    <w:p>
      <w:pPr>
        <w:pStyle w:val="ListParagraph"/>
        <w:numPr>
          <w:ilvl w:val="0"/>
          <w:numId w:val="2"/>
        </w:numPr>
        <w:spacing w:before="0" w:after="60"/>
        <w:rPr/>
      </w:pPr>
      <w:r>
        <w:rPr>
          <w:rFonts w:eastAsia="Arial" w:cs="Arial"/>
          <w:color w:val="000000"/>
          <w:sz w:val="20"/>
          <w:szCs w:val="20"/>
        </w:rPr>
        <w:t>Kršenja ovih Uvjeti korištenja</w:t>
      </w:r>
    </w:p>
    <w:p>
      <w:pPr>
        <w:pStyle w:val="ListParagraph"/>
        <w:numPr>
          <w:ilvl w:val="0"/>
          <w:numId w:val="2"/>
        </w:numPr>
        <w:spacing w:before="0" w:after="60"/>
        <w:rPr/>
      </w:pPr>
      <w:r>
        <w:rPr>
          <w:rFonts w:eastAsia="Arial" w:cs="Arial"/>
          <w:color w:val="000000"/>
          <w:sz w:val="20"/>
          <w:szCs w:val="20"/>
        </w:rPr>
        <w:t>Neplaćanja pretplate</w:t>
      </w:r>
    </w:p>
    <w:p>
      <w:pPr>
        <w:pStyle w:val="ListParagraph"/>
        <w:numPr>
          <w:ilvl w:val="0"/>
          <w:numId w:val="2"/>
        </w:numPr>
        <w:spacing w:before="0" w:after="60"/>
        <w:rPr/>
      </w:pPr>
      <w:r>
        <w:rPr>
          <w:rFonts w:eastAsia="Arial" w:cs="Arial"/>
          <w:color w:val="000000"/>
          <w:sz w:val="20"/>
          <w:szCs w:val="20"/>
        </w:rPr>
        <w:t>Nezakonite ili štetne upotrebe Platforme</w:t>
      </w:r>
    </w:p>
    <w:p>
      <w:pPr>
        <w:pStyle w:val="ListParagraph"/>
        <w:numPr>
          <w:ilvl w:val="0"/>
          <w:numId w:val="2"/>
        </w:numPr>
        <w:spacing w:before="0" w:after="60"/>
        <w:rPr/>
      </w:pPr>
      <w:r>
        <w:rPr>
          <w:rFonts w:eastAsia="Arial" w:cs="Arial"/>
          <w:color w:val="000000"/>
          <w:sz w:val="20"/>
          <w:szCs w:val="20"/>
        </w:rPr>
        <w:t>Na zahtjev nadležnih tijela</w:t>
      </w:r>
    </w:p>
    <w:p>
      <w:pPr>
        <w:pStyle w:val="Heading1"/>
        <w:spacing w:before="360" w:after="120"/>
        <w:rPr/>
      </w:pPr>
      <w:r>
        <w:rPr>
          <w:rFonts w:eastAsia="Arial" w:cs="Arial"/>
          <w:b/>
          <w:bCs/>
          <w:color w:val="1E3A5F"/>
          <w:sz w:val="28"/>
          <w:szCs w:val="28"/>
        </w:rPr>
        <w:t>14. Mjerodavno pravo i rješavanje sporova</w:t>
      </w:r>
    </w:p>
    <w:p>
      <w:pPr>
        <w:pStyle w:val="Normal"/>
        <w:spacing w:before="0" w:after="100"/>
        <w:jc w:val="both"/>
        <w:rPr/>
      </w:pPr>
      <w:r>
        <w:rPr>
          <w:rFonts w:eastAsia="Arial" w:cs="Arial"/>
          <w:color w:val="000000"/>
          <w:sz w:val="20"/>
          <w:szCs w:val="20"/>
        </w:rPr>
        <w:t>Na ove Uvjete korištenja primjenjuje se pravo Bosne i Hercegovine / Federacije Bosne i Hercegovine. U slučaju spora, nadležan je [Općinski sud u [Grad]].</w:t>
      </w:r>
    </w:p>
    <w:p>
      <w:pPr>
        <w:pStyle w:val="Normal"/>
        <w:spacing w:before="0" w:after="100"/>
        <w:jc w:val="both"/>
        <w:rPr/>
      </w:pPr>
      <w:r>
        <w:rPr>
          <w:rFonts w:eastAsia="Arial" w:cs="Arial"/>
          <w:color w:val="000000"/>
          <w:sz w:val="20"/>
          <w:szCs w:val="20"/>
        </w:rPr>
        <w:t>Sve sporove nastojimo riješiti sporazumno putem direktne komunikacije. Potrošači iz EU/EEA mogu koristiti platformu za alternativno online rješavanje sporova: ec.europa.eu/consumers/odr</w:t>
      </w:r>
    </w:p>
    <w:p>
      <w:pPr>
        <w:pStyle w:val="Heading1"/>
        <w:spacing w:before="360" w:after="120"/>
        <w:rPr/>
      </w:pPr>
      <w:r>
        <w:rPr>
          <w:rFonts w:eastAsia="Arial" w:cs="Arial"/>
          <w:b/>
          <w:bCs/>
          <w:color w:val="1E3A5F"/>
          <w:sz w:val="28"/>
          <w:szCs w:val="28"/>
        </w:rPr>
        <w:t>15. Kontakt</w:t>
      </w:r>
    </w:p>
    <w:p>
      <w:pPr>
        <w:pStyle w:val="Normal"/>
        <w:spacing w:before="0" w:after="100"/>
        <w:jc w:val="both"/>
        <w:rPr/>
      </w:pPr>
      <w:r>
        <w:rPr>
          <w:rFonts w:eastAsia="Arial" w:cs="Arial"/>
          <w:color w:val="000000"/>
          <w:sz w:val="20"/>
          <w:szCs w:val="20"/>
        </w:rPr>
        <w:t>[Puni zvanični naziv obrta]</w:t>
      </w:r>
    </w:p>
    <w:p>
      <w:pPr>
        <w:pStyle w:val="Normal"/>
        <w:spacing w:before="0" w:after="100"/>
        <w:jc w:val="both"/>
        <w:rPr/>
      </w:pPr>
      <w:r>
        <w:rPr>
          <w:rFonts w:eastAsia="Arial" w:cs="Arial"/>
          <w:color w:val="000000"/>
          <w:sz w:val="20"/>
          <w:szCs w:val="20"/>
        </w:rPr>
        <w:t>Adresa: [Ulica i broj, Grad, FBiH, Bosna i Hercegovina]</w:t>
      </w:r>
    </w:p>
    <w:p>
      <w:pPr>
        <w:pStyle w:val="Normal"/>
        <w:spacing w:before="0" w:after="100"/>
        <w:jc w:val="both"/>
        <w:rPr/>
      </w:pPr>
      <w:r>
        <w:rPr>
          <w:rFonts w:eastAsia="Arial" w:cs="Arial"/>
          <w:color w:val="000000"/>
          <w:sz w:val="20"/>
          <w:szCs w:val="20"/>
        </w:rPr>
        <w:t>E-mail: [kontakt@email.com]</w:t>
      </w:r>
    </w:p>
    <w:p>
      <w:pPr>
        <w:pStyle w:val="Normal"/>
        <w:spacing w:before="0" w:after="100"/>
        <w:jc w:val="both"/>
        <w:rPr/>
      </w:pPr>
      <w:r>
        <w:rPr>
          <w:rFonts w:eastAsia="Arial" w:cs="Arial"/>
          <w:color w:val="000000"/>
          <w:sz w:val="20"/>
          <w:szCs w:val="20"/>
        </w:rPr>
        <w:t>JIB: [JIB broj obrta]</w:t>
      </w:r>
    </w:p>
    <w:p>
      <w:pPr>
        <w:pStyle w:val="Normal"/>
        <w:spacing w:before="0" w:after="100"/>
        <w:jc w:val="both"/>
        <w:rPr>
          <w:rFonts w:ascii="Arial" w:hAnsi="Arial" w:eastAsia="Arial" w:cs="Arial"/>
          <w:color w:val="000000"/>
          <w:sz w:val="20"/>
          <w:szCs w:val="20"/>
        </w:rPr>
      </w:pPr>
      <w:r>
        <w:rPr>
          <w:rFonts w:eastAsia="Arial" w:cs="Arial"/>
          <w:color w:val="000000"/>
          <w:sz w:val="20"/>
          <w:szCs w:val="20"/>
        </w:rPr>
        <w:t>Web:</w:t>
      </w:r>
      <w:hyperlink r:id="rId2">
        <w:r>
          <w:rPr>
            <w:rStyle w:val="Hyperlink"/>
            <w:rFonts w:eastAsia="Arial" w:cs="Arial"/>
            <w:color w:val="000000"/>
            <w:sz w:val="20"/>
            <w:szCs w:val="20"/>
          </w:rPr>
          <w:t>https://ei-apps.com</w:t>
        </w:r>
      </w:hyperlink>
    </w:p>
    <w:p>
      <w:pPr>
        <w:pStyle w:val="Normal"/>
        <w:spacing w:before="0" w:after="100"/>
        <w:jc w:val="both"/>
        <w:rPr>
          <w:rFonts w:ascii="Arial" w:hAnsi="Arial" w:eastAsia="Arial" w:cs="Arial"/>
          <w:color w:val="000000"/>
          <w:sz w:val="20"/>
          <w:szCs w:val="20"/>
        </w:rPr>
      </w:pPr>
      <w:r>
        <w:rPr>
          <w:rFonts w:eastAsia="Arial" w:cs="Arial"/>
          <w:color w:val="000000"/>
          <w:sz w:val="20"/>
          <w:szCs w:val="20"/>
        </w:rPr>
      </w:r>
    </w:p>
    <w:tbl>
      <w:tblPr>
        <w:tblW w:w="9026" w:type="dxa"/>
        <w:jc w:val="start"/>
        <w:tblInd w:w="0" w:type="dxa"/>
        <w:tblLayout w:type="fixed"/>
        <w:tblCellMar>
          <w:top w:w="80" w:type="dxa"/>
          <w:start w:w="120" w:type="dxa"/>
          <w:bottom w:w="80" w:type="dxa"/>
          <w:end w:w="120" w:type="dxa"/>
        </w:tblCellMar>
      </w:tblPr>
      <w:tblGrid>
        <w:gridCol w:w="2798"/>
        <w:gridCol w:w="6228"/>
      </w:tblGrid>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Datum izmjene</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[DD.MM.YYYY]</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Pružalac usluge</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O.D. “Ei-APPS” vl. Ibrahimović Emir</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Adresa</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Stupska 19 AII</w:t>
            </w:r>
            <w:r>
              <w:rPr>
                <w:rFonts w:eastAsia="Arial" w:cs="Arial"/>
                <w:color w:val="000000"/>
                <w:sz w:val="18"/>
                <w:szCs w:val="18"/>
              </w:rPr>
              <w:t xml:space="preserve">, </w:t>
            </w:r>
            <w:r>
              <w:rPr>
                <w:rFonts w:eastAsia="Arial" w:cs="Arial"/>
                <w:color w:val="000000"/>
                <w:sz w:val="18"/>
                <w:szCs w:val="18"/>
              </w:rPr>
              <w:t>Ilidža,</w:t>
            </w:r>
            <w:r>
              <w:rPr>
                <w:rFonts w:eastAsia="Arial" w:cs="Arial"/>
                <w:color w:val="000000"/>
                <w:sz w:val="18"/>
                <w:szCs w:val="18"/>
              </w:rPr>
              <w:t xml:space="preserve"> Bosna i Hercegovina</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JIB</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4304382050006</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Kontakt</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info@ei-apps.com</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Web</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https://ei-apps.com</w:t>
            </w:r>
          </w:p>
        </w:tc>
      </w:tr>
    </w:tbl>
    <w:p>
      <w:pPr>
        <w:pStyle w:val="Normal"/>
        <w:spacing w:before="0" w:after="80"/>
        <w:rPr/>
      </w:pPr>
      <w:r>
        <w:rPr/>
        <w:br/>
        <w:br/>
        <w:br/>
        <w:br/>
        <w:br/>
      </w:r>
    </w:p>
    <w:p>
      <w:pPr>
        <w:pStyle w:val="Normal"/>
        <w:jc w:val="center"/>
        <w:rPr/>
      </w:pPr>
      <w:r>
        <w:rPr>
          <w:rFonts w:eastAsia="Arial" w:cs="Arial"/>
          <w:i/>
          <w:iCs/>
          <w:color w:val="555555"/>
          <w:sz w:val="18"/>
          <w:szCs w:val="18"/>
        </w:rPr>
        <w:t>© [YYYY] ei-apps. Sva prava zadržana.</w:t>
      </w:r>
    </w:p>
    <w:p>
      <w:pPr>
        <w:pStyle w:val="Normal"/>
        <w:rPr/>
      </w:pPr>
      <w:r>
        <w:rPr/>
      </w:r>
      <w:r>
        <w:br w:type="page"/>
      </w:r>
    </w:p>
    <w:p>
      <w:pPr>
        <w:pStyle w:val="Normal"/>
        <w:shd w:val="clear" w:fill="1E3A5F"/>
        <w:spacing w:before="0" w:after="200"/>
        <w:jc w:val="center"/>
        <w:rPr/>
      </w:pPr>
      <w:r>
        <w:rPr>
          <w:rFonts w:eastAsia="Arial" w:cs="Arial"/>
          <w:b/>
          <w:bCs/>
          <w:caps/>
          <w:color w:val="FFFFFF"/>
          <w:sz w:val="24"/>
          <w:szCs w:val="24"/>
        </w:rPr>
        <w:t xml:space="preserve">── </w:t>
      </w:r>
      <w:r>
        <w:rPr>
          <w:rFonts w:eastAsia="Arial" w:cs="Arial"/>
          <w:b/>
          <w:bCs/>
          <w:caps/>
          <w:color w:val="FFFFFF"/>
          <w:sz w:val="24"/>
          <w:szCs w:val="24"/>
        </w:rPr>
        <w:t>TERMS OF SERVICE — ENGLISH ──</w:t>
      </w:r>
    </w:p>
    <w:p>
      <w:pPr>
        <w:pStyle w:val="Normal"/>
        <w:spacing w:before="0" w:after="80"/>
        <w:jc w:val="center"/>
        <w:rPr/>
      </w:pPr>
      <w:r>
        <w:rPr>
          <w:rFonts w:eastAsia="Arial" w:cs="Arial"/>
          <w:b/>
          <w:bCs/>
          <w:color w:val="1E3A5F"/>
          <w:sz w:val="48"/>
          <w:szCs w:val="48"/>
        </w:rPr>
        <w:t>TERMS OF SERVICE</w:t>
      </w:r>
    </w:p>
    <w:p>
      <w:pPr>
        <w:pStyle w:val="Normal"/>
        <w:spacing w:before="0" w:after="40"/>
        <w:jc w:val="center"/>
        <w:rPr/>
      </w:pPr>
      <w:r>
        <w:rPr>
          <w:rFonts w:eastAsia="Arial" w:cs="Arial"/>
          <w:color w:val="2E75B6"/>
          <w:sz w:val="22"/>
          <w:szCs w:val="22"/>
        </w:rPr>
        <w:t>ei-apps Platform</w:t>
      </w:r>
    </w:p>
    <w:p>
      <w:pPr>
        <w:pStyle w:val="Normal"/>
        <w:spacing w:before="0" w:after="160"/>
        <w:rPr/>
      </w:pPr>
      <w:r>
        <w:rPr/>
      </w:r>
    </w:p>
    <w:p>
      <w:pPr>
        <w:pStyle w:val="Normal"/>
        <w:spacing w:before="0" w:after="200"/>
        <w:rPr/>
      </w:pPr>
      <w:r>
        <w:rPr/>
      </w:r>
    </w:p>
    <w:p>
      <w:pPr>
        <w:pStyle w:val="Heading1"/>
        <w:spacing w:before="360" w:after="120"/>
        <w:rPr/>
      </w:pPr>
      <w:r>
        <w:rPr>
          <w:rFonts w:eastAsia="Arial" w:cs="Arial"/>
          <w:b/>
          <w:bCs/>
          <w:color w:val="1E3A5F"/>
          <w:sz w:val="28"/>
          <w:szCs w:val="28"/>
        </w:rPr>
        <w:t>1. Acceptance of Terms</w:t>
      </w:r>
    </w:p>
    <w:p>
      <w:pPr>
        <w:pStyle w:val="Normal"/>
        <w:spacing w:before="0" w:after="100"/>
        <w:jc w:val="both"/>
        <w:rPr/>
      </w:pPr>
      <w:r>
        <w:rPr>
          <w:rFonts w:eastAsia="Arial" w:cs="Arial"/>
          <w:color w:val="000000"/>
          <w:sz w:val="20"/>
          <w:szCs w:val="20"/>
        </w:rPr>
        <w:t>By accessing or using any web application, service, or content available through the ei-apps platform (hereinafter: the Platform), including but not limited to the "Evidencija rada" application and any future applications published on the Platform, you confirm that you have read, understood, and accepted these Terms of Service in full.</w:t>
      </w:r>
    </w:p>
    <w:p>
      <w:pPr>
        <w:pStyle w:val="Normal"/>
        <w:spacing w:before="0" w:after="100"/>
        <w:jc w:val="both"/>
        <w:rPr/>
      </w:pPr>
      <w:r>
        <w:rPr>
          <w:rFonts w:eastAsia="Arial" w:cs="Arial"/>
          <w:color w:val="000000"/>
          <w:sz w:val="20"/>
          <w:szCs w:val="20"/>
        </w:rPr>
        <w:t>If you do not accept these Terms, please stop using the Platform and all its applications.</w:t>
      </w:r>
    </w:p>
    <w:p>
      <w:pPr>
        <w:pStyle w:val="Normal"/>
        <w:spacing w:before="0" w:after="100"/>
        <w:jc w:val="both"/>
        <w:rPr/>
      </w:pPr>
      <w:r>
        <w:rPr>
          <w:rFonts w:eastAsia="Arial" w:cs="Arial"/>
          <w:color w:val="000000"/>
          <w:sz w:val="20"/>
          <w:szCs w:val="20"/>
        </w:rPr>
        <w:t>These Terms apply to all categories of users, including private individuals, sole traders, small and medium enterprises, and larger organisations.</w:t>
      </w:r>
    </w:p>
    <w:p>
      <w:pPr>
        <w:pStyle w:val="Heading1"/>
        <w:spacing w:before="360" w:after="120"/>
        <w:rPr/>
      </w:pPr>
      <w:r>
        <w:rPr>
          <w:rFonts w:eastAsia="Arial" w:cs="Arial"/>
          <w:b/>
          <w:bCs/>
          <w:color w:val="1E3A5F"/>
          <w:sz w:val="28"/>
          <w:szCs w:val="28"/>
        </w:rPr>
        <w:t>2. Description of the Platform and Services</w:t>
      </w:r>
    </w:p>
    <w:p>
      <w:pPr>
        <w:pStyle w:val="Normal"/>
        <w:spacing w:before="0" w:after="100"/>
        <w:jc w:val="both"/>
        <w:rPr/>
      </w:pPr>
      <w:r>
        <w:rPr>
          <w:rFonts w:eastAsia="Arial" w:cs="Arial"/>
          <w:color w:val="000000"/>
          <w:sz w:val="20"/>
          <w:szCs w:val="20"/>
        </w:rPr>
        <w:t>ei-apps is a SaaS platform providing one or more web-based applications and services intended for business management and process automation. Currently available and future Platform applications may include:</w:t>
      </w:r>
    </w:p>
    <w:p>
      <w:pPr>
        <w:pStyle w:val="ListParagraph"/>
        <w:numPr>
          <w:ilvl w:val="0"/>
          <w:numId w:val="2"/>
        </w:numPr>
        <w:spacing w:before="0" w:after="60"/>
        <w:rPr/>
      </w:pPr>
      <w:r>
        <w:rPr>
          <w:rFonts w:eastAsia="Arial" w:cs="Arial"/>
          <w:color w:val="000000"/>
          <w:sz w:val="20"/>
          <w:szCs w:val="20"/>
        </w:rPr>
        <w:t>Work time and service record management</w:t>
      </w:r>
    </w:p>
    <w:p>
      <w:pPr>
        <w:pStyle w:val="ListParagraph"/>
        <w:numPr>
          <w:ilvl w:val="0"/>
          <w:numId w:val="2"/>
        </w:numPr>
        <w:spacing w:before="0" w:after="60"/>
        <w:rPr/>
      </w:pPr>
      <w:r>
        <w:rPr>
          <w:rFonts w:eastAsia="Arial" w:cs="Arial"/>
          <w:color w:val="000000"/>
          <w:sz w:val="20"/>
          <w:szCs w:val="20"/>
        </w:rPr>
        <w:t>Appointment, client, and employee management</w:t>
      </w:r>
    </w:p>
    <w:p>
      <w:pPr>
        <w:pStyle w:val="ListParagraph"/>
        <w:numPr>
          <w:ilvl w:val="0"/>
          <w:numId w:val="2"/>
        </w:numPr>
        <w:spacing w:before="0" w:after="60"/>
        <w:rPr/>
      </w:pPr>
      <w:r>
        <w:rPr>
          <w:rFonts w:eastAsia="Arial" w:cs="Arial"/>
          <w:color w:val="000000"/>
          <w:sz w:val="20"/>
          <w:szCs w:val="20"/>
        </w:rPr>
        <w:t>Reporting and analytics</w:t>
      </w:r>
    </w:p>
    <w:p>
      <w:pPr>
        <w:pStyle w:val="ListParagraph"/>
        <w:numPr>
          <w:ilvl w:val="0"/>
          <w:numId w:val="2"/>
        </w:numPr>
        <w:spacing w:before="0" w:after="60"/>
        <w:rPr/>
      </w:pPr>
      <w:r>
        <w:rPr>
          <w:rFonts w:eastAsia="Arial" w:cs="Arial"/>
          <w:color w:val="000000"/>
          <w:sz w:val="20"/>
          <w:szCs w:val="20"/>
        </w:rPr>
        <w:t>Other business functionalities published on the Platform</w:t>
      </w:r>
    </w:p>
    <w:p>
      <w:pPr>
        <w:pStyle w:val="Normal"/>
        <w:spacing w:before="0" w:after="100"/>
        <w:jc w:val="both"/>
        <w:rPr/>
      </w:pPr>
      <w:r>
        <w:rPr>
          <w:rFonts w:eastAsia="Arial" w:cs="Arial"/>
          <w:color w:val="000000"/>
          <w:sz w:val="20"/>
          <w:szCs w:val="20"/>
        </w:rPr>
        <w:t>Specific features may vary depending on the application and subscription plan. ei-apps reserves the right to add, modify, or remove applications and features from the Platform with prior notice to users.</w:t>
      </w:r>
    </w:p>
    <w:p>
      <w:pPr>
        <w:pStyle w:val="Heading1"/>
        <w:spacing w:before="360" w:after="120"/>
        <w:rPr/>
      </w:pPr>
      <w:r>
        <w:rPr>
          <w:rFonts w:eastAsia="Arial" w:cs="Arial"/>
          <w:b/>
          <w:bCs/>
          <w:color w:val="1E3A5F"/>
          <w:sz w:val="28"/>
          <w:szCs w:val="28"/>
        </w:rPr>
        <w:t>3. User Accounts</w:t>
      </w:r>
    </w:p>
    <w:p>
      <w:pPr>
        <w:pStyle w:val="Heading2"/>
        <w:spacing w:before="240" w:after="80"/>
        <w:rPr/>
      </w:pPr>
      <w:r>
        <w:rPr>
          <w:rFonts w:eastAsia="Arial" w:cs="Arial"/>
          <w:b/>
          <w:bCs/>
          <w:color w:val="2E75B6"/>
          <w:sz w:val="24"/>
          <w:szCs w:val="24"/>
        </w:rPr>
        <w:t>3.1 Account Creation</w:t>
      </w:r>
    </w:p>
    <w:p>
      <w:pPr>
        <w:pStyle w:val="Normal"/>
        <w:spacing w:before="0" w:after="100"/>
        <w:jc w:val="both"/>
        <w:rPr/>
      </w:pPr>
      <w:r>
        <w:rPr>
          <w:rFonts w:eastAsia="Arial" w:cs="Arial"/>
          <w:color w:val="000000"/>
          <w:sz w:val="20"/>
          <w:szCs w:val="20"/>
        </w:rPr>
        <w:t>Access to the Platform requires creating a user account. Required registration data: full name, email address, and password.</w:t>
      </w:r>
    </w:p>
    <w:p>
      <w:pPr>
        <w:pStyle w:val="Heading2"/>
        <w:spacing w:before="240" w:after="80"/>
        <w:rPr/>
      </w:pPr>
      <w:r>
        <w:rPr>
          <w:rFonts w:eastAsia="Arial" w:cs="Arial"/>
          <w:b/>
          <w:bCs/>
          <w:color w:val="2E75B6"/>
          <w:sz w:val="24"/>
          <w:szCs w:val="24"/>
        </w:rPr>
        <w:t>3.2 User Responsibilities</w:t>
      </w:r>
    </w:p>
    <w:p>
      <w:pPr>
        <w:pStyle w:val="Normal"/>
        <w:spacing w:before="0" w:after="100"/>
        <w:jc w:val="both"/>
        <w:rPr/>
      </w:pPr>
      <w:r>
        <w:rPr>
          <w:rFonts w:eastAsia="Arial" w:cs="Arial"/>
          <w:color w:val="000000"/>
          <w:sz w:val="20"/>
          <w:szCs w:val="20"/>
        </w:rPr>
        <w:t>Users are solely responsible for:</w:t>
      </w:r>
    </w:p>
    <w:p>
      <w:pPr>
        <w:pStyle w:val="ListParagraph"/>
        <w:numPr>
          <w:ilvl w:val="0"/>
          <w:numId w:val="2"/>
        </w:numPr>
        <w:spacing w:before="0" w:after="60"/>
        <w:rPr/>
      </w:pPr>
      <w:r>
        <w:rPr>
          <w:rFonts w:eastAsia="Arial" w:cs="Arial"/>
          <w:color w:val="000000"/>
          <w:sz w:val="20"/>
          <w:szCs w:val="20"/>
        </w:rPr>
        <w:t>The security and confidentiality of their password and access credentials</w:t>
      </w:r>
    </w:p>
    <w:p>
      <w:pPr>
        <w:pStyle w:val="ListParagraph"/>
        <w:numPr>
          <w:ilvl w:val="0"/>
          <w:numId w:val="2"/>
        </w:numPr>
        <w:spacing w:before="0" w:after="60"/>
        <w:rPr/>
      </w:pPr>
      <w:r>
        <w:rPr>
          <w:rFonts w:eastAsia="Arial" w:cs="Arial"/>
          <w:color w:val="000000"/>
          <w:sz w:val="20"/>
          <w:szCs w:val="20"/>
        </w:rPr>
        <w:t>All activities carried out through their account</w:t>
      </w:r>
    </w:p>
    <w:p>
      <w:pPr>
        <w:pStyle w:val="ListParagraph"/>
        <w:numPr>
          <w:ilvl w:val="0"/>
          <w:numId w:val="2"/>
        </w:numPr>
        <w:spacing w:before="0" w:after="60"/>
        <w:rPr/>
      </w:pPr>
      <w:r>
        <w:rPr>
          <w:rFonts w:eastAsia="Arial" w:cs="Arial"/>
          <w:color w:val="000000"/>
          <w:sz w:val="20"/>
          <w:szCs w:val="20"/>
        </w:rPr>
        <w:t>The accuracy and currency of information entered into their account</w:t>
      </w:r>
    </w:p>
    <w:p>
      <w:pPr>
        <w:pStyle w:val="ListParagraph"/>
        <w:numPr>
          <w:ilvl w:val="0"/>
          <w:numId w:val="2"/>
        </w:numPr>
        <w:spacing w:before="0" w:after="60"/>
        <w:rPr/>
      </w:pPr>
      <w:r>
        <w:rPr>
          <w:rFonts w:eastAsia="Arial" w:cs="Arial"/>
          <w:color w:val="000000"/>
          <w:sz w:val="20"/>
          <w:szCs w:val="20"/>
        </w:rPr>
        <w:t>The legality of all data and content entered into Platform applications</w:t>
      </w:r>
    </w:p>
    <w:p>
      <w:pPr>
        <w:pStyle w:val="ListParagraph"/>
        <w:numPr>
          <w:ilvl w:val="0"/>
          <w:numId w:val="2"/>
        </w:numPr>
        <w:spacing w:before="0" w:after="60"/>
        <w:rPr/>
      </w:pPr>
      <w:r>
        <w:rPr>
          <w:rFonts w:eastAsia="Arial" w:cs="Arial"/>
          <w:color w:val="000000"/>
          <w:sz w:val="20"/>
          <w:szCs w:val="20"/>
        </w:rPr>
        <w:t>Promptly notifying the service provider of any unauthorised access</w:t>
      </w:r>
    </w:p>
    <w:p>
      <w:pPr>
        <w:pStyle w:val="Heading2"/>
        <w:spacing w:before="240" w:after="80"/>
        <w:rPr/>
      </w:pPr>
      <w:r>
        <w:rPr>
          <w:rFonts w:eastAsia="Arial" w:cs="Arial"/>
          <w:b/>
          <w:bCs/>
          <w:color w:val="2E75B6"/>
          <w:sz w:val="24"/>
          <w:szCs w:val="24"/>
        </w:rPr>
        <w:t>3.3 Account Types</w:t>
      </w:r>
    </w:p>
    <w:p>
      <w:pPr>
        <w:pStyle w:val="Normal"/>
        <w:spacing w:before="0" w:after="100"/>
        <w:jc w:val="both"/>
        <w:rPr/>
      </w:pPr>
      <w:r>
        <w:rPr>
          <w:rFonts w:eastAsia="Arial" w:cs="Arial"/>
          <w:color w:val="000000"/>
          <w:sz w:val="20"/>
          <w:szCs w:val="20"/>
        </w:rPr>
        <w:t>The Platform supports different user types within the same organisation (e.g. owners, administrators, employees). Access rights and permissions are defined within each application separately.</w:t>
      </w:r>
    </w:p>
    <w:p>
      <w:pPr>
        <w:pStyle w:val="Heading1"/>
        <w:spacing w:before="360" w:after="120"/>
        <w:rPr/>
      </w:pPr>
      <w:r>
        <w:rPr>
          <w:rFonts w:eastAsia="Arial" w:cs="Arial"/>
          <w:b/>
          <w:bCs/>
          <w:color w:val="1E3A5F"/>
          <w:sz w:val="28"/>
          <w:szCs w:val="28"/>
        </w:rPr>
        <w:t>4. User-Entered Data Relating to Third Parties</w:t>
      </w:r>
    </w:p>
    <w:p>
      <w:pPr>
        <w:pStyle w:val="Normal"/>
        <w:spacing w:before="0" w:after="100"/>
        <w:jc w:val="both"/>
        <w:rPr/>
      </w:pPr>
      <w:r>
        <w:rPr>
          <w:rFonts w:eastAsia="Arial" w:cs="Arial"/>
          <w:color w:val="000000"/>
          <w:sz w:val="20"/>
          <w:szCs w:val="20"/>
        </w:rPr>
        <w:t>Platform users may enter personal data of third parties within applications (e.g. name, phone number, email address of clients, patients, customers, or other individuals) for the purpose of appointment management, order management, work processes, or similar activities.</w:t>
      </w:r>
    </w:p>
    <w:p>
      <w:pPr>
        <w:pStyle w:val="Normal"/>
        <w:spacing w:before="0" w:after="100"/>
        <w:jc w:val="both"/>
        <w:rPr/>
      </w:pPr>
      <w:r>
        <w:rPr>
          <w:rFonts w:eastAsia="Arial" w:cs="Arial"/>
          <w:color w:val="000000"/>
          <w:sz w:val="20"/>
          <w:szCs w:val="20"/>
        </w:rPr>
        <w:t>With respect to such data:</w:t>
      </w:r>
    </w:p>
    <w:p>
      <w:pPr>
        <w:pStyle w:val="ListParagraph"/>
        <w:numPr>
          <w:ilvl w:val="0"/>
          <w:numId w:val="2"/>
        </w:numPr>
        <w:spacing w:before="0" w:after="60"/>
        <w:rPr/>
      </w:pPr>
      <w:r>
        <w:rPr>
          <w:rFonts w:eastAsia="Arial" w:cs="Arial"/>
          <w:color w:val="000000"/>
          <w:sz w:val="20"/>
          <w:szCs w:val="20"/>
        </w:rPr>
        <w:t>The user acts as an independent data controller and is solely responsible for the lawfulness of the processing of such data in accordance with BiH personal data protection law and the GDPR.</w:t>
      </w:r>
    </w:p>
    <w:p>
      <w:pPr>
        <w:pStyle w:val="ListParagraph"/>
        <w:numPr>
          <w:ilvl w:val="0"/>
          <w:numId w:val="2"/>
        </w:numPr>
        <w:spacing w:before="0" w:after="60"/>
        <w:rPr/>
      </w:pPr>
      <w:r>
        <w:rPr>
          <w:rFonts w:eastAsia="Arial" w:cs="Arial"/>
          <w:color w:val="000000"/>
          <w:sz w:val="20"/>
          <w:szCs w:val="20"/>
        </w:rPr>
        <w:t>ei-apps acts as a data processor solely to the extent necessary for the technical delivery of the service, in accordance with the Data Processing Agreement (DPA) which forms an integral part of these Terms and is publicly available at: https://ei-apps.com/dpa</w:t>
      </w:r>
    </w:p>
    <w:p>
      <w:pPr>
        <w:pStyle w:val="ListParagraph"/>
        <w:numPr>
          <w:ilvl w:val="0"/>
          <w:numId w:val="2"/>
        </w:numPr>
        <w:spacing w:before="0" w:after="60"/>
        <w:rPr/>
      </w:pPr>
      <w:r>
        <w:rPr>
          <w:rFonts w:eastAsia="Arial" w:cs="Arial"/>
          <w:color w:val="000000"/>
          <w:sz w:val="20"/>
          <w:szCs w:val="20"/>
        </w:rPr>
        <w:t>The user must ensure an appropriate legal basis for the entry and processing of third-party personal data (consent, contractual relationship, or legitimate interest).</w:t>
      </w:r>
    </w:p>
    <w:p>
      <w:pPr>
        <w:pStyle w:val="ListParagraph"/>
        <w:numPr>
          <w:ilvl w:val="0"/>
          <w:numId w:val="2"/>
        </w:numPr>
        <w:spacing w:before="0" w:after="60"/>
        <w:rPr/>
      </w:pPr>
      <w:r>
        <w:rPr>
          <w:rFonts w:eastAsia="Arial" w:cs="Arial"/>
          <w:color w:val="000000"/>
          <w:sz w:val="20"/>
          <w:szCs w:val="20"/>
        </w:rPr>
        <w:t>ei-apps bears no liability for the content, accuracy, legality, or any damages arising from data entered by the user about third parties.</w:t>
      </w:r>
    </w:p>
    <w:p>
      <w:pPr>
        <w:pStyle w:val="ListParagraph"/>
        <w:numPr>
          <w:ilvl w:val="0"/>
          <w:numId w:val="2"/>
        </w:numPr>
        <w:spacing w:before="0" w:after="60"/>
        <w:rPr/>
      </w:pPr>
      <w:r>
        <w:rPr>
          <w:rFonts w:eastAsia="Arial" w:cs="Arial"/>
          <w:color w:val="000000"/>
          <w:sz w:val="20"/>
          <w:szCs w:val="20"/>
        </w:rPr>
        <w:t>The user undertakes not to enter personal data of third parties without an appropriate legal basis, nor to use the Platform in ways that contravene applicable data protection regulations.</w:t>
      </w:r>
    </w:p>
    <w:p>
      <w:pPr>
        <w:pStyle w:val="Heading1"/>
        <w:spacing w:before="360" w:after="120"/>
        <w:rPr/>
      </w:pPr>
      <w:r>
        <w:rPr>
          <w:rFonts w:eastAsia="Arial" w:cs="Arial"/>
          <w:b/>
          <w:bCs/>
          <w:color w:val="1E3A5F"/>
          <w:sz w:val="28"/>
          <w:szCs w:val="28"/>
        </w:rPr>
        <w:t>5. Data Processing Agreement (DPA)</w:t>
      </w:r>
    </w:p>
    <w:p>
      <w:pPr>
        <w:pStyle w:val="Normal"/>
        <w:spacing w:before="0" w:after="100"/>
        <w:jc w:val="both"/>
        <w:rPr/>
      </w:pPr>
      <w:r>
        <w:rPr>
          <w:rFonts w:eastAsia="Arial" w:cs="Arial"/>
          <w:color w:val="000000"/>
          <w:sz w:val="20"/>
          <w:szCs w:val="20"/>
        </w:rPr>
        <w:t>To the extent that Platform users enter personal data of third parties within ei-apps applications, ei-apps acts as a data processor on behalf of the user as data controller, in accordance with:</w:t>
      </w:r>
    </w:p>
    <w:p>
      <w:pPr>
        <w:pStyle w:val="ListParagraph"/>
        <w:numPr>
          <w:ilvl w:val="0"/>
          <w:numId w:val="2"/>
        </w:numPr>
        <w:spacing w:before="0" w:after="60"/>
        <w:rPr/>
      </w:pPr>
      <w:r>
        <w:rPr>
          <w:rFonts w:eastAsia="Arial" w:cs="Arial"/>
          <w:color w:val="000000"/>
          <w:sz w:val="20"/>
          <w:szCs w:val="20"/>
        </w:rPr>
        <w:t>The Law on Personal Data Protection of Bosnia and Herzegovina</w:t>
      </w:r>
    </w:p>
    <w:p>
      <w:pPr>
        <w:pStyle w:val="ListParagraph"/>
        <w:numPr>
          <w:ilvl w:val="0"/>
          <w:numId w:val="2"/>
        </w:numPr>
        <w:spacing w:before="0" w:after="60"/>
        <w:rPr/>
      </w:pPr>
      <w:r>
        <w:rPr>
          <w:rFonts w:eastAsia="Arial" w:cs="Arial"/>
          <w:color w:val="000000"/>
          <w:sz w:val="20"/>
          <w:szCs w:val="20"/>
        </w:rPr>
        <w:t>GDPR (Art. 28) — for users located in or operating within the EU/EEA</w:t>
      </w:r>
    </w:p>
    <w:p>
      <w:pPr>
        <w:pStyle w:val="Normal"/>
        <w:spacing w:before="0" w:after="100"/>
        <w:jc w:val="both"/>
        <w:rPr/>
      </w:pPr>
      <w:r>
        <w:rPr>
          <w:rFonts w:eastAsia="Arial" w:cs="Arial"/>
          <w:color w:val="000000"/>
          <w:sz w:val="20"/>
          <w:szCs w:val="20"/>
        </w:rPr>
        <w:t>ei-apps undertakes to:</w:t>
      </w:r>
    </w:p>
    <w:p>
      <w:pPr>
        <w:pStyle w:val="ListParagraph"/>
        <w:numPr>
          <w:ilvl w:val="0"/>
          <w:numId w:val="2"/>
        </w:numPr>
        <w:spacing w:before="0" w:after="60"/>
        <w:rPr/>
      </w:pPr>
      <w:r>
        <w:rPr>
          <w:rFonts w:eastAsia="Arial" w:cs="Arial"/>
          <w:color w:val="000000"/>
          <w:sz w:val="20"/>
          <w:szCs w:val="20"/>
        </w:rPr>
        <w:t>Process personal data of third parties solely in accordance with user instructions and for the purpose of providing the service</w:t>
      </w:r>
    </w:p>
    <w:p>
      <w:pPr>
        <w:pStyle w:val="ListParagraph"/>
        <w:numPr>
          <w:ilvl w:val="0"/>
          <w:numId w:val="2"/>
        </w:numPr>
        <w:spacing w:before="0" w:after="60"/>
        <w:rPr/>
      </w:pPr>
      <w:r>
        <w:rPr>
          <w:rFonts w:eastAsia="Arial" w:cs="Arial"/>
          <w:color w:val="000000"/>
          <w:sz w:val="20"/>
          <w:szCs w:val="20"/>
        </w:rPr>
        <w:t>Apply appropriate technical and organisational security measures</w:t>
      </w:r>
    </w:p>
    <w:p>
      <w:pPr>
        <w:pStyle w:val="ListParagraph"/>
        <w:numPr>
          <w:ilvl w:val="0"/>
          <w:numId w:val="2"/>
        </w:numPr>
        <w:spacing w:before="0" w:after="60"/>
        <w:rPr/>
      </w:pPr>
      <w:r>
        <w:rPr>
          <w:rFonts w:eastAsia="Arial" w:cs="Arial"/>
          <w:color w:val="000000"/>
          <w:sz w:val="20"/>
          <w:szCs w:val="20"/>
        </w:rPr>
        <w:t>Not disclose data to third parties except to infrastructure service providers (Google Firebase/Firestore, MongoDB) pursuant to data processing agreements</w:t>
      </w:r>
    </w:p>
    <w:p>
      <w:pPr>
        <w:pStyle w:val="ListParagraph"/>
        <w:numPr>
          <w:ilvl w:val="0"/>
          <w:numId w:val="2"/>
        </w:numPr>
        <w:spacing w:before="0" w:after="60"/>
        <w:rPr/>
      </w:pPr>
      <w:r>
        <w:rPr>
          <w:rFonts w:eastAsia="Arial" w:cs="Arial"/>
          <w:color w:val="000000"/>
          <w:sz w:val="20"/>
          <w:szCs w:val="20"/>
        </w:rPr>
        <w:t>Support users in fulfilling data subject rights (erasure, rectification, portability)</w:t>
      </w:r>
    </w:p>
    <w:p>
      <w:pPr>
        <w:pStyle w:val="ListParagraph"/>
        <w:numPr>
          <w:ilvl w:val="0"/>
          <w:numId w:val="2"/>
        </w:numPr>
        <w:spacing w:before="0" w:after="60"/>
        <w:rPr/>
      </w:pPr>
      <w:r>
        <w:rPr>
          <w:rFonts w:eastAsia="Arial" w:cs="Arial"/>
          <w:color w:val="000000"/>
          <w:sz w:val="20"/>
          <w:szCs w:val="20"/>
        </w:rPr>
        <w:t>Notify users of data breaches within legally prescribed timeframes</w:t>
      </w:r>
    </w:p>
    <w:p>
      <w:pPr>
        <w:pStyle w:val="Normal"/>
        <w:spacing w:before="0" w:after="100"/>
        <w:jc w:val="both"/>
        <w:rPr/>
      </w:pPr>
      <w:r>
        <w:rPr>
          <w:rFonts w:eastAsia="Arial" w:cs="Arial"/>
          <w:color w:val="000000"/>
          <w:sz w:val="20"/>
          <w:szCs w:val="20"/>
        </w:rPr>
        <w:t>The full Data Processing Agreement (DPA) forms an integral part of these Terms and is publicly available at: https://ei-apps.com/dpa</w:t>
      </w:r>
    </w:p>
    <w:p>
      <w:pPr>
        <w:pStyle w:val="Heading1"/>
        <w:spacing w:before="360" w:after="120"/>
        <w:rPr/>
      </w:pPr>
      <w:r>
        <w:rPr>
          <w:rFonts w:eastAsia="Arial" w:cs="Arial"/>
          <w:b/>
          <w:bCs/>
          <w:color w:val="1E3A5F"/>
          <w:sz w:val="28"/>
          <w:szCs w:val="28"/>
        </w:rPr>
        <w:t>6. Trial Period and Subscription Plans</w:t>
      </w:r>
    </w:p>
    <w:p>
      <w:pPr>
        <w:pStyle w:val="Heading2"/>
        <w:spacing w:before="240" w:after="80"/>
        <w:rPr/>
      </w:pPr>
      <w:r>
        <w:rPr>
          <w:rFonts w:eastAsia="Arial" w:cs="Arial"/>
          <w:b/>
          <w:bCs/>
          <w:color w:val="2E75B6"/>
          <w:sz w:val="24"/>
          <w:szCs w:val="24"/>
        </w:rPr>
        <w:t>6.1 Free Trial</w:t>
      </w:r>
    </w:p>
    <w:p>
      <w:pPr>
        <w:pStyle w:val="Normal"/>
        <w:spacing w:before="0" w:after="100"/>
        <w:jc w:val="both"/>
        <w:rPr/>
      </w:pPr>
      <w:r>
        <w:rPr>
          <w:rFonts w:eastAsia="Arial" w:cs="Arial"/>
          <w:color w:val="000000"/>
          <w:sz w:val="20"/>
          <w:szCs w:val="20"/>
        </w:rPr>
        <w:t>New users receive a free trial period of 7, 14, or 30 days from the date of registration, depending on the application used, with no payment obligation and no requirement to enter payment card details. The duration of the trial period for each application is stated on that application's description page.</w:t>
      </w:r>
    </w:p>
    <w:p>
      <w:pPr>
        <w:pStyle w:val="Heading2"/>
        <w:spacing w:before="240" w:after="80"/>
        <w:rPr/>
      </w:pPr>
      <w:r>
        <w:rPr>
          <w:rFonts w:eastAsia="Arial" w:cs="Arial"/>
          <w:b/>
          <w:bCs/>
          <w:color w:val="2E75B6"/>
          <w:sz w:val="24"/>
          <w:szCs w:val="24"/>
        </w:rPr>
        <w:t>6.2 Subscription Plans</w:t>
      </w:r>
    </w:p>
    <w:p>
      <w:pPr>
        <w:pStyle w:val="Normal"/>
        <w:spacing w:before="0" w:after="100"/>
        <w:jc w:val="both"/>
        <w:rPr/>
      </w:pPr>
      <w:r>
        <w:rPr>
          <w:rFonts w:eastAsia="Arial" w:cs="Arial"/>
          <w:color w:val="000000"/>
          <w:sz w:val="20"/>
          <w:szCs w:val="20"/>
        </w:rPr>
        <w:t>An active subscription is required to continue using the Platform after the trial period ends. Available plans and current prices are listed at: https://ei-apps.com/#pricing</w:t>
      </w:r>
    </w:p>
    <w:p>
      <w:pPr>
        <w:pStyle w:val="Normal"/>
        <w:spacing w:before="0" w:after="100"/>
        <w:jc w:val="both"/>
        <w:rPr/>
      </w:pPr>
      <w:r>
        <w:rPr>
          <w:rFonts w:eastAsia="Arial" w:cs="Arial"/>
          <w:color w:val="000000"/>
          <w:sz w:val="20"/>
          <w:szCs w:val="20"/>
        </w:rPr>
        <w:t>Note: Prices displayed on the pricing page must at all times match the prices set in the Paddle checkout process.</w:t>
      </w:r>
    </w:p>
    <w:p>
      <w:pPr>
        <w:pStyle w:val="Heading2"/>
        <w:spacing w:before="240" w:after="80"/>
        <w:rPr/>
      </w:pPr>
      <w:r>
        <w:rPr>
          <w:rFonts w:eastAsia="Arial" w:cs="Arial"/>
          <w:b/>
          <w:bCs/>
          <w:color w:val="2E75B6"/>
          <w:sz w:val="24"/>
          <w:szCs w:val="24"/>
        </w:rPr>
        <w:t>6.3 Payment Processing — Paddle.com</w:t>
      </w:r>
    </w:p>
    <w:p>
      <w:pPr>
        <w:pStyle w:val="Normal"/>
        <w:spacing w:before="0" w:after="100"/>
        <w:jc w:val="both"/>
        <w:rPr/>
      </w:pPr>
      <w:r>
        <w:rPr>
          <w:rFonts w:eastAsia="Arial" w:cs="Arial"/>
          <w:color w:val="000000"/>
          <w:sz w:val="20"/>
          <w:szCs w:val="20"/>
        </w:rPr>
        <w:t>All payments are processed by Paddle.com acting as Merchant of Record (MoR) for all orders. By purchasing a subscription, you are entering into a contract with Paddle.com in accordance with their terms of service.</w:t>
      </w:r>
    </w:p>
    <w:p>
      <w:pPr>
        <w:pStyle w:val="Normal"/>
        <w:shd w:val="clear" w:fill="EEF3FA"/>
        <w:spacing w:before="80" w:after="160"/>
        <w:jc w:val="start"/>
        <w:rPr/>
      </w:pPr>
      <w:r>
        <w:rPr>
          <w:rFonts w:eastAsia="Arial" w:cs="Arial"/>
          <w:i/>
          <w:iCs/>
          <w:color w:val="555555"/>
          <w:sz w:val="18"/>
          <w:szCs w:val="18"/>
        </w:rPr>
        <w:t>"Our order process is conducted by our online reseller Paddle.com. Paddle.com is the Merchant of Record for all our orders. Paddle provides all customer service inquiries and handles returns."</w:t>
      </w:r>
    </w:p>
    <w:p>
      <w:pPr>
        <w:pStyle w:val="Heading1"/>
        <w:spacing w:before="360" w:after="120"/>
        <w:rPr/>
      </w:pPr>
      <w:r>
        <w:rPr>
          <w:rFonts w:eastAsia="Arial" w:cs="Arial"/>
          <w:b/>
          <w:bCs/>
          <w:color w:val="1E3A5F"/>
          <w:sz w:val="28"/>
          <w:szCs w:val="28"/>
        </w:rPr>
        <w:t>7. Refund Policy</w:t>
      </w:r>
    </w:p>
    <w:p>
      <w:pPr>
        <w:pStyle w:val="Normal"/>
        <w:spacing w:before="0" w:after="100"/>
        <w:jc w:val="both"/>
        <w:rPr/>
      </w:pPr>
      <w:r>
        <w:rPr>
          <w:rFonts w:eastAsia="Arial" w:cs="Arial"/>
          <w:color w:val="000000"/>
          <w:sz w:val="20"/>
          <w:szCs w:val="20"/>
        </w:rPr>
        <w:t>Refund requests are reviewed in accordance with Paddle policies and applicable consumer protection laws. To initiate a refund request, contact Paddle customer support directly at: https://paddle.com</w:t>
      </w:r>
    </w:p>
    <w:p>
      <w:pPr>
        <w:pStyle w:val="Normal"/>
        <w:spacing w:before="0" w:after="100"/>
        <w:jc w:val="both"/>
        <w:rPr/>
      </w:pPr>
      <w:r>
        <w:rPr>
          <w:rFonts w:eastAsia="Arial" w:cs="Arial"/>
          <w:color w:val="000000"/>
          <w:sz w:val="20"/>
          <w:szCs w:val="20"/>
        </w:rPr>
        <w:t>EU/EEA consumers are entitled to rights under the Consumer Rights Directive (2011/83/EU), including the right of withdrawal within 14 days, subject to possible limitations for digital services that have been actively used.</w:t>
      </w:r>
    </w:p>
    <w:p>
      <w:pPr>
        <w:pStyle w:val="Heading1"/>
        <w:spacing w:before="360" w:after="120"/>
        <w:rPr/>
      </w:pPr>
      <w:r>
        <w:rPr>
          <w:rFonts w:eastAsia="Arial" w:cs="Arial"/>
          <w:b/>
          <w:bCs/>
          <w:color w:val="1E3A5F"/>
          <w:sz w:val="28"/>
          <w:szCs w:val="28"/>
        </w:rPr>
        <w:t>8. Permitted and Prohibited Use</w:t>
      </w:r>
    </w:p>
    <w:p>
      <w:pPr>
        <w:pStyle w:val="Heading2"/>
        <w:spacing w:before="240" w:after="80"/>
        <w:rPr/>
      </w:pPr>
      <w:r>
        <w:rPr>
          <w:rFonts w:eastAsia="Arial" w:cs="Arial"/>
          <w:b/>
          <w:bCs/>
          <w:color w:val="2E75B6"/>
          <w:sz w:val="24"/>
          <w:szCs w:val="24"/>
        </w:rPr>
        <w:t>8.1 Permitted Use</w:t>
      </w:r>
    </w:p>
    <w:p>
      <w:pPr>
        <w:pStyle w:val="Normal"/>
        <w:spacing w:before="0" w:after="100"/>
        <w:jc w:val="both"/>
        <w:rPr/>
      </w:pPr>
      <w:r>
        <w:rPr>
          <w:rFonts w:eastAsia="Arial" w:cs="Arial"/>
          <w:color w:val="000000"/>
          <w:sz w:val="20"/>
          <w:szCs w:val="20"/>
        </w:rPr>
        <w:t>The Platform and its applications may be used solely for lawful purposes, in accordance with the intended purpose of each application and these Terms.</w:t>
      </w:r>
    </w:p>
    <w:p>
      <w:pPr>
        <w:pStyle w:val="Heading2"/>
        <w:spacing w:before="240" w:after="80"/>
        <w:rPr/>
      </w:pPr>
      <w:r>
        <w:rPr>
          <w:rFonts w:eastAsia="Arial" w:cs="Arial"/>
          <w:b/>
          <w:bCs/>
          <w:color w:val="2E75B6"/>
          <w:sz w:val="24"/>
          <w:szCs w:val="24"/>
        </w:rPr>
        <w:t>8.2 Prohibited Use</w:t>
      </w:r>
    </w:p>
    <w:p>
      <w:pPr>
        <w:pStyle w:val="Normal"/>
        <w:spacing w:before="0" w:after="100"/>
        <w:jc w:val="both"/>
        <w:rPr/>
      </w:pPr>
      <w:r>
        <w:rPr>
          <w:rFonts w:eastAsia="Arial" w:cs="Arial"/>
          <w:color w:val="000000"/>
          <w:sz w:val="20"/>
          <w:szCs w:val="20"/>
        </w:rPr>
        <w:t>The following are strictly prohibited:</w:t>
      </w:r>
    </w:p>
    <w:p>
      <w:pPr>
        <w:pStyle w:val="ListParagraph"/>
        <w:numPr>
          <w:ilvl w:val="0"/>
          <w:numId w:val="2"/>
        </w:numPr>
        <w:spacing w:before="0" w:after="60"/>
        <w:rPr/>
      </w:pPr>
      <w:r>
        <w:rPr>
          <w:rFonts w:eastAsia="Arial" w:cs="Arial"/>
          <w:color w:val="000000"/>
          <w:sz w:val="20"/>
          <w:szCs w:val="20"/>
        </w:rPr>
        <w:t>Unauthorised access to systems, databases, or accounts of other users</w:t>
      </w:r>
    </w:p>
    <w:p>
      <w:pPr>
        <w:pStyle w:val="ListParagraph"/>
        <w:numPr>
          <w:ilvl w:val="0"/>
          <w:numId w:val="2"/>
        </w:numPr>
        <w:spacing w:before="0" w:after="60"/>
        <w:rPr/>
      </w:pPr>
      <w:r>
        <w:rPr>
          <w:rFonts w:eastAsia="Arial" w:cs="Arial"/>
          <w:color w:val="000000"/>
          <w:sz w:val="20"/>
          <w:szCs w:val="20"/>
        </w:rPr>
        <w:t>Distribution of malware, viruses, or harmful code through the Platform</w:t>
      </w:r>
    </w:p>
    <w:p>
      <w:pPr>
        <w:pStyle w:val="ListParagraph"/>
        <w:numPr>
          <w:ilvl w:val="0"/>
          <w:numId w:val="2"/>
        </w:numPr>
        <w:spacing w:before="0" w:after="60"/>
        <w:rPr/>
      </w:pPr>
      <w:r>
        <w:rPr>
          <w:rFonts w:eastAsia="Arial" w:cs="Arial"/>
          <w:color w:val="000000"/>
          <w:sz w:val="20"/>
          <w:szCs w:val="20"/>
        </w:rPr>
        <w:t>Reverse engineering, decompiling, or attempting to extract the source code of applications</w:t>
      </w:r>
    </w:p>
    <w:p>
      <w:pPr>
        <w:pStyle w:val="ListParagraph"/>
        <w:numPr>
          <w:ilvl w:val="0"/>
          <w:numId w:val="2"/>
        </w:numPr>
        <w:spacing w:before="0" w:after="60"/>
        <w:rPr/>
      </w:pPr>
      <w:r>
        <w:rPr>
          <w:rFonts w:eastAsia="Arial" w:cs="Arial"/>
          <w:color w:val="000000"/>
          <w:sz w:val="20"/>
          <w:szCs w:val="20"/>
        </w:rPr>
        <w:t>Reselling, sublicensing, or unauthorised sharing of Platform access</w:t>
      </w:r>
    </w:p>
    <w:p>
      <w:pPr>
        <w:pStyle w:val="ListParagraph"/>
        <w:numPr>
          <w:ilvl w:val="0"/>
          <w:numId w:val="2"/>
        </w:numPr>
        <w:spacing w:before="0" w:after="60"/>
        <w:rPr/>
      </w:pPr>
      <w:r>
        <w:rPr>
          <w:rFonts w:eastAsia="Arial" w:cs="Arial"/>
          <w:color w:val="000000"/>
          <w:sz w:val="20"/>
          <w:szCs w:val="20"/>
        </w:rPr>
        <w:t>Using the Platform for unlawful activities, including fraud, copyright infringement, or violation of third-party rights</w:t>
      </w:r>
    </w:p>
    <w:p>
      <w:pPr>
        <w:pStyle w:val="ListParagraph"/>
        <w:numPr>
          <w:ilvl w:val="0"/>
          <w:numId w:val="2"/>
        </w:numPr>
        <w:spacing w:before="0" w:after="60"/>
        <w:rPr/>
      </w:pPr>
      <w:r>
        <w:rPr>
          <w:rFonts w:eastAsia="Arial" w:cs="Arial"/>
          <w:color w:val="000000"/>
          <w:sz w:val="20"/>
          <w:szCs w:val="20"/>
        </w:rPr>
        <w:t>Entering false identity or organisational data</w:t>
      </w:r>
    </w:p>
    <w:p>
      <w:pPr>
        <w:pStyle w:val="ListParagraph"/>
        <w:numPr>
          <w:ilvl w:val="0"/>
          <w:numId w:val="2"/>
        </w:numPr>
        <w:spacing w:before="0" w:after="60"/>
        <w:rPr/>
      </w:pPr>
      <w:r>
        <w:rPr>
          <w:rFonts w:eastAsia="Arial" w:cs="Arial"/>
          <w:color w:val="000000"/>
          <w:sz w:val="20"/>
          <w:szCs w:val="20"/>
        </w:rPr>
        <w:t>Data scraping or automated access to the Platform without prior written approval</w:t>
      </w:r>
    </w:p>
    <w:p>
      <w:pPr>
        <w:pStyle w:val="ListParagraph"/>
        <w:numPr>
          <w:ilvl w:val="0"/>
          <w:numId w:val="2"/>
        </w:numPr>
        <w:spacing w:before="0" w:after="60"/>
        <w:rPr/>
      </w:pPr>
      <w:r>
        <w:rPr>
          <w:rFonts w:eastAsia="Arial" w:cs="Arial"/>
          <w:color w:val="000000"/>
          <w:sz w:val="20"/>
          <w:szCs w:val="20"/>
        </w:rPr>
        <w:t>Disrupting or overloading Platform infrastructure</w:t>
      </w:r>
    </w:p>
    <w:p>
      <w:pPr>
        <w:pStyle w:val="Heading1"/>
        <w:spacing w:before="360" w:after="120"/>
        <w:rPr/>
      </w:pPr>
      <w:r>
        <w:rPr>
          <w:rFonts w:eastAsia="Arial" w:cs="Arial"/>
          <w:b/>
          <w:bCs/>
          <w:color w:val="1E3A5F"/>
          <w:sz w:val="28"/>
          <w:szCs w:val="28"/>
        </w:rPr>
        <w:t>9. Intellectual Property</w:t>
      </w:r>
    </w:p>
    <w:p>
      <w:pPr>
        <w:pStyle w:val="Normal"/>
        <w:spacing w:before="0" w:after="100"/>
        <w:jc w:val="both"/>
        <w:rPr/>
      </w:pPr>
      <w:r>
        <w:rPr>
          <w:rFonts w:eastAsia="Arial" w:cs="Arial"/>
          <w:color w:val="000000"/>
          <w:sz w:val="20"/>
          <w:szCs w:val="20"/>
        </w:rPr>
        <w:t>All code, design, logos, trademarks, visual identity, content, and architecture of all applications and services available through the ei-apps Platform are the property of [Full registered business name] and are protected by applicable intellectual property laws.</w:t>
      </w:r>
    </w:p>
    <w:p>
      <w:pPr>
        <w:pStyle w:val="Normal"/>
        <w:spacing w:before="0" w:after="100"/>
        <w:jc w:val="both"/>
        <w:rPr/>
      </w:pPr>
      <w:r>
        <w:rPr>
          <w:rFonts w:eastAsia="Arial" w:cs="Arial"/>
          <w:color w:val="000000"/>
          <w:sz w:val="20"/>
          <w:szCs w:val="20"/>
        </w:rPr>
        <w:t>Users are granted a limited, non-exclusive, non-transferable licence to use the Platform and its applications solely in accordance with these Terms. The licence does not include the right to copy, distribute, publicly display, or create derivative works.</w:t>
      </w:r>
    </w:p>
    <w:p>
      <w:pPr>
        <w:pStyle w:val="Heading1"/>
        <w:spacing w:before="360" w:after="120"/>
        <w:rPr/>
      </w:pPr>
      <w:r>
        <w:rPr>
          <w:rFonts w:eastAsia="Arial" w:cs="Arial"/>
          <w:b/>
          <w:bCs/>
          <w:color w:val="1E3A5F"/>
          <w:sz w:val="28"/>
          <w:szCs w:val="28"/>
        </w:rPr>
        <w:t>10. Service Availability and Limitation of Liability</w:t>
      </w:r>
    </w:p>
    <w:p>
      <w:pPr>
        <w:pStyle w:val="Heading2"/>
        <w:spacing w:before="240" w:after="80"/>
        <w:rPr/>
      </w:pPr>
      <w:r>
        <w:rPr>
          <w:rFonts w:eastAsia="Arial" w:cs="Arial"/>
          <w:b/>
          <w:bCs/>
          <w:color w:val="2E75B6"/>
          <w:sz w:val="24"/>
          <w:szCs w:val="24"/>
        </w:rPr>
        <w:t>10.1 Availability</w:t>
      </w:r>
    </w:p>
    <w:p>
      <w:pPr>
        <w:pStyle w:val="Normal"/>
        <w:spacing w:before="0" w:after="100"/>
        <w:jc w:val="both"/>
        <w:rPr/>
      </w:pPr>
      <w:r>
        <w:rPr>
          <w:rFonts w:eastAsia="Arial" w:cs="Arial"/>
          <w:color w:val="000000"/>
          <w:sz w:val="20"/>
          <w:szCs w:val="20"/>
        </w:rPr>
        <w:t>We strive to ensure uninterrupted availability of the Platform, but do not guarantee 100% uptime. We reserve the right to temporarily suspend the Platform or individual applications for maintenance, upgrades, or technical issues, with prior notice where possible.</w:t>
      </w:r>
    </w:p>
    <w:p>
      <w:pPr>
        <w:pStyle w:val="Heading2"/>
        <w:spacing w:before="240" w:after="80"/>
        <w:rPr/>
      </w:pPr>
      <w:r>
        <w:rPr>
          <w:rFonts w:eastAsia="Arial" w:cs="Arial"/>
          <w:b/>
          <w:bCs/>
          <w:color w:val="2E75B6"/>
          <w:sz w:val="24"/>
          <w:szCs w:val="24"/>
        </w:rPr>
        <w:t>10.2 Limitation of Liability</w:t>
      </w:r>
    </w:p>
    <w:p>
      <w:pPr>
        <w:pStyle w:val="Normal"/>
        <w:spacing w:before="0" w:after="100"/>
        <w:jc w:val="both"/>
        <w:rPr/>
      </w:pPr>
      <w:r>
        <w:rPr>
          <w:rFonts w:eastAsia="Arial" w:cs="Arial"/>
          <w:color w:val="000000"/>
          <w:sz w:val="20"/>
          <w:szCs w:val="20"/>
        </w:rPr>
        <w:t>The Platform and all applications are provided "as-is" and "as-available". To the maximum extent permitted by applicable law, ei-apps is not liable for:</w:t>
      </w:r>
    </w:p>
    <w:p>
      <w:pPr>
        <w:pStyle w:val="ListParagraph"/>
        <w:numPr>
          <w:ilvl w:val="0"/>
          <w:numId w:val="2"/>
        </w:numPr>
        <w:spacing w:before="0" w:after="60"/>
        <w:rPr/>
      </w:pPr>
      <w:r>
        <w:rPr>
          <w:rFonts w:eastAsia="Arial" w:cs="Arial"/>
          <w:color w:val="000000"/>
          <w:sz w:val="20"/>
          <w:szCs w:val="20"/>
        </w:rPr>
        <w:t>Data loss due to technical failures, security breaches, or force majeure</w:t>
      </w:r>
    </w:p>
    <w:p>
      <w:pPr>
        <w:pStyle w:val="ListParagraph"/>
        <w:numPr>
          <w:ilvl w:val="0"/>
          <w:numId w:val="2"/>
        </w:numPr>
        <w:spacing w:before="0" w:after="60"/>
        <w:rPr/>
      </w:pPr>
      <w:r>
        <w:rPr>
          <w:rFonts w:eastAsia="Arial" w:cs="Arial"/>
          <w:color w:val="000000"/>
          <w:sz w:val="20"/>
          <w:szCs w:val="20"/>
        </w:rPr>
        <w:t>Indirect, special, consequential, or punitive damages arising from use or inability to use the Platform</w:t>
      </w:r>
    </w:p>
    <w:p>
      <w:pPr>
        <w:pStyle w:val="ListParagraph"/>
        <w:numPr>
          <w:ilvl w:val="0"/>
          <w:numId w:val="2"/>
        </w:numPr>
        <w:spacing w:before="0" w:after="60"/>
        <w:rPr/>
      </w:pPr>
      <w:r>
        <w:rPr>
          <w:rFonts w:eastAsia="Arial" w:cs="Arial"/>
          <w:color w:val="000000"/>
          <w:sz w:val="20"/>
          <w:szCs w:val="20"/>
        </w:rPr>
        <w:t>Service interruptions due to circumstances beyond the provider's reasonable control (force majeure, third-party infrastructure failures)</w:t>
      </w:r>
    </w:p>
    <w:p>
      <w:pPr>
        <w:pStyle w:val="ListParagraph"/>
        <w:numPr>
          <w:ilvl w:val="0"/>
          <w:numId w:val="2"/>
        </w:numPr>
        <w:spacing w:before="0" w:after="60"/>
        <w:rPr/>
      </w:pPr>
      <w:r>
        <w:rPr>
          <w:rFonts w:eastAsia="Arial" w:cs="Arial"/>
          <w:color w:val="000000"/>
          <w:sz w:val="20"/>
          <w:szCs w:val="20"/>
        </w:rPr>
        <w:t>The content, accuracy, or legality of data entered by users into applications</w:t>
      </w:r>
    </w:p>
    <w:p>
      <w:pPr>
        <w:pStyle w:val="ListParagraph"/>
        <w:numPr>
          <w:ilvl w:val="0"/>
          <w:numId w:val="2"/>
        </w:numPr>
        <w:spacing w:before="0" w:after="60"/>
        <w:rPr/>
      </w:pPr>
      <w:r>
        <w:rPr>
          <w:rFonts w:eastAsia="Arial" w:cs="Arial"/>
          <w:color w:val="000000"/>
          <w:sz w:val="20"/>
          <w:szCs w:val="20"/>
        </w:rPr>
        <w:t>Losses arising from the actions or omissions of third parties, including Paddle.com or Google</w:t>
      </w:r>
    </w:p>
    <w:p>
      <w:pPr>
        <w:pStyle w:val="Normal"/>
        <w:spacing w:before="0" w:after="100"/>
        <w:jc w:val="both"/>
        <w:rPr/>
      </w:pPr>
      <w:r>
        <w:rPr>
          <w:rFonts w:eastAsia="Arial" w:cs="Arial"/>
          <w:color w:val="000000"/>
          <w:sz w:val="20"/>
          <w:szCs w:val="20"/>
        </w:rPr>
        <w:t>The total liability of ei-apps to a user shall not exceed the amount of subscription fees paid in the preceding 12 months.</w:t>
      </w:r>
    </w:p>
    <w:p>
      <w:pPr>
        <w:pStyle w:val="Heading1"/>
        <w:spacing w:before="360" w:after="120"/>
        <w:rPr/>
      </w:pPr>
      <w:r>
        <w:rPr>
          <w:rFonts w:eastAsia="Arial" w:cs="Arial"/>
          <w:b/>
          <w:bCs/>
          <w:color w:val="1E3A5F"/>
          <w:sz w:val="28"/>
          <w:szCs w:val="28"/>
        </w:rPr>
        <w:t>11. Data Storage and Infrastructure</w:t>
      </w:r>
    </w:p>
    <w:p>
      <w:pPr>
        <w:pStyle w:val="Normal"/>
        <w:spacing w:before="0" w:after="100"/>
        <w:jc w:val="both"/>
        <w:rPr/>
      </w:pPr>
      <w:r>
        <w:rPr>
          <w:rFonts w:eastAsia="Arial" w:cs="Arial"/>
          <w:color w:val="000000"/>
          <w:sz w:val="20"/>
          <w:szCs w:val="20"/>
        </w:rPr>
        <w:t>User data and data entered into ei-apps Platform applications are stored on the following infrastructure services:</w:t>
      </w:r>
    </w:p>
    <w:p>
      <w:pPr>
        <w:pStyle w:val="ListParagraph"/>
        <w:numPr>
          <w:ilvl w:val="0"/>
          <w:numId w:val="2"/>
        </w:numPr>
        <w:spacing w:before="0" w:after="60"/>
        <w:rPr/>
      </w:pPr>
      <w:r>
        <w:rPr>
          <w:rFonts w:eastAsia="Arial" w:cs="Arial"/>
          <w:color w:val="000000"/>
          <w:sz w:val="20"/>
          <w:szCs w:val="20"/>
        </w:rPr>
        <w:t>Google Firebase Firestore (Google Cloud) — EU region (europe-west1, Belgium)</w:t>
      </w:r>
    </w:p>
    <w:p>
      <w:pPr>
        <w:pStyle w:val="ListParagraph"/>
        <w:numPr>
          <w:ilvl w:val="0"/>
          <w:numId w:val="2"/>
        </w:numPr>
        <w:spacing w:before="0" w:after="60"/>
        <w:rPr/>
      </w:pPr>
      <w:r>
        <w:rPr>
          <w:rFonts w:eastAsia="Arial" w:cs="Arial"/>
          <w:color w:val="000000"/>
          <w:sz w:val="20"/>
          <w:szCs w:val="20"/>
        </w:rPr>
        <w:t>MongoDB Atlas — configured within the EU region</w:t>
      </w:r>
    </w:p>
    <w:p>
      <w:pPr>
        <w:pStyle w:val="Normal"/>
        <w:spacing w:before="0" w:after="100"/>
        <w:jc w:val="both"/>
        <w:rPr/>
      </w:pPr>
      <w:r>
        <w:rPr>
          <w:rFonts w:eastAsia="Arial" w:cs="Arial"/>
          <w:color w:val="000000"/>
          <w:sz w:val="20"/>
          <w:szCs w:val="20"/>
        </w:rPr>
        <w:t>We apply technical and organisational security measures in accordance with applicable data protection laws. Details are set out in the Privacy Policy.</w:t>
      </w:r>
    </w:p>
    <w:p>
      <w:pPr>
        <w:pStyle w:val="Heading1"/>
        <w:spacing w:before="360" w:after="120"/>
        <w:rPr/>
      </w:pPr>
      <w:r>
        <w:rPr>
          <w:rFonts w:eastAsia="Arial" w:cs="Arial"/>
          <w:b/>
          <w:bCs/>
          <w:color w:val="1E3A5F"/>
          <w:sz w:val="28"/>
          <w:szCs w:val="28"/>
        </w:rPr>
        <w:t>12. Changes to Terms</w:t>
      </w:r>
    </w:p>
    <w:p>
      <w:pPr>
        <w:pStyle w:val="Normal"/>
        <w:spacing w:before="0" w:after="100"/>
        <w:jc w:val="both"/>
        <w:rPr/>
      </w:pPr>
      <w:r>
        <w:rPr>
          <w:rFonts w:eastAsia="Arial" w:cs="Arial"/>
          <w:color w:val="000000"/>
          <w:sz w:val="20"/>
          <w:szCs w:val="20"/>
        </w:rPr>
        <w:t>We reserve the right to modify these Terms of Service at any time. Users will be notified of significant changes:</w:t>
      </w:r>
    </w:p>
    <w:p>
      <w:pPr>
        <w:pStyle w:val="ListParagraph"/>
        <w:numPr>
          <w:ilvl w:val="0"/>
          <w:numId w:val="2"/>
        </w:numPr>
        <w:spacing w:before="0" w:after="60"/>
        <w:rPr/>
      </w:pPr>
      <w:r>
        <w:rPr>
          <w:rFonts w:eastAsia="Arial" w:cs="Arial"/>
          <w:color w:val="000000"/>
          <w:sz w:val="20"/>
          <w:szCs w:val="20"/>
        </w:rPr>
        <w:t>Through in-app notifications</w:t>
      </w:r>
    </w:p>
    <w:p>
      <w:pPr>
        <w:pStyle w:val="ListParagraph"/>
        <w:numPr>
          <w:ilvl w:val="0"/>
          <w:numId w:val="2"/>
        </w:numPr>
        <w:spacing w:before="0" w:after="60"/>
        <w:rPr/>
      </w:pPr>
      <w:r>
        <w:rPr>
          <w:rFonts w:eastAsia="Arial" w:cs="Arial"/>
          <w:color w:val="000000"/>
          <w:sz w:val="20"/>
          <w:szCs w:val="20"/>
        </w:rPr>
        <w:t>Via the email address associated with their account, at least 14 days in advance</w:t>
      </w:r>
    </w:p>
    <w:p>
      <w:pPr>
        <w:pStyle w:val="Normal"/>
        <w:spacing w:before="0" w:after="100"/>
        <w:jc w:val="both"/>
        <w:rPr/>
      </w:pPr>
      <w:r>
        <w:rPr>
          <w:rFonts w:eastAsia="Arial" w:cs="Arial"/>
          <w:color w:val="000000"/>
          <w:sz w:val="20"/>
          <w:szCs w:val="20"/>
        </w:rPr>
        <w:t>Continued use of the Platform after the revised Terms take effect constitutes acceptance of the new Terms. If you do not accept the revised Terms, you have the right to cancel your subscription and delete your account.</w:t>
      </w:r>
    </w:p>
    <w:p>
      <w:pPr>
        <w:pStyle w:val="Heading1"/>
        <w:spacing w:before="360" w:after="120"/>
        <w:rPr/>
      </w:pPr>
      <w:r>
        <w:rPr>
          <w:rFonts w:eastAsia="Arial" w:cs="Arial"/>
          <w:b/>
          <w:bCs/>
          <w:color w:val="1E3A5F"/>
          <w:sz w:val="28"/>
          <w:szCs w:val="28"/>
        </w:rPr>
        <w:t>13. Termination</w:t>
      </w:r>
    </w:p>
    <w:p>
      <w:pPr>
        <w:pStyle w:val="Normal"/>
        <w:spacing w:before="0" w:after="100"/>
        <w:jc w:val="both"/>
        <w:rPr/>
      </w:pPr>
      <w:r>
        <w:rPr>
          <w:rFonts w:eastAsia="Arial" w:cs="Arial"/>
          <w:color w:val="000000"/>
          <w:sz w:val="20"/>
          <w:szCs w:val="20"/>
        </w:rPr>
        <w:t>Users may cancel their subscription and delete their account at any time through account settings or by contacting support. After account deletion, all data is removed within 30 days in accordance with the Privacy Policy.</w:t>
      </w:r>
    </w:p>
    <w:p>
      <w:pPr>
        <w:pStyle w:val="Normal"/>
        <w:spacing w:before="0" w:after="100"/>
        <w:jc w:val="both"/>
        <w:rPr/>
      </w:pPr>
      <w:r>
        <w:rPr>
          <w:rFonts w:eastAsia="Arial" w:cs="Arial"/>
          <w:color w:val="000000"/>
          <w:sz w:val="20"/>
          <w:szCs w:val="20"/>
        </w:rPr>
        <w:t>ei-apps may suspend or permanently terminate a user account in the event of:</w:t>
      </w:r>
    </w:p>
    <w:p>
      <w:pPr>
        <w:pStyle w:val="ListParagraph"/>
        <w:numPr>
          <w:ilvl w:val="0"/>
          <w:numId w:val="2"/>
        </w:numPr>
        <w:spacing w:before="0" w:after="60"/>
        <w:rPr/>
      </w:pPr>
      <w:r>
        <w:rPr>
          <w:rFonts w:eastAsia="Arial" w:cs="Arial"/>
          <w:color w:val="000000"/>
          <w:sz w:val="20"/>
          <w:szCs w:val="20"/>
        </w:rPr>
        <w:t>Breach of these Terms of Service</w:t>
      </w:r>
    </w:p>
    <w:p>
      <w:pPr>
        <w:pStyle w:val="ListParagraph"/>
        <w:numPr>
          <w:ilvl w:val="0"/>
          <w:numId w:val="2"/>
        </w:numPr>
        <w:spacing w:before="0" w:after="60"/>
        <w:rPr/>
      </w:pPr>
      <w:r>
        <w:rPr>
          <w:rFonts w:eastAsia="Arial" w:cs="Arial"/>
          <w:color w:val="000000"/>
          <w:sz w:val="20"/>
          <w:szCs w:val="20"/>
        </w:rPr>
        <w:t>Non-payment of subscription fees</w:t>
      </w:r>
    </w:p>
    <w:p>
      <w:pPr>
        <w:pStyle w:val="ListParagraph"/>
        <w:numPr>
          <w:ilvl w:val="0"/>
          <w:numId w:val="2"/>
        </w:numPr>
        <w:spacing w:before="0" w:after="60"/>
        <w:rPr/>
      </w:pPr>
      <w:r>
        <w:rPr>
          <w:rFonts w:eastAsia="Arial" w:cs="Arial"/>
          <w:color w:val="000000"/>
          <w:sz w:val="20"/>
          <w:szCs w:val="20"/>
        </w:rPr>
        <w:t>Unlawful or harmful use of the Platform</w:t>
      </w:r>
    </w:p>
    <w:p>
      <w:pPr>
        <w:pStyle w:val="ListParagraph"/>
        <w:numPr>
          <w:ilvl w:val="0"/>
          <w:numId w:val="2"/>
        </w:numPr>
        <w:spacing w:before="0" w:after="60"/>
        <w:rPr/>
      </w:pPr>
      <w:r>
        <w:rPr>
          <w:rFonts w:eastAsia="Arial" w:cs="Arial"/>
          <w:color w:val="000000"/>
          <w:sz w:val="20"/>
          <w:szCs w:val="20"/>
        </w:rPr>
        <w:t>At the request of competent authorities</w:t>
      </w:r>
    </w:p>
    <w:p>
      <w:pPr>
        <w:pStyle w:val="Heading1"/>
        <w:spacing w:before="360" w:after="120"/>
        <w:rPr/>
      </w:pPr>
      <w:r>
        <w:rPr>
          <w:rFonts w:eastAsia="Arial" w:cs="Arial"/>
          <w:b/>
          <w:bCs/>
          <w:color w:val="1E3A5F"/>
          <w:sz w:val="28"/>
          <w:szCs w:val="28"/>
        </w:rPr>
        <w:t>14. Governing Law and Dispute Resolution</w:t>
      </w:r>
    </w:p>
    <w:p>
      <w:pPr>
        <w:pStyle w:val="Normal"/>
        <w:spacing w:before="0" w:after="100"/>
        <w:jc w:val="both"/>
        <w:rPr/>
      </w:pPr>
      <w:r>
        <w:rPr>
          <w:rFonts w:eastAsia="Arial" w:cs="Arial"/>
          <w:color w:val="000000"/>
          <w:sz w:val="20"/>
          <w:szCs w:val="20"/>
        </w:rPr>
        <w:t>These Terms of Service are governed by the laws of Bosnia and Herzegovina / Federation of Bosnia and Herzegovina. Any disputes shall be subject to the jurisdiction of the [Municipal Court in [City]].</w:t>
      </w:r>
    </w:p>
    <w:p>
      <w:pPr>
        <w:pStyle w:val="Normal"/>
        <w:spacing w:before="0" w:after="100"/>
        <w:jc w:val="both"/>
        <w:rPr/>
      </w:pPr>
      <w:r>
        <w:rPr>
          <w:rFonts w:eastAsia="Arial" w:cs="Arial"/>
          <w:color w:val="000000"/>
          <w:sz w:val="20"/>
          <w:szCs w:val="20"/>
        </w:rPr>
        <w:t>We endeavour to resolve all disputes amicably through direct communication. EU/EEA consumers may use the Online Dispute Resolution platform: ec.europa.eu/consumers/odr</w:t>
      </w:r>
    </w:p>
    <w:p>
      <w:pPr>
        <w:pStyle w:val="Heading1"/>
        <w:spacing w:before="360" w:after="120"/>
        <w:rPr/>
      </w:pPr>
      <w:r>
        <w:rPr>
          <w:rFonts w:eastAsia="Arial" w:cs="Arial"/>
          <w:b/>
          <w:bCs/>
          <w:color w:val="1E3A5F"/>
          <w:sz w:val="28"/>
          <w:szCs w:val="28"/>
        </w:rPr>
        <w:t>15. Contact</w:t>
      </w:r>
    </w:p>
    <w:p>
      <w:pPr>
        <w:pStyle w:val="Normal"/>
        <w:spacing w:before="0" w:after="100"/>
        <w:jc w:val="both"/>
        <w:rPr/>
      </w:pPr>
      <w:r>
        <w:rPr>
          <w:rFonts w:eastAsia="Arial" w:cs="Arial"/>
          <w:color w:val="000000"/>
          <w:sz w:val="20"/>
          <w:szCs w:val="20"/>
        </w:rPr>
        <w:t>[Full registered business name]</w:t>
      </w:r>
    </w:p>
    <w:p>
      <w:pPr>
        <w:pStyle w:val="Normal"/>
        <w:spacing w:before="0" w:after="100"/>
        <w:jc w:val="both"/>
        <w:rPr/>
      </w:pPr>
      <w:r>
        <w:rPr>
          <w:rFonts w:eastAsia="Arial" w:cs="Arial"/>
          <w:color w:val="000000"/>
          <w:sz w:val="20"/>
          <w:szCs w:val="20"/>
        </w:rPr>
        <w:t>Address: [Street, City, FBiH, Bosnia and Herzegovina]</w:t>
      </w:r>
    </w:p>
    <w:p>
      <w:pPr>
        <w:pStyle w:val="Normal"/>
        <w:spacing w:before="0" w:after="100"/>
        <w:jc w:val="both"/>
        <w:rPr/>
      </w:pPr>
      <w:r>
        <w:rPr>
          <w:rFonts w:eastAsia="Arial" w:cs="Arial"/>
          <w:color w:val="000000"/>
          <w:sz w:val="20"/>
          <w:szCs w:val="20"/>
        </w:rPr>
        <w:t>Email: [contact@email.com]</w:t>
      </w:r>
    </w:p>
    <w:p>
      <w:pPr>
        <w:pStyle w:val="Normal"/>
        <w:spacing w:before="0" w:after="100"/>
        <w:jc w:val="both"/>
        <w:rPr/>
      </w:pPr>
      <w:r>
        <w:rPr>
          <w:rFonts w:eastAsia="Arial" w:cs="Arial"/>
          <w:color w:val="000000"/>
          <w:sz w:val="20"/>
          <w:szCs w:val="20"/>
        </w:rPr>
        <w:t>Business ID / JIB: [JIB number]</w:t>
      </w:r>
    </w:p>
    <w:p>
      <w:pPr>
        <w:pStyle w:val="Normal"/>
        <w:spacing w:before="0" w:after="100"/>
        <w:jc w:val="both"/>
        <w:rPr/>
      </w:pPr>
      <w:r>
        <w:rPr>
          <w:rFonts w:eastAsia="Arial" w:cs="Arial"/>
          <w:color w:val="000000"/>
          <w:sz w:val="20"/>
          <w:szCs w:val="20"/>
        </w:rPr>
        <w:t>Website:</w:t>
      </w:r>
      <w:hyperlink r:id="rId3">
        <w:r>
          <w:rPr>
            <w:rStyle w:val="Hyperlink"/>
            <w:rFonts w:eastAsia="Arial" w:cs="Arial"/>
            <w:color w:val="000000"/>
            <w:sz w:val="20"/>
            <w:szCs w:val="20"/>
          </w:rPr>
          <w:t>https://ei-apps.com</w:t>
        </w:r>
      </w:hyperlink>
      <w:r>
        <w:rPr>
          <w:rFonts w:eastAsia="Arial" w:cs="Arial"/>
          <w:color w:val="000000"/>
          <w:sz w:val="20"/>
          <w:szCs w:val="20"/>
        </w:rPr>
        <w:br/>
      </w:r>
      <w:r>
        <w:rPr/>
        <w:br/>
      </w:r>
    </w:p>
    <w:tbl>
      <w:tblPr>
        <w:tblW w:w="9026" w:type="dxa"/>
        <w:jc w:val="start"/>
        <w:tblInd w:w="0" w:type="dxa"/>
        <w:tblLayout w:type="fixed"/>
        <w:tblCellMar>
          <w:top w:w="80" w:type="dxa"/>
          <w:start w:w="120" w:type="dxa"/>
          <w:bottom w:w="80" w:type="dxa"/>
          <w:end w:w="120" w:type="dxa"/>
        </w:tblCellMar>
      </w:tblPr>
      <w:tblGrid>
        <w:gridCol w:w="2798"/>
        <w:gridCol w:w="6228"/>
      </w:tblGrid>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Last updated</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[DD.MM.YYYY]</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Service Provider</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O.D. “Ei-APPS” vl. Ibrahimović Emir</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Address</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Stupska 19 AII</w:t>
            </w:r>
            <w:r>
              <w:rPr>
                <w:rFonts w:eastAsia="Arial" w:cs="Arial"/>
                <w:color w:val="000000"/>
                <w:sz w:val="18"/>
                <w:szCs w:val="18"/>
              </w:rPr>
              <w:t xml:space="preserve">, </w:t>
            </w:r>
            <w:r>
              <w:rPr>
                <w:rFonts w:eastAsia="Arial" w:cs="Arial"/>
                <w:color w:val="000000"/>
                <w:sz w:val="18"/>
                <w:szCs w:val="18"/>
              </w:rPr>
              <w:t xml:space="preserve">Ilidža, </w:t>
            </w:r>
            <w:r>
              <w:rPr>
                <w:rFonts w:eastAsia="Arial" w:cs="Arial"/>
                <w:color w:val="000000"/>
                <w:sz w:val="18"/>
                <w:szCs w:val="18"/>
              </w:rPr>
              <w:t xml:space="preserve"> Bosnia and Herzegovina</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Business ID / JIB</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4304382050006</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Contact</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info@ei-apps.com</w:t>
            </w:r>
          </w:p>
        </w:tc>
      </w:tr>
      <w:tr>
        <w:trPr/>
        <w:tc>
          <w:tcPr>
            <w:tcW w:w="2798" w:type="dxa"/>
            <w:tcBorders>
              <w:top w:val="single" w:sz="2" w:space="0" w:color="CCCCCC"/>
              <w:start w:val="single" w:sz="2" w:space="0" w:color="CCCCCC"/>
              <w:bottom w:val="single" w:sz="2" w:space="0" w:color="CCCCCC"/>
              <w:end w:val="single" w:sz="2" w:space="0" w:color="CCCCCC"/>
            </w:tcBorders>
            <w:shd w:fill="EEF3FA" w:val="clear"/>
          </w:tcPr>
          <w:p>
            <w:pPr>
              <w:pStyle w:val="Normal"/>
              <w:rPr/>
            </w:pPr>
            <w:r>
              <w:rPr>
                <w:rFonts w:eastAsia="Arial" w:cs="Arial"/>
                <w:b/>
                <w:bCs/>
                <w:color w:val="1E3A5F"/>
                <w:sz w:val="18"/>
                <w:szCs w:val="18"/>
              </w:rPr>
              <w:t>Website</w:t>
            </w:r>
          </w:p>
        </w:tc>
        <w:tc>
          <w:tcPr>
            <w:tcW w:w="622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000000"/>
                <w:sz w:val="18"/>
                <w:szCs w:val="18"/>
              </w:rPr>
              <w:t>https://ei-apps.com</w:t>
            </w:r>
          </w:p>
        </w:tc>
      </w:tr>
    </w:tbl>
    <w:p>
      <w:pPr>
        <w:pStyle w:val="Normal"/>
        <w:jc w:val="center"/>
        <w:rPr/>
      </w:pPr>
      <w:r>
        <w:rPr>
          <w:rFonts w:eastAsia="Arial" w:cs="Arial"/>
          <w:i/>
          <w:iCs/>
          <w:color w:val="555555"/>
          <w:sz w:val="18"/>
          <w:szCs w:val="18"/>
        </w:rPr>
        <w:br/>
        <w:br/>
        <w:br/>
        <w:br/>
        <w:br/>
        <w:br/>
        <w:br/>
        <w:br/>
        <w:t>© [YYYY] ei-apps. All rights reserved.</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rial">
    <w:charset w:val="ee" w:characterSet="windows-1250"/>
    <w:family w:val="swiss"/>
    <w:pitch w:val="variable"/>
  </w:font>
  <w:font w:name="Liberation Sans">
    <w:altName w:val="Arial"/>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6"/>
        <w:szCs w:val="16"/>
      </w:rPr>
      <w:t>© [YYYY] ei-apps  |  https://ei-apps.com  |  [kontakt@email.com]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6"/>
        <w:szCs w:val="16"/>
      </w:rPr>
      <w:t>© [YYYY] ei-apps  |  https://ei-apps.com  |  [kontakt@email.com]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555555"/>
        <w:sz w:val="16"/>
        <w:szCs w:val="16"/>
      </w:rPr>
      <w:t>ei-apps — Terms of Service / Uvjeti korištenja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555555"/>
        <w:sz w:val="16"/>
        <w:szCs w:val="16"/>
      </w:rPr>
      <w:t>ei-apps — Terms of Service / Uvjeti korištenja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bs-B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bs-BA" w:eastAsia="zh-CN" w:bidi="hi-IN"/>
    </w:rPr>
  </w:style>
  <w:style w:type="paragraph" w:styleId="Heading1">
    <w:name w:val="heading 1"/>
    <w:basedOn w:val="Heading"/>
    <w:qFormat/>
    <w:pPr>
      <w:spacing w:before="360" w:after="120"/>
      <w:outlineLvl w:val="0"/>
    </w:pPr>
    <w:rPr>
      <w:rFonts w:ascii="Arial" w:hAnsi="Arial" w:eastAsia="Arial" w:cs="Arial"/>
      <w:b/>
      <w:bCs/>
      <w:color w:val="1E3A5F"/>
      <w:sz w:val="28"/>
      <w:szCs w:val="28"/>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spacing w:before="160" w:after="60"/>
      <w:outlineLvl w:val="2"/>
    </w:pPr>
    <w:rPr>
      <w:rFonts w:ascii="Arial" w:hAnsi="Arial" w:eastAsia="Arial" w:cs="Arial"/>
      <w:b/>
      <w:bCs/>
      <w:color w:val="55555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bs-BA"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bs-B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i-apps.com/" TargetMode="External"/><Relationship Id="rId3" Type="http://schemas.openxmlformats.org/officeDocument/2006/relationships/hyperlink" Target="https://ei-apps.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LibreOffice/26.2.3.2$Windows_X86_64 LibreOffice_project/70e089b17412e4cb7773e41413306b17a2328c34</Application>
  <AppVersion>15.0000</AppVersion>
  <Pages>10</Pages>
  <Words>3073</Words>
  <Characters>18456</Characters>
  <CharactersWithSpaces>21232</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2026-05-21T19:55:39Z</dcterms:created>
  <dc:creator>Un-named</dc:creator>
  <dc:description/>
  <dc:language>bs-BA</dc:language>
  <cp:lastModifiedBy/>
  <dcterms:modified xsi:type="dcterms:W3CDTF">2026-05-21T23:35:33Z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